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3360" w:firstLineChars="1400"/>
        <w:rPr>
          <w:rFonts w:ascii="仿宋_GB2312"/>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right="480" w:firstLine="482" w:firstLineChars="200"/>
        <w:jc w:val="center"/>
        <w:rPr>
          <w:rFonts w:ascii="仿宋_GB2312" w:hAnsi="宋体" w:eastAsia="仿宋_GB2312"/>
          <w:spacing w:val="20"/>
          <w:sz w:val="24"/>
          <w:szCs w:val="24"/>
        </w:rPr>
      </w:pPr>
      <w:r>
        <w:rPr>
          <w:rFonts w:hint="eastAsia" w:ascii="仿宋_GB2312" w:hAnsi="宋体" w:eastAsia="仿宋_GB2312"/>
          <w:b/>
          <w:bCs/>
          <w:spacing w:val="0"/>
          <w:sz w:val="24"/>
          <w:szCs w:val="24"/>
        </w:rPr>
        <w:t xml:space="preserve">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right="480" w:firstLine="6385" w:firstLineChars="2650"/>
        <w:rPr>
          <w:rFonts w:ascii="仿宋_GB2312" w:hAnsi="Times New Roman" w:eastAsia="仿宋_GB2312"/>
          <w:sz w:val="24"/>
          <w:szCs w:val="24"/>
          <w:u w:val="single"/>
        </w:rPr>
      </w:pPr>
      <w:r>
        <w:rPr>
          <w:rFonts w:hint="eastAsia" w:ascii="仿宋_GB2312" w:hAnsi="宋体" w:eastAsia="仿宋_GB2312"/>
          <w:b/>
          <w:bCs/>
          <w:spacing w:val="0"/>
          <w:sz w:val="24"/>
          <w:szCs w:val="24"/>
        </w:rPr>
        <w:t xml:space="preserve">合同编号： </w:t>
      </w:r>
      <w:r>
        <w:rPr>
          <w:rFonts w:ascii="宋体" w:hAnsi="宋体"/>
          <w:b/>
          <w:bCs/>
          <w:spacing w:val="0"/>
          <w:sz w:val="24"/>
          <w:u w:val="single"/>
        </w:rPr>
        <w:t xml:space="preserve">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rPr>
          <w:rFonts w:ascii="仿宋_GB2312" w:hAnsi="Times New Roman" w:eastAsia="仿宋_GB2312"/>
          <w:b/>
          <w:bCs/>
          <w:i/>
          <w:iCs/>
          <w:sz w:val="24"/>
          <w:szCs w:val="24"/>
          <w:shd w:val="pct10" w:color="auto" w:fill="FFFFFF"/>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870" w:beforeLines="200" w:after="0" w:line="440" w:lineRule="exact"/>
        <w:jc w:val="center"/>
        <w:rPr>
          <w:rFonts w:ascii="宋体" w:hAnsi="宋体"/>
          <w:b/>
          <w:bCs/>
          <w:w w:val="90"/>
          <w:sz w:val="72"/>
          <w:szCs w:val="72"/>
        </w:rPr>
      </w:pPr>
      <w:r>
        <w:rPr>
          <w:rFonts w:hint="eastAsia" w:ascii="宋体" w:hAnsi="宋体"/>
          <w:b/>
          <w:bCs/>
          <w:w w:val="90"/>
          <w:sz w:val="72"/>
          <w:szCs w:val="72"/>
        </w:rPr>
        <w:t>信用评级合同书</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870" w:beforeLines="200" w:after="0" w:line="440" w:lineRule="exact"/>
        <w:jc w:val="center"/>
        <w:rPr>
          <w:rFonts w:ascii="仿宋_GB2312" w:hAnsi="Times New Roman" w:eastAsia="仿宋_GB2312"/>
          <w:b/>
          <w:bCs/>
          <w:i/>
          <w:iCs/>
          <w:w w:val="90"/>
          <w:sz w:val="24"/>
          <w:szCs w:val="24"/>
        </w:rPr>
      </w:pPr>
      <w:r>
        <w:rPr>
          <w:rFonts w:hint="eastAsia" w:ascii="宋体" w:hAnsi="宋体"/>
          <w:b/>
          <w:bCs/>
          <w:w w:val="90"/>
          <w:sz w:val="72"/>
          <w:szCs w:val="72"/>
        </w:rPr>
        <w:t>（主体）</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rPr>
          <w:rFonts w:ascii="仿宋_GB2312" w:hAnsi="Times New Roman" w:eastAsia="仿宋_GB2312"/>
          <w:b/>
          <w:bCs/>
          <w:spacing w:val="0"/>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1316" w:firstLineChars="546"/>
        <w:rPr>
          <w:rFonts w:ascii="仿宋_GB2312" w:hAnsi="Times New Roman" w:eastAsia="仿宋_GB2312"/>
          <w:b/>
          <w:bCs/>
          <w:spacing w:val="0"/>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2650" w:firstLineChars="1100"/>
        <w:rPr>
          <w:rFonts w:ascii="仿宋_GB2312" w:hAnsi="Times New Roman" w:eastAsia="仿宋_GB2312"/>
          <w:b/>
          <w:bCs/>
          <w:spacing w:val="0"/>
          <w:sz w:val="24"/>
          <w:szCs w:val="24"/>
        </w:rPr>
      </w:pPr>
      <w:r>
        <w:rPr>
          <w:rFonts w:hint="eastAsia" w:ascii="仿宋_GB2312" w:hAnsi="Times New Roman" w:eastAsia="仿宋_GB2312"/>
          <w:b/>
          <w:bCs/>
          <w:spacing w:val="0"/>
          <w:sz w:val="24"/>
          <w:szCs w:val="24"/>
        </w:rPr>
        <w:t>委托项目名称：  企业</w:t>
      </w:r>
      <w:r>
        <w:rPr>
          <w:rFonts w:ascii="仿宋_GB2312" w:hAnsi="Times New Roman" w:eastAsia="仿宋_GB2312"/>
          <w:b/>
          <w:bCs/>
          <w:spacing w:val="0"/>
          <w:sz w:val="24"/>
          <w:szCs w:val="24"/>
        </w:rPr>
        <w:t>信用</w:t>
      </w:r>
      <w:r>
        <w:rPr>
          <w:rFonts w:hint="eastAsia" w:ascii="仿宋_GB2312" w:hAnsi="Times New Roman" w:eastAsia="仿宋_GB2312"/>
          <w:b/>
          <w:bCs/>
          <w:spacing w:val="0"/>
          <w:sz w:val="24"/>
          <w:szCs w:val="24"/>
        </w:rPr>
        <w:t xml:space="preserve">评级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2650" w:firstLineChars="1100"/>
        <w:rPr>
          <w:rFonts w:ascii="仿宋_GB2312" w:hAnsi="Times New Roman" w:eastAsia="仿宋_GB2312"/>
          <w:b/>
          <w:bCs/>
          <w:spacing w:val="0"/>
          <w:sz w:val="24"/>
          <w:szCs w:val="24"/>
        </w:rPr>
      </w:pPr>
      <w:r>
        <w:rPr>
          <w:rFonts w:hint="eastAsia" w:ascii="仿宋_GB2312" w:hAnsi="Times New Roman" w:eastAsia="仿宋_GB2312"/>
          <w:b/>
          <w:bCs/>
          <w:spacing w:val="0"/>
          <w:sz w:val="24"/>
          <w:szCs w:val="24"/>
        </w:rPr>
        <w:t>委托方（甲方）</w:t>
      </w:r>
      <w:r>
        <w:rPr>
          <w:rFonts w:hint="eastAsia" w:ascii="仿宋_GB2312" w:hAnsi="Times New Roman" w:eastAsia="仿宋_GB2312"/>
          <w:b/>
          <w:bCs/>
          <w:color w:val="auto"/>
          <w:spacing w:val="0"/>
          <w:sz w:val="24"/>
          <w:szCs w:val="24"/>
        </w:rPr>
        <w:t>：</w:t>
      </w:r>
      <w:r>
        <w:rPr>
          <w:rFonts w:hint="eastAsia" w:ascii="仿宋_GB2312" w:hAnsi="Times New Roman" w:eastAsia="仿宋_GB2312"/>
          <w:b/>
          <w:bCs/>
          <w:color w:val="auto"/>
          <w:spacing w:val="0"/>
          <w:sz w:val="24"/>
          <w:szCs w:val="24"/>
          <w:u w:val="single"/>
          <w:lang w:val="en-US" w:eastAsia="zh-CN"/>
        </w:rPr>
        <w:t xml:space="preserve">                        </w:t>
      </w:r>
      <w:r>
        <w:rPr>
          <w:rFonts w:ascii="仿宋_GB2312" w:hAnsi="Times New Roman" w:eastAsia="仿宋_GB2312"/>
          <w:b/>
          <w:bCs/>
          <w:color w:val="auto"/>
          <w:spacing w:val="0"/>
          <w:sz w:val="24"/>
          <w:szCs w:val="24"/>
        </w:rPr>
        <w:t xml:space="preserve"> </w:t>
      </w:r>
      <w:r>
        <w:rPr>
          <w:rFonts w:ascii="仿宋_GB2312" w:hAnsi="Times New Roman" w:eastAsia="仿宋_GB2312"/>
          <w:b/>
          <w:bCs/>
          <w:color w:val="FF0000"/>
          <w:spacing w:val="0"/>
          <w:sz w:val="24"/>
          <w:szCs w:val="24"/>
        </w:rPr>
        <w:t xml:space="preserve">  </w:t>
      </w:r>
      <w:r>
        <w:rPr>
          <w:rFonts w:ascii="仿宋_GB2312" w:hAnsi="Times New Roman" w:eastAsia="仿宋_GB2312"/>
          <w:b/>
          <w:bCs/>
          <w:spacing w:val="0"/>
          <w:sz w:val="24"/>
          <w:szCs w:val="24"/>
        </w:rPr>
        <w:t xml:space="preserve">           </w:t>
      </w:r>
      <w:r>
        <w:rPr>
          <w:rFonts w:hint="eastAsia" w:ascii="仿宋_GB2312" w:hAnsi="Times New Roman" w:eastAsia="仿宋_GB2312"/>
          <w:b/>
          <w:bCs/>
          <w:spacing w:val="0"/>
          <w:sz w:val="24"/>
          <w:szCs w:val="24"/>
        </w:rPr>
        <w:t xml:space="preserve">     </w:t>
      </w:r>
    </w:p>
    <w:p>
      <w:pPr>
        <w:pStyle w:val="3"/>
        <w:tabs>
          <w:tab w:val="left" w:pos="420"/>
          <w:tab w:val="left" w:pos="9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723" w:firstLineChars="300"/>
        <w:rPr>
          <w:rFonts w:ascii="仿宋_GB2312" w:hAnsi="Times New Roman" w:eastAsia="仿宋_GB2312"/>
          <w:b/>
          <w:bCs/>
          <w:spacing w:val="0"/>
          <w:sz w:val="24"/>
          <w:szCs w:val="24"/>
        </w:rPr>
      </w:pPr>
      <w:r>
        <w:rPr>
          <w:rFonts w:hint="eastAsia" w:ascii="仿宋_GB2312" w:hAnsi="Times New Roman" w:eastAsia="仿宋_GB2312"/>
          <w:b/>
          <w:bCs/>
          <w:spacing w:val="0"/>
          <w:sz w:val="24"/>
          <w:szCs w:val="24"/>
        </w:rPr>
        <w:tab/>
      </w:r>
      <w:r>
        <w:rPr>
          <w:rFonts w:ascii="仿宋_GB2312" w:hAnsi="Times New Roman" w:eastAsia="仿宋_GB2312"/>
          <w:b/>
          <w:bCs/>
          <w:spacing w:val="0"/>
          <w:sz w:val="24"/>
          <w:szCs w:val="24"/>
        </w:rPr>
        <w:t xml:space="preserve">              </w:t>
      </w:r>
      <w:r>
        <w:rPr>
          <w:rFonts w:hint="eastAsia" w:ascii="仿宋_GB2312" w:hAnsi="Times New Roman" w:eastAsia="仿宋_GB2312"/>
          <w:b/>
          <w:bCs/>
          <w:spacing w:val="0"/>
          <w:sz w:val="24"/>
          <w:szCs w:val="24"/>
        </w:rPr>
        <w:t>受托方（乙方）：</w:t>
      </w:r>
      <w:r>
        <w:rPr>
          <w:rFonts w:hint="eastAsia" w:ascii="仿宋_GB2312" w:hAnsi="Times New Roman" w:eastAsia="仿宋_GB2312"/>
          <w:b/>
          <w:bCs/>
          <w:spacing w:val="0"/>
          <w:sz w:val="24"/>
          <w:szCs w:val="24"/>
          <w:u w:val="single"/>
          <w:lang w:val="en-US" w:eastAsia="zh-CN"/>
        </w:rPr>
        <w:t xml:space="preserve">                        </w:t>
      </w:r>
      <w:bookmarkStart w:id="0" w:name="_GoBack"/>
      <w:bookmarkEnd w:id="0"/>
      <w:r>
        <w:rPr>
          <w:rFonts w:hint="eastAsia" w:ascii="仿宋_GB2312" w:hAnsi="Times New Roman" w:eastAsia="仿宋_GB2312"/>
          <w:b/>
          <w:bCs/>
          <w:spacing w:val="0"/>
          <w:sz w:val="24"/>
          <w:szCs w:val="24"/>
        </w:rPr>
        <w:t xml:space="preserve">    </w:t>
      </w: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1316" w:firstLineChars="546"/>
        <w:rPr>
          <w:rFonts w:ascii="仿宋_GB2312" w:hAnsi="Times New Roman" w:eastAsia="仿宋_GB2312"/>
          <w:b/>
          <w:bCs/>
          <w:spacing w:val="0"/>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1255" w:firstLineChars="546"/>
        <w:rPr>
          <w:rFonts w:ascii="仿宋_GB2312" w:eastAsia="仿宋_GB2312"/>
          <w:sz w:val="24"/>
          <w:szCs w:val="24"/>
        </w:rPr>
      </w:pPr>
    </w:p>
    <w:p>
      <w:pPr>
        <w:pStyle w:val="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1255" w:firstLineChars="546"/>
        <w:rPr>
          <w:rFonts w:ascii="仿宋_GB2312" w:eastAsia="仿宋_GB2312"/>
          <w:sz w:val="24"/>
          <w:szCs w:val="24"/>
        </w:rPr>
      </w:pPr>
    </w:p>
    <w:p>
      <w:pPr>
        <w:pStyle w:val="3"/>
        <w:tabs>
          <w:tab w:val="left" w:pos="420"/>
          <w:tab w:val="left" w:pos="2581"/>
          <w:tab w:val="left" w:pos="2641"/>
          <w:tab w:val="left" w:pos="2701"/>
          <w:tab w:val="left" w:pos="2761"/>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rPr>
          <w:rFonts w:ascii="仿宋_GB2312" w:hAnsi="黑体" w:eastAsia="仿宋_GB2312"/>
          <w:b/>
          <w:bCs/>
          <w:sz w:val="24"/>
          <w:szCs w:val="24"/>
          <w:u w:val="single"/>
        </w:rPr>
      </w:pPr>
      <w:r>
        <w:rPr>
          <w:rFonts w:hint="eastAsia" w:ascii="仿宋_GB2312" w:hAnsi="Times New Roman" w:eastAsia="仿宋_GB2312"/>
          <w:b/>
          <w:bCs/>
          <w:spacing w:val="0"/>
          <w:sz w:val="24"/>
          <w:szCs w:val="24"/>
        </w:rPr>
        <w:tab/>
      </w:r>
      <w:r>
        <w:rPr>
          <w:rFonts w:hint="eastAsia" w:ascii="仿宋_GB2312" w:hAnsi="Times New Roman" w:eastAsia="仿宋_GB2312"/>
          <w:b/>
          <w:bCs/>
          <w:spacing w:val="0"/>
          <w:sz w:val="24"/>
          <w:szCs w:val="24"/>
        </w:rPr>
        <w:tab/>
      </w:r>
      <w:r>
        <w:rPr>
          <w:rFonts w:hint="eastAsia" w:ascii="仿宋_GB2312" w:hAnsi="黑体" w:eastAsia="仿宋_GB2312"/>
          <w:b/>
          <w:bCs/>
          <w:spacing w:val="0"/>
          <w:sz w:val="24"/>
          <w:szCs w:val="24"/>
        </w:rPr>
        <w:t>签订地点：</w:t>
      </w:r>
      <w:r>
        <w:rPr>
          <w:rFonts w:hint="eastAsia" w:ascii="仿宋_GB2312" w:hAnsi="黑体" w:eastAsia="仿宋_GB2312"/>
          <w:b/>
          <w:bCs/>
          <w:spacing w:val="0"/>
          <w:sz w:val="24"/>
          <w:szCs w:val="24"/>
          <w:u w:val="single"/>
        </w:rPr>
        <w:t>海南省海口市</w:t>
      </w:r>
    </w:p>
    <w:p>
      <w:pPr>
        <w:pStyle w:val="3"/>
        <w:tabs>
          <w:tab w:val="left" w:pos="420"/>
          <w:tab w:val="left" w:pos="2581"/>
          <w:tab w:val="left" w:pos="2641"/>
          <w:tab w:val="left" w:pos="2701"/>
          <w:tab w:val="left" w:pos="2761"/>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rPr>
          <w:rFonts w:ascii="仿宋_GB2312" w:hAnsi="黑体" w:eastAsia="仿宋_GB2312"/>
          <w:b/>
          <w:bCs/>
          <w:sz w:val="24"/>
          <w:szCs w:val="24"/>
          <w:u w:val="single"/>
        </w:rPr>
      </w:pPr>
      <w:r>
        <w:rPr>
          <w:rFonts w:hint="eastAsia" w:ascii="仿宋_GB2312" w:hAnsi="Times New Roman" w:eastAsia="仿宋_GB2312"/>
          <w:b/>
          <w:bCs/>
          <w:spacing w:val="0"/>
          <w:sz w:val="24"/>
          <w:szCs w:val="24"/>
        </w:rPr>
        <w:tab/>
      </w:r>
      <w:r>
        <w:rPr>
          <w:rFonts w:hint="eastAsia" w:ascii="仿宋_GB2312" w:hAnsi="Times New Roman" w:eastAsia="仿宋_GB2312"/>
          <w:b/>
          <w:bCs/>
          <w:spacing w:val="0"/>
          <w:sz w:val="24"/>
          <w:szCs w:val="24"/>
        </w:rPr>
        <w:tab/>
      </w:r>
      <w:r>
        <w:rPr>
          <w:rFonts w:hint="eastAsia" w:ascii="仿宋_GB2312" w:hAnsi="黑体" w:eastAsia="仿宋_GB2312"/>
          <w:b/>
          <w:bCs/>
          <w:spacing w:val="0"/>
          <w:sz w:val="24"/>
          <w:szCs w:val="24"/>
        </w:rPr>
        <w:t>签订时间：</w:t>
      </w:r>
      <w:r>
        <w:rPr>
          <w:rFonts w:ascii="仿宋_GB2312" w:hAnsi="黑体" w:eastAsia="仿宋_GB2312"/>
          <w:b/>
          <w:bCs/>
          <w:spacing w:val="0"/>
          <w:sz w:val="24"/>
          <w:szCs w:val="24"/>
          <w:u w:val="single"/>
        </w:rPr>
        <w:t>202</w:t>
      </w:r>
      <w:r>
        <w:rPr>
          <w:rFonts w:hint="eastAsia" w:ascii="仿宋_GB2312" w:hAnsi="黑体" w:eastAsia="仿宋_GB2312"/>
          <w:b/>
          <w:bCs/>
          <w:spacing w:val="0"/>
          <w:sz w:val="24"/>
          <w:szCs w:val="24"/>
          <w:u w:val="single"/>
        </w:rPr>
        <w:t>4</w:t>
      </w:r>
      <w:r>
        <w:rPr>
          <w:rFonts w:ascii="仿宋_GB2312" w:hAnsi="黑体" w:eastAsia="仿宋_GB2312"/>
          <w:b/>
          <w:bCs/>
          <w:spacing w:val="0"/>
          <w:sz w:val="24"/>
          <w:szCs w:val="24"/>
          <w:u w:val="single"/>
        </w:rPr>
        <w:t xml:space="preserve"> </w:t>
      </w:r>
      <w:r>
        <w:rPr>
          <w:rFonts w:hint="eastAsia" w:ascii="仿宋_GB2312" w:hAnsi="黑体" w:eastAsia="仿宋_GB2312"/>
          <w:b/>
          <w:bCs/>
          <w:spacing w:val="0"/>
          <w:sz w:val="24"/>
          <w:szCs w:val="24"/>
          <w:u w:val="single"/>
        </w:rPr>
        <w:t xml:space="preserve">年 </w:t>
      </w:r>
      <w:r>
        <w:rPr>
          <w:rFonts w:ascii="仿宋_GB2312" w:hAnsi="黑体" w:eastAsia="仿宋_GB2312"/>
          <w:b/>
          <w:bCs/>
          <w:spacing w:val="0"/>
          <w:sz w:val="24"/>
          <w:szCs w:val="24"/>
          <w:u w:val="single"/>
        </w:rPr>
        <w:t xml:space="preserve"> </w:t>
      </w:r>
      <w:r>
        <w:rPr>
          <w:rFonts w:hint="eastAsia" w:ascii="仿宋_GB2312" w:hAnsi="黑体" w:eastAsia="仿宋_GB2312"/>
          <w:b/>
          <w:bCs/>
          <w:spacing w:val="0"/>
          <w:sz w:val="24"/>
          <w:szCs w:val="24"/>
          <w:u w:val="single"/>
        </w:rPr>
        <w:t>月</w:t>
      </w:r>
    </w:p>
    <w:p>
      <w:pPr>
        <w:adjustRightInd w:val="0"/>
        <w:spacing w:line="440" w:lineRule="exact"/>
        <w:textAlignment w:val="baseline"/>
        <w:rPr>
          <w:rFonts w:ascii="仿宋_GB2312" w:hAnsi="仿宋_GB2312" w:cs="仿宋_GB2312"/>
          <w:bCs/>
          <w:color w:val="000000"/>
          <w:sz w:val="24"/>
          <w:szCs w:val="24"/>
        </w:rPr>
        <w:sectPr>
          <w:footerReference r:id="rId3" w:type="default"/>
          <w:footerReference r:id="rId4" w:type="even"/>
          <w:pgSz w:w="11906" w:h="16838"/>
          <w:pgMar w:top="720" w:right="720" w:bottom="720" w:left="720" w:header="851" w:footer="992" w:gutter="0"/>
          <w:pgNumType w:fmt="numberInDash"/>
          <w:cols w:space="425" w:num="1"/>
          <w:docGrid w:type="lines" w:linePitch="435" w:charSpace="0"/>
        </w:sectPr>
      </w:pPr>
    </w:p>
    <w:p>
      <w:pPr>
        <w:adjustRightInd w:val="0"/>
        <w:spacing w:line="440" w:lineRule="exact"/>
        <w:ind w:firstLine="480" w:firstLineChars="200"/>
        <w:textAlignment w:val="baseline"/>
        <w:rPr>
          <w:rFonts w:ascii="仿宋_GB2312" w:hAnsi="仿宋_GB2312" w:cs="仿宋_GB2312"/>
          <w:bCs/>
          <w:color w:val="auto"/>
          <w:sz w:val="24"/>
          <w:szCs w:val="24"/>
        </w:rPr>
      </w:pPr>
      <w:r>
        <w:rPr>
          <w:rFonts w:hint="eastAsia" w:ascii="仿宋_GB2312" w:hAnsi="仿宋_GB2312" w:cs="仿宋_GB2312"/>
          <w:bCs/>
          <w:color w:val="auto"/>
          <w:sz w:val="24"/>
          <w:szCs w:val="24"/>
        </w:rPr>
        <w:t xml:space="preserve">甲方： </w:t>
      </w:r>
    </w:p>
    <w:p>
      <w:pPr>
        <w:adjustRightInd w:val="0"/>
        <w:spacing w:line="440" w:lineRule="exact"/>
        <w:ind w:firstLine="480" w:firstLineChars="200"/>
        <w:textAlignment w:val="baseline"/>
        <w:rPr>
          <w:rFonts w:ascii="仿宋_GB2312" w:hAnsi="仿宋_GB2312" w:cs="仿宋_GB2312"/>
          <w:bCs/>
          <w:color w:val="auto"/>
          <w:sz w:val="24"/>
          <w:szCs w:val="24"/>
        </w:rPr>
      </w:pPr>
      <w:r>
        <w:rPr>
          <w:rFonts w:hint="eastAsia" w:ascii="仿宋_GB2312" w:hAnsi="仿宋_GB2312" w:cs="仿宋_GB2312"/>
          <w:bCs/>
          <w:color w:val="auto"/>
          <w:sz w:val="24"/>
          <w:szCs w:val="24"/>
        </w:rPr>
        <w:t xml:space="preserve">统一社会信用代码：       </w:t>
      </w:r>
    </w:p>
    <w:p>
      <w:pPr>
        <w:adjustRightInd w:val="0"/>
        <w:spacing w:line="440" w:lineRule="exact"/>
        <w:ind w:firstLine="480" w:firstLineChars="200"/>
        <w:textAlignment w:val="baseline"/>
        <w:rPr>
          <w:rFonts w:ascii="仿宋_GB2312" w:hAnsi="仿宋_GB2312" w:cs="仿宋_GB2312"/>
          <w:bCs/>
          <w:color w:val="auto"/>
          <w:sz w:val="24"/>
          <w:szCs w:val="24"/>
        </w:rPr>
      </w:pPr>
      <w:r>
        <w:rPr>
          <w:rFonts w:hint="eastAsia" w:ascii="仿宋_GB2312" w:hAnsi="仿宋_GB2312" w:cs="仿宋_GB2312"/>
          <w:bCs/>
          <w:color w:val="auto"/>
          <w:sz w:val="24"/>
          <w:szCs w:val="24"/>
        </w:rPr>
        <w:t xml:space="preserve">法定代表人：  </w:t>
      </w:r>
    </w:p>
    <w:p>
      <w:pPr>
        <w:adjustRightInd w:val="0"/>
        <w:spacing w:line="440" w:lineRule="exact"/>
        <w:ind w:firstLine="480" w:firstLineChars="200"/>
        <w:textAlignment w:val="baseline"/>
        <w:rPr>
          <w:rFonts w:ascii="仿宋_GB2312" w:hAnsi="仿宋_GB2312" w:cs="仿宋_GB2312"/>
          <w:bCs/>
          <w:color w:val="auto"/>
          <w:sz w:val="24"/>
          <w:szCs w:val="24"/>
        </w:rPr>
      </w:pPr>
      <w:r>
        <w:rPr>
          <w:rFonts w:hint="eastAsia" w:ascii="仿宋_GB2312" w:hAnsi="仿宋_GB2312" w:cs="仿宋_GB2312"/>
          <w:bCs/>
          <w:color w:val="auto"/>
          <w:sz w:val="24"/>
          <w:szCs w:val="24"/>
        </w:rPr>
        <w:t xml:space="preserve">注册地址： </w:t>
      </w:r>
    </w:p>
    <w:p>
      <w:pPr>
        <w:adjustRightInd w:val="0"/>
        <w:spacing w:line="440" w:lineRule="exact"/>
        <w:ind w:firstLine="480" w:firstLineChars="200"/>
        <w:textAlignment w:val="baseline"/>
        <w:rPr>
          <w:rFonts w:ascii="仿宋_GB2312" w:hAnsi="仿宋_GB2312" w:cs="仿宋_GB2312"/>
          <w:bCs/>
          <w:color w:val="auto"/>
          <w:sz w:val="24"/>
          <w:szCs w:val="24"/>
        </w:rPr>
      </w:pPr>
      <w:r>
        <w:rPr>
          <w:rFonts w:hint="eastAsia" w:ascii="仿宋_GB2312" w:hAnsi="仿宋_GB2312" w:cs="仿宋_GB2312"/>
          <w:bCs/>
          <w:color w:val="auto"/>
          <w:sz w:val="24"/>
          <w:szCs w:val="24"/>
        </w:rPr>
        <w:t xml:space="preserve">电话：     </w:t>
      </w:r>
    </w:p>
    <w:p>
      <w:pPr>
        <w:adjustRightInd w:val="0"/>
        <w:spacing w:line="440" w:lineRule="exact"/>
        <w:textAlignment w:val="baseline"/>
        <w:rPr>
          <w:rFonts w:ascii="仿宋_GB2312" w:hAnsi="仿宋_GB2312" w:cs="仿宋_GB2312"/>
          <w:bCs/>
          <w:color w:val="000000"/>
          <w:sz w:val="24"/>
          <w:szCs w:val="24"/>
        </w:rPr>
      </w:pPr>
    </w:p>
    <w:p>
      <w:pPr>
        <w:adjustRightInd w:val="0"/>
        <w:spacing w:line="440" w:lineRule="exact"/>
        <w:ind w:firstLine="480" w:firstLineChars="200"/>
        <w:textAlignment w:val="baseline"/>
        <w:rPr>
          <w:rFonts w:ascii="仿宋_GB2312" w:hAnsi="仿宋_GB2312" w:cs="仿宋_GB2312"/>
          <w:bCs/>
          <w:color w:val="000000" w:themeColor="text1"/>
          <w:sz w:val="24"/>
          <w:szCs w:val="24"/>
          <w:u w:val="single"/>
          <w14:textFill>
            <w14:solidFill>
              <w14:schemeClr w14:val="tx1"/>
            </w14:solidFill>
          </w14:textFill>
        </w:rPr>
      </w:pPr>
      <w:r>
        <w:rPr>
          <w:rFonts w:hint="eastAsia" w:ascii="仿宋_GB2312" w:hAnsi="仿宋_GB2312" w:cs="仿宋_GB2312"/>
          <w:bCs/>
          <w:color w:val="000000" w:themeColor="text1"/>
          <w:sz w:val="24"/>
          <w:szCs w:val="24"/>
          <w14:textFill>
            <w14:solidFill>
              <w14:schemeClr w14:val="tx1"/>
            </w14:solidFill>
          </w14:textFill>
        </w:rPr>
        <w:t xml:space="preserve">乙方：统一社会信用代码：                           </w:t>
      </w:r>
    </w:p>
    <w:p>
      <w:pPr>
        <w:adjustRightInd w:val="0"/>
        <w:spacing w:line="440" w:lineRule="exact"/>
        <w:ind w:firstLine="480" w:firstLineChars="200"/>
        <w:textAlignment w:val="baseline"/>
        <w:rPr>
          <w:rFonts w:ascii="仿宋_GB2312" w:hAnsi="仿宋_GB2312" w:cs="仿宋_GB2312"/>
          <w:bCs/>
          <w:color w:val="000000" w:themeColor="text1"/>
          <w:sz w:val="24"/>
          <w:szCs w:val="24"/>
          <w:u w:val="single"/>
          <w14:textFill>
            <w14:solidFill>
              <w14:schemeClr w14:val="tx1"/>
            </w14:solidFill>
          </w14:textFill>
        </w:rPr>
      </w:pPr>
      <w:r>
        <w:rPr>
          <w:rFonts w:hint="eastAsia" w:ascii="仿宋_GB2312" w:hAnsi="仿宋_GB2312" w:cs="仿宋_GB2312"/>
          <w:bCs/>
          <w:color w:val="000000" w:themeColor="text1"/>
          <w:sz w:val="24"/>
          <w:szCs w:val="24"/>
          <w14:textFill>
            <w14:solidFill>
              <w14:schemeClr w14:val="tx1"/>
            </w14:solidFill>
          </w14:textFill>
        </w:rPr>
        <w:t xml:space="preserve">法定代表人：          </w:t>
      </w:r>
    </w:p>
    <w:p>
      <w:pPr>
        <w:adjustRightInd w:val="0"/>
        <w:spacing w:line="440" w:lineRule="exact"/>
        <w:ind w:firstLine="480" w:firstLineChars="200"/>
        <w:textAlignment w:val="baseline"/>
        <w:rPr>
          <w:rFonts w:ascii="仿宋_GB2312" w:hAnsi="仿宋_GB2312" w:cs="仿宋_GB2312"/>
          <w:bCs/>
          <w:color w:val="000000" w:themeColor="text1"/>
          <w:sz w:val="24"/>
          <w:szCs w:val="24"/>
          <w14:textFill>
            <w14:solidFill>
              <w14:schemeClr w14:val="tx1"/>
            </w14:solidFill>
          </w14:textFill>
        </w:rPr>
      </w:pPr>
      <w:r>
        <w:rPr>
          <w:rFonts w:hint="eastAsia" w:ascii="仿宋_GB2312" w:hAnsi="仿宋_GB2312" w:cs="仿宋_GB2312"/>
          <w:bCs/>
          <w:color w:val="000000" w:themeColor="text1"/>
          <w:sz w:val="24"/>
          <w:szCs w:val="24"/>
          <w14:textFill>
            <w14:solidFill>
              <w14:schemeClr w14:val="tx1"/>
            </w14:solidFill>
          </w14:textFill>
        </w:rPr>
        <w:t xml:space="preserve">注册地址：                                                                              </w:t>
      </w:r>
    </w:p>
    <w:p>
      <w:pPr>
        <w:adjustRightInd w:val="0"/>
        <w:spacing w:line="440" w:lineRule="exact"/>
        <w:ind w:firstLine="480" w:firstLineChars="200"/>
        <w:textAlignment w:val="baseline"/>
        <w:rPr>
          <w:rFonts w:ascii="仿宋_GB2312" w:hAnsi="仿宋_GB2312" w:cs="仿宋_GB2312"/>
          <w:bCs/>
          <w:color w:val="000000"/>
          <w:sz w:val="24"/>
          <w:szCs w:val="24"/>
        </w:rPr>
      </w:pPr>
      <w:r>
        <w:rPr>
          <w:rFonts w:hint="eastAsia" w:ascii="仿宋_GB2312" w:hAnsi="仿宋_GB2312" w:cs="仿宋_GB2312"/>
          <w:bCs/>
          <w:color w:val="000000" w:themeColor="text1"/>
          <w:sz w:val="24"/>
          <w:szCs w:val="24"/>
          <w14:textFill>
            <w14:solidFill>
              <w14:schemeClr w14:val="tx1"/>
            </w14:solidFill>
          </w14:textFill>
        </w:rPr>
        <w:t xml:space="preserve">电话：     </w:t>
      </w:r>
      <w:r>
        <w:rPr>
          <w:rFonts w:hint="eastAsia" w:ascii="仿宋_GB2312" w:hAnsi="仿宋_GB2312" w:cs="仿宋_GB2312"/>
          <w:bCs/>
          <w:color w:val="000000"/>
          <w:sz w:val="24"/>
          <w:szCs w:val="24"/>
        </w:rPr>
        <w:t xml:space="preserve">              </w:t>
      </w:r>
    </w:p>
    <w:p>
      <w:pPr>
        <w:snapToGrid w:val="0"/>
        <w:spacing w:line="440" w:lineRule="exact"/>
        <w:ind w:firstLine="480" w:firstLineChars="200"/>
        <w:jc w:val="both"/>
        <w:rPr>
          <w:rFonts w:ascii="仿宋_GB2312" w:hAnsi="宋体"/>
          <w:sz w:val="24"/>
          <w:szCs w:val="24"/>
        </w:rPr>
      </w:pP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甲乙双方根据《中华人民共和国民法典》等相关法律法规之规定，经友好协商，就甲方委托乙方进行信用评级事宜达成以下合同条款，以资共同遵守。</w:t>
      </w:r>
    </w:p>
    <w:p>
      <w:pPr>
        <w:snapToGrid w:val="0"/>
        <w:spacing w:line="440" w:lineRule="exact"/>
        <w:ind w:firstLine="482" w:firstLineChars="200"/>
        <w:jc w:val="both"/>
        <w:rPr>
          <w:rFonts w:ascii="仿宋_GB2312" w:hAnsi="宋体"/>
          <w:sz w:val="24"/>
          <w:szCs w:val="24"/>
        </w:rPr>
      </w:pPr>
      <w:r>
        <w:rPr>
          <w:rFonts w:hint="eastAsia" w:ascii="仿宋_GB2312" w:hAnsi="宋体"/>
          <w:b/>
          <w:sz w:val="24"/>
          <w:szCs w:val="24"/>
        </w:rPr>
        <w:t>一、委托事项及评级报告用途</w:t>
      </w:r>
    </w:p>
    <w:p>
      <w:pPr>
        <w:spacing w:line="440" w:lineRule="exact"/>
        <w:ind w:firstLine="480" w:firstLineChars="200"/>
        <w:jc w:val="both"/>
        <w:rPr>
          <w:rFonts w:ascii="仿宋_GB2312" w:hAnsi="宋体"/>
          <w:sz w:val="24"/>
          <w:szCs w:val="24"/>
        </w:rPr>
      </w:pPr>
      <w:r>
        <w:rPr>
          <w:rFonts w:hint="eastAsia" w:ascii="仿宋_GB2312" w:hAnsi="宋体"/>
          <w:sz w:val="24"/>
          <w:szCs w:val="24"/>
        </w:rPr>
        <w:t>1、甲方委托乙方对其企业信用进行评级并出具主体评级报告。</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2、甲方将引用乙方所出具的主体信用评级结果和主体信用评级报告发行任何债项的，甲方事先通过邮件通知乙方进行确认，乙方须收到邮件后五个工作日内予以回复。</w:t>
      </w:r>
    </w:p>
    <w:p>
      <w:pPr>
        <w:snapToGrid w:val="0"/>
        <w:spacing w:line="440" w:lineRule="exact"/>
        <w:ind w:firstLine="480" w:firstLineChars="200"/>
        <w:jc w:val="both"/>
        <w:rPr>
          <w:rFonts w:ascii="仿宋_GB2312" w:hAnsi="宋体"/>
          <w:b/>
          <w:sz w:val="24"/>
          <w:szCs w:val="24"/>
        </w:rPr>
      </w:pPr>
      <w:r>
        <w:rPr>
          <w:rFonts w:hint="eastAsia" w:ascii="仿宋_GB2312" w:hAnsi="宋体"/>
          <w:sz w:val="24"/>
          <w:szCs w:val="24"/>
        </w:rPr>
        <w:t>二、评级费用</w:t>
      </w:r>
    </w:p>
    <w:p>
      <w:pPr>
        <w:spacing w:line="440" w:lineRule="exact"/>
        <w:ind w:firstLine="480" w:firstLineChars="200"/>
        <w:jc w:val="both"/>
        <w:rPr>
          <w:rFonts w:ascii="仿宋_GB2312" w:hAnsi="宋体"/>
          <w:sz w:val="24"/>
          <w:szCs w:val="24"/>
        </w:rPr>
      </w:pPr>
      <w:r>
        <w:rPr>
          <w:rFonts w:hint="eastAsia" w:ascii="仿宋_GB2312" w:hAnsi="宋体"/>
          <w:sz w:val="24"/>
          <w:szCs w:val="24"/>
        </w:rPr>
        <w:t>1、本次评级费用为：人民币</w:t>
      </w:r>
      <w:r>
        <w:rPr>
          <w:rFonts w:ascii="仿宋_GB2312" w:hAnsi="宋体" w:cs="仿宋_GB2312"/>
          <w:color w:val="000000"/>
          <w:sz w:val="24"/>
          <w:szCs w:val="24"/>
          <w:shd w:val="clear" w:color="auto" w:fill="FFFFFF"/>
        </w:rPr>
        <w:t>（含税价，税率</w:t>
      </w:r>
      <w:r>
        <w:rPr>
          <w:rFonts w:hint="eastAsia" w:ascii="仿宋_GB2312" w:hAnsi="宋体" w:cs="仿宋_GB2312"/>
          <w:color w:val="000000"/>
          <w:sz w:val="24"/>
          <w:szCs w:val="24"/>
          <w:shd w:val="clear" w:color="auto" w:fill="FFFFFF"/>
        </w:rPr>
        <w:t>6%）</w:t>
      </w:r>
      <w:r>
        <w:rPr>
          <w:rFonts w:hint="eastAsia" w:ascii="仿宋_GB2312" w:hAnsi="宋体"/>
          <w:sz w:val="24"/>
          <w:szCs w:val="24"/>
        </w:rPr>
        <w:t>（大写）</w:t>
      </w:r>
      <w:r>
        <w:rPr>
          <w:rFonts w:hint="eastAsia" w:ascii="仿宋_GB2312" w:hAnsi="宋体"/>
          <w:bCs/>
          <w:sz w:val="24"/>
          <w:szCs w:val="24"/>
          <w:u w:val="single"/>
        </w:rPr>
        <w:t xml:space="preserve">   </w:t>
      </w:r>
      <w:r>
        <w:rPr>
          <w:rFonts w:hint="eastAsia" w:ascii="仿宋_GB2312" w:hAnsi="宋体"/>
          <w:sz w:val="24"/>
          <w:szCs w:val="24"/>
        </w:rPr>
        <w:t xml:space="preserve"> 整（小写：</w:t>
      </w:r>
      <w:r>
        <w:rPr>
          <w:rFonts w:hint="eastAsia" w:ascii="仿宋_GB2312" w:hAnsi="宋体"/>
          <w:bCs/>
          <w:sz w:val="24"/>
          <w:szCs w:val="24"/>
          <w:u w:val="single"/>
        </w:rPr>
        <w:t xml:space="preserve">   </w:t>
      </w:r>
      <w:r>
        <w:rPr>
          <w:rFonts w:hint="eastAsia" w:ascii="仿宋_GB2312" w:hAnsi="宋体"/>
          <w:sz w:val="24"/>
          <w:szCs w:val="24"/>
        </w:rPr>
        <w:t>）。</w:t>
      </w:r>
    </w:p>
    <w:p>
      <w:pPr>
        <w:spacing w:line="440" w:lineRule="exact"/>
        <w:ind w:firstLine="480" w:firstLineChars="200"/>
        <w:jc w:val="both"/>
        <w:rPr>
          <w:rFonts w:ascii="仿宋_GB2312" w:hAnsi="宋体"/>
          <w:sz w:val="24"/>
          <w:szCs w:val="24"/>
        </w:rPr>
      </w:pPr>
      <w:r>
        <w:rPr>
          <w:rFonts w:hint="eastAsia" w:ascii="仿宋_GB2312" w:hAnsi="宋体"/>
          <w:sz w:val="24"/>
          <w:szCs w:val="24"/>
        </w:rPr>
        <w:t>甲方应在收到乙方发票后，于</w:t>
      </w:r>
      <w:r>
        <w:rPr>
          <w:rFonts w:hint="eastAsia" w:ascii="仿宋_GB2312" w:hAnsi="宋体"/>
          <w:bCs/>
          <w:sz w:val="24"/>
          <w:szCs w:val="24"/>
          <w:u w:val="single"/>
        </w:rPr>
        <w:t xml:space="preserve">   </w:t>
      </w:r>
      <w:r>
        <w:rPr>
          <w:rFonts w:hint="eastAsia" w:ascii="仿宋_GB2312" w:hAnsi="宋体"/>
          <w:sz w:val="24"/>
          <w:szCs w:val="24"/>
        </w:rPr>
        <w:t>年</w:t>
      </w:r>
      <w:r>
        <w:rPr>
          <w:rFonts w:hint="eastAsia" w:ascii="仿宋_GB2312" w:hAnsi="宋体"/>
          <w:bCs/>
          <w:sz w:val="24"/>
          <w:szCs w:val="24"/>
          <w:u w:val="single"/>
        </w:rPr>
        <w:t xml:space="preserve">  </w:t>
      </w:r>
      <w:r>
        <w:rPr>
          <w:rFonts w:hint="eastAsia" w:ascii="仿宋_GB2312" w:hAnsi="宋体"/>
          <w:sz w:val="24"/>
          <w:szCs w:val="24"/>
        </w:rPr>
        <w:t>月</w:t>
      </w:r>
      <w:r>
        <w:rPr>
          <w:rFonts w:hint="eastAsia" w:ascii="仿宋_GB2312" w:hAnsi="宋体"/>
          <w:bCs/>
          <w:sz w:val="24"/>
          <w:szCs w:val="24"/>
          <w:u w:val="single"/>
        </w:rPr>
        <w:t xml:space="preserve">  </w:t>
      </w:r>
      <w:r>
        <w:rPr>
          <w:rFonts w:hint="eastAsia" w:ascii="仿宋_GB2312" w:hAnsi="宋体"/>
          <w:sz w:val="24"/>
          <w:szCs w:val="24"/>
        </w:rPr>
        <w:t>日前，将评级费用全额一次性支付至乙方指定账户。</w:t>
      </w:r>
    </w:p>
    <w:p>
      <w:pPr>
        <w:spacing w:line="440" w:lineRule="exact"/>
        <w:ind w:firstLine="480" w:firstLineChars="200"/>
        <w:jc w:val="both"/>
        <w:rPr>
          <w:rFonts w:ascii="仿宋_GB2312" w:hAnsi="宋体"/>
          <w:sz w:val="24"/>
          <w:szCs w:val="24"/>
        </w:rPr>
      </w:pPr>
      <w:r>
        <w:rPr>
          <w:rFonts w:hint="eastAsia" w:ascii="仿宋_GB2312" w:hAnsi="宋体"/>
          <w:sz w:val="24"/>
          <w:szCs w:val="24"/>
        </w:rPr>
        <w:t>2、乙方账户信息：</w:t>
      </w:r>
    </w:p>
    <w:p>
      <w:pPr>
        <w:tabs>
          <w:tab w:val="left" w:pos="4275"/>
          <w:tab w:val="left" w:pos="5760"/>
          <w:tab w:val="left" w:pos="6020"/>
          <w:tab w:val="left" w:pos="6300"/>
        </w:tabs>
        <w:spacing w:line="440" w:lineRule="exact"/>
        <w:ind w:firstLine="480" w:firstLineChars="200"/>
        <w:jc w:val="both"/>
        <w:rPr>
          <w:rFonts w:ascii="仿宋_GB2312" w:hAnsi="宋体"/>
          <w:sz w:val="24"/>
          <w:szCs w:val="24"/>
        </w:rPr>
      </w:pPr>
      <w:r>
        <w:rPr>
          <w:rFonts w:hint="eastAsia" w:ascii="仿宋_GB2312" w:hAnsi="宋体"/>
          <w:sz w:val="24"/>
          <w:szCs w:val="24"/>
        </w:rPr>
        <w:t>户  名：</w:t>
      </w:r>
    </w:p>
    <w:p>
      <w:pPr>
        <w:snapToGrid w:val="0"/>
        <w:spacing w:line="440" w:lineRule="exact"/>
        <w:ind w:firstLine="480" w:firstLineChars="200"/>
        <w:jc w:val="both"/>
        <w:rPr>
          <w:rFonts w:hint="eastAsia" w:ascii="仿宋_GB2312" w:hAnsi="宋体"/>
          <w:sz w:val="24"/>
          <w:szCs w:val="24"/>
        </w:rPr>
      </w:pPr>
      <w:r>
        <w:rPr>
          <w:rFonts w:hint="eastAsia" w:ascii="仿宋_GB2312" w:hAnsi="宋体"/>
          <w:sz w:val="24"/>
          <w:szCs w:val="24"/>
        </w:rPr>
        <w:t>开户行：</w:t>
      </w:r>
    </w:p>
    <w:p>
      <w:pPr>
        <w:snapToGrid w:val="0"/>
        <w:spacing w:line="440" w:lineRule="exact"/>
        <w:ind w:firstLine="480" w:firstLineChars="200"/>
        <w:jc w:val="both"/>
        <w:rPr>
          <w:rFonts w:ascii="仿宋_GB2312" w:hAnsiTheme="minorEastAsia"/>
          <w:sz w:val="24"/>
          <w:szCs w:val="24"/>
        </w:rPr>
      </w:pPr>
      <w:r>
        <w:rPr>
          <w:rFonts w:hint="eastAsia" w:ascii="仿宋_GB2312" w:hAnsi="宋体"/>
          <w:sz w:val="24"/>
          <w:szCs w:val="24"/>
        </w:rPr>
        <w:t xml:space="preserve">账  号： </w:t>
      </w:r>
    </w:p>
    <w:p>
      <w:pPr>
        <w:snapToGrid w:val="0"/>
        <w:spacing w:line="440" w:lineRule="exact"/>
        <w:ind w:firstLine="480" w:firstLineChars="200"/>
        <w:jc w:val="both"/>
        <w:rPr>
          <w:rFonts w:ascii="仿宋_GB2312" w:hAnsi="宋体"/>
          <w:sz w:val="24"/>
          <w:szCs w:val="2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甲方开票信息：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户  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 xml:space="preserve">开户行：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账  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纳税人识别号：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电  话：</w:t>
      </w:r>
    </w:p>
    <w:p>
      <w:pPr>
        <w:snapToGrid w:val="0"/>
        <w:spacing w:line="440" w:lineRule="exact"/>
        <w:ind w:firstLine="480" w:firstLineChars="200"/>
        <w:jc w:val="both"/>
        <w:rPr>
          <w:rFonts w:ascii="仿宋_GB2312" w:hAnsi="宋体"/>
          <w:color w:val="auto"/>
          <w:sz w:val="24"/>
          <w:szCs w:val="24"/>
        </w:rPr>
      </w:pPr>
      <w:r>
        <w:rPr>
          <w:rFonts w:hint="eastAsia" w:ascii="仿宋_GB2312" w:hAnsi="宋体"/>
          <w:color w:val="auto"/>
          <w:sz w:val="24"/>
          <w:szCs w:val="24"/>
        </w:rPr>
        <w:t>地  址：</w:t>
      </w:r>
      <w:r>
        <w:rPr>
          <w:rFonts w:ascii="仿宋_GB2312" w:hAnsi="宋体"/>
          <w:color w:val="auto"/>
          <w:sz w:val="24"/>
          <w:szCs w:val="24"/>
        </w:rPr>
        <w:t xml:space="preserve"> </w:t>
      </w:r>
    </w:p>
    <w:p>
      <w:pPr>
        <w:spacing w:line="440" w:lineRule="exact"/>
        <w:ind w:firstLine="482" w:firstLineChars="200"/>
        <w:rPr>
          <w:rFonts w:ascii="仿宋_GB2312" w:hAnsi="宋体"/>
          <w:b/>
          <w:sz w:val="24"/>
          <w:szCs w:val="24"/>
        </w:rPr>
      </w:pPr>
      <w:r>
        <w:rPr>
          <w:rFonts w:hint="eastAsia" w:ascii="仿宋_GB2312" w:hAnsi="宋体"/>
          <w:b/>
          <w:sz w:val="24"/>
          <w:szCs w:val="24"/>
        </w:rPr>
        <w:t>三、资料提供</w:t>
      </w:r>
    </w:p>
    <w:p>
      <w:pPr>
        <w:snapToGrid w:val="0"/>
        <w:spacing w:line="440" w:lineRule="exact"/>
        <w:ind w:firstLine="480" w:firstLineChars="200"/>
        <w:jc w:val="both"/>
        <w:rPr>
          <w:rFonts w:ascii="仿宋_GB2312" w:hAnsi="宋体"/>
          <w:iCs/>
          <w:sz w:val="24"/>
          <w:szCs w:val="24"/>
        </w:rPr>
      </w:pPr>
      <w:r>
        <w:rPr>
          <w:rFonts w:hint="eastAsia" w:ascii="仿宋_GB2312" w:hAnsi="宋体"/>
          <w:sz w:val="24"/>
          <w:szCs w:val="24"/>
        </w:rPr>
        <w:t>1、</w:t>
      </w:r>
      <w:r>
        <w:rPr>
          <w:rFonts w:hint="eastAsia" w:ascii="仿宋_GB2312" w:hAnsi="宋体"/>
          <w:iCs/>
          <w:sz w:val="24"/>
          <w:szCs w:val="24"/>
        </w:rPr>
        <w:t>甲方应在</w:t>
      </w:r>
      <w:r>
        <w:rPr>
          <w:rFonts w:hint="eastAsia" w:ascii="仿宋_GB2312" w:hAnsi="宋体"/>
          <w:sz w:val="24"/>
          <w:szCs w:val="24"/>
        </w:rPr>
        <w:t>本合同签署生效后，</w:t>
      </w:r>
      <w:r>
        <w:rPr>
          <w:rFonts w:hint="eastAsia" w:ascii="仿宋_GB2312" w:hAnsi="宋体"/>
          <w:iCs/>
          <w:sz w:val="24"/>
          <w:szCs w:val="24"/>
        </w:rPr>
        <w:t>乙方提供尽职调查清单后五个工作日内将评级所需要的文件资料加盖公章后提交乙方并同步提交对应电子版，甲方提交的文件资料应满足乙方评级需要。</w:t>
      </w:r>
    </w:p>
    <w:p>
      <w:pPr>
        <w:snapToGrid w:val="0"/>
        <w:spacing w:line="440" w:lineRule="exact"/>
        <w:ind w:firstLine="480" w:firstLineChars="200"/>
        <w:jc w:val="both"/>
        <w:rPr>
          <w:rFonts w:ascii="仿宋_GB2312" w:hAnsi="宋体"/>
          <w:iCs/>
          <w:sz w:val="24"/>
          <w:szCs w:val="24"/>
        </w:rPr>
      </w:pPr>
      <w:r>
        <w:rPr>
          <w:rFonts w:hint="eastAsia" w:ascii="仿宋_GB2312"/>
          <w:sz w:val="24"/>
          <w:szCs w:val="24"/>
        </w:rPr>
        <w:t>2、甲方保证在初评、复评、评级结果有效期内向乙方提供的文件、资料和信息以及其所作之陈述、声明或保证在提供时并在此后均具有合法性、真实性、准确性、完整性及有效性，不存在虚假记载、误导性陈述、重大遗漏及任何其他违规情形。</w:t>
      </w:r>
    </w:p>
    <w:p>
      <w:pPr>
        <w:snapToGrid w:val="0"/>
        <w:spacing w:line="440" w:lineRule="exact"/>
        <w:ind w:firstLine="480" w:firstLineChars="200"/>
        <w:jc w:val="both"/>
        <w:rPr>
          <w:rFonts w:ascii="仿宋_GB2312" w:hAnsi="宋体"/>
          <w:iCs/>
          <w:sz w:val="24"/>
          <w:szCs w:val="24"/>
        </w:rPr>
      </w:pPr>
      <w:r>
        <w:rPr>
          <w:rFonts w:hint="eastAsia" w:ascii="仿宋_GB2312" w:hAnsi="宋体"/>
          <w:iCs/>
          <w:sz w:val="24"/>
          <w:szCs w:val="24"/>
        </w:rPr>
        <w:t>3、甲方保证提交的文件资料不存在任何侵犯第三方版权、专利权等知识产权和商业秘密的情形。</w:t>
      </w:r>
    </w:p>
    <w:p>
      <w:pPr>
        <w:snapToGrid w:val="0"/>
        <w:spacing w:line="440" w:lineRule="exact"/>
        <w:ind w:firstLine="480" w:firstLineChars="200"/>
        <w:jc w:val="both"/>
        <w:rPr>
          <w:rFonts w:ascii="仿宋_GB2312" w:hAnsi="宋体"/>
          <w:iCs/>
          <w:sz w:val="24"/>
          <w:szCs w:val="24"/>
        </w:rPr>
      </w:pPr>
      <w:r>
        <w:rPr>
          <w:rFonts w:hint="eastAsia" w:ascii="仿宋_GB2312" w:hAnsi="宋体"/>
          <w:iCs/>
          <w:sz w:val="24"/>
          <w:szCs w:val="24"/>
        </w:rPr>
        <w:t>4、未经乙方同意，重要的评级资料甲方提供后即不可随意更改和撤销。</w:t>
      </w:r>
    </w:p>
    <w:p>
      <w:pPr>
        <w:snapToGrid w:val="0"/>
        <w:spacing w:line="440" w:lineRule="exact"/>
        <w:ind w:firstLine="480" w:firstLineChars="200"/>
        <w:jc w:val="both"/>
        <w:rPr>
          <w:rFonts w:ascii="仿宋_GB2312" w:hAnsi="宋体"/>
          <w:iCs/>
          <w:sz w:val="24"/>
          <w:szCs w:val="24"/>
        </w:rPr>
      </w:pPr>
      <w:r>
        <w:rPr>
          <w:rFonts w:hint="eastAsia" w:ascii="仿宋_GB2312" w:hAnsi="宋体"/>
          <w:iCs/>
          <w:sz w:val="24"/>
          <w:szCs w:val="24"/>
        </w:rPr>
        <w:t>5、甲方基于本合同向乙方提供的评级信息、数据、资料，乙方应获得甲方授权后可用于甲方作为参与方的其他评级项目。</w:t>
      </w:r>
    </w:p>
    <w:p>
      <w:pPr>
        <w:snapToGrid w:val="0"/>
        <w:spacing w:line="440" w:lineRule="exact"/>
        <w:ind w:firstLine="480" w:firstLineChars="200"/>
        <w:jc w:val="both"/>
        <w:rPr>
          <w:rFonts w:ascii="仿宋_GB2312" w:hAnsi="宋体"/>
          <w:iCs/>
          <w:sz w:val="24"/>
          <w:szCs w:val="24"/>
        </w:rPr>
      </w:pPr>
      <w:r>
        <w:rPr>
          <w:rFonts w:hint="eastAsia" w:ascii="仿宋_GB2312" w:hAnsi="宋体"/>
          <w:iCs/>
          <w:sz w:val="24"/>
          <w:szCs w:val="24"/>
        </w:rPr>
        <w:t>6、在符合国家政策的前提下，甲方授权乙方通过相关合法渠道查询甲方的征信报告和相关征信记录。</w:t>
      </w:r>
    </w:p>
    <w:p>
      <w:pPr>
        <w:snapToGrid w:val="0"/>
        <w:spacing w:line="440" w:lineRule="exact"/>
        <w:ind w:firstLine="482" w:firstLineChars="200"/>
        <w:rPr>
          <w:rFonts w:ascii="仿宋_GB2312" w:hAnsi="宋体"/>
          <w:b/>
          <w:sz w:val="24"/>
          <w:szCs w:val="24"/>
        </w:rPr>
      </w:pPr>
      <w:r>
        <w:rPr>
          <w:rFonts w:hint="eastAsia" w:ascii="仿宋_GB2312" w:hAnsi="宋体"/>
          <w:b/>
          <w:sz w:val="24"/>
          <w:szCs w:val="24"/>
        </w:rPr>
        <w:t>四、现场访谈</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1、乙方于本合同签署且甲方全额付清当年评级费用后按照监管规定开展现场访谈工作，具体现场访谈时间由甲乙双方另行协商确定。</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2、跟踪评级期间,乙方有权依据评级业务需要及本合同约定确定是否进行现场访谈，需进行现场访谈的，甲方应予以协助。</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3、甲方应配合乙方开展与信用评级有关的调查、访问、座谈及其他必要的活动，提供人员、设备、资料等便利。</w:t>
      </w:r>
    </w:p>
    <w:p>
      <w:pPr>
        <w:snapToGrid w:val="0"/>
        <w:spacing w:line="440" w:lineRule="exact"/>
        <w:ind w:firstLine="482" w:firstLineChars="200"/>
        <w:jc w:val="both"/>
        <w:rPr>
          <w:rFonts w:ascii="仿宋_GB2312" w:hAnsi="宋体"/>
          <w:sz w:val="24"/>
          <w:szCs w:val="24"/>
        </w:rPr>
      </w:pPr>
      <w:r>
        <w:rPr>
          <w:rFonts w:hint="eastAsia" w:ascii="仿宋_GB2312" w:hAnsi="宋体"/>
          <w:b/>
          <w:sz w:val="24"/>
          <w:szCs w:val="24"/>
        </w:rPr>
        <w:t>五、征求意见</w:t>
      </w:r>
    </w:p>
    <w:p>
      <w:pPr>
        <w:snapToGrid w:val="0"/>
        <w:spacing w:line="520" w:lineRule="exact"/>
        <w:ind w:firstLine="480" w:firstLineChars="200"/>
        <w:jc w:val="both"/>
        <w:rPr>
          <w:rFonts w:ascii="仿宋_GB2312" w:hAnsi="宋体"/>
          <w:sz w:val="24"/>
          <w:szCs w:val="24"/>
        </w:rPr>
      </w:pPr>
      <w:r>
        <w:rPr>
          <w:rFonts w:hint="eastAsia" w:ascii="仿宋_GB2312" w:hAnsi="宋体"/>
          <w:sz w:val="24"/>
          <w:szCs w:val="24"/>
        </w:rPr>
        <w:t>乙方出具评级报告前，应以电子邮件或书面方式向甲方发送评级报告征求意见稿。甲方如有异议的，应在收到信用等级征求文件后5个工作日内提出，未提出视为接受该评级结果。不定期跟踪评级或其他特殊情况下，若乙方项目组发出的信用等级征求文件就提出异议的时间另有规定的，以相关文件规定的时间为准。</w:t>
      </w:r>
    </w:p>
    <w:p>
      <w:pPr>
        <w:tabs>
          <w:tab w:val="left" w:pos="2490"/>
        </w:tabs>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六、复评</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甲方对评级结果有异议的，应在收到信用等级征求文件后5个工作日内以书面形式向乙方提出复评申请并补充相应资料，如逾期未提供，则乙方不再受理复评申请。不定期跟踪评级或其他特殊情况下，若乙方项目组发出的信用等级征求文件就提出异议的时间另有规定的，以相关文件规定的时间为准。</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2、乙方收到甲方复评申请及相应补充材料后</w:t>
      </w:r>
      <w:r>
        <w:rPr>
          <w:rFonts w:hint="eastAsia" w:ascii="仿宋_GB2312" w:hAnsi="宋体"/>
          <w:sz w:val="24"/>
          <w:szCs w:val="24"/>
          <w:u w:val="single"/>
          <w:lang w:val="en-US" w:eastAsia="zh-CN"/>
        </w:rPr>
        <w:t>5</w:t>
      </w:r>
      <w:r>
        <w:rPr>
          <w:rFonts w:hint="eastAsia" w:ascii="仿宋_GB2312" w:hAnsi="宋体"/>
          <w:sz w:val="24"/>
          <w:szCs w:val="24"/>
        </w:rPr>
        <w:t>日内开展复评工作并于</w:t>
      </w:r>
      <w:r>
        <w:rPr>
          <w:rFonts w:hint="eastAsia" w:ascii="仿宋_GB2312" w:hAnsi="宋体"/>
          <w:sz w:val="24"/>
          <w:szCs w:val="24"/>
          <w:u w:val="single"/>
          <w:lang w:val="en-US" w:eastAsia="zh-CN"/>
        </w:rPr>
        <w:t>5</w:t>
      </w:r>
      <w:r>
        <w:rPr>
          <w:rFonts w:hint="eastAsia" w:ascii="仿宋_GB2312" w:hAnsi="宋体"/>
          <w:sz w:val="24"/>
          <w:szCs w:val="24"/>
        </w:rPr>
        <w:t>日内提交复评结果。</w:t>
      </w:r>
    </w:p>
    <w:p>
      <w:pPr>
        <w:snapToGrid w:val="0"/>
        <w:spacing w:line="440" w:lineRule="exact"/>
        <w:ind w:firstLine="480" w:firstLineChars="200"/>
        <w:jc w:val="both"/>
        <w:rPr>
          <w:rFonts w:ascii="仿宋_GB2312" w:hAnsi="宋体"/>
          <w:b/>
          <w:sz w:val="24"/>
          <w:szCs w:val="24"/>
        </w:rPr>
      </w:pPr>
      <w:r>
        <w:rPr>
          <w:rFonts w:hint="eastAsia" w:ascii="仿宋_GB2312" w:hAnsi="宋体"/>
          <w:sz w:val="24"/>
          <w:szCs w:val="24"/>
        </w:rPr>
        <w:t>3、复评仅限一次，复评结果即为最终评级结果。</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七、报告出具</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1、乙方应于甲方按要求提供全部评级资料后</w:t>
      </w:r>
      <w:r>
        <w:rPr>
          <w:rFonts w:hint="eastAsia" w:ascii="仿宋_GB2312" w:hAnsi="宋体"/>
          <w:sz w:val="24"/>
          <w:szCs w:val="24"/>
          <w:u w:val="single"/>
        </w:rPr>
        <w:t>50</w:t>
      </w:r>
      <w:r>
        <w:rPr>
          <w:rFonts w:hint="eastAsia" w:ascii="仿宋_GB2312" w:hAnsi="宋体"/>
          <w:sz w:val="24"/>
          <w:szCs w:val="24"/>
        </w:rPr>
        <w:t>日内出具评级报告。若因甲方原因、不可抗力等意外情况需延长评级工作时间的，甲乙双方应另行协商确定评级报告出具时间。</w:t>
      </w:r>
    </w:p>
    <w:p>
      <w:pPr>
        <w:snapToGrid w:val="0"/>
        <w:spacing w:line="440" w:lineRule="exact"/>
        <w:ind w:firstLine="480" w:firstLineChars="200"/>
        <w:jc w:val="both"/>
        <w:rPr>
          <w:rFonts w:ascii="仿宋_GB2312" w:hAnsi="宋体"/>
          <w:sz w:val="24"/>
          <w:szCs w:val="24"/>
        </w:rPr>
      </w:pPr>
      <w:r>
        <w:rPr>
          <w:rFonts w:hint="eastAsia" w:ascii="仿宋_GB2312"/>
          <w:sz w:val="24"/>
          <w:szCs w:val="24"/>
        </w:rPr>
        <w:t>2、</w:t>
      </w:r>
      <w:r>
        <w:rPr>
          <w:rFonts w:hint="eastAsia" w:ascii="仿宋_GB2312" w:hAnsi="宋体"/>
          <w:sz w:val="24"/>
          <w:szCs w:val="24"/>
        </w:rPr>
        <w:t>甲方不得以任何方式影响和干扰乙方评级。</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3、乙方应根据甲方需要将评级报告以电子版和/或纸质版形式交付甲方。</w:t>
      </w:r>
    </w:p>
    <w:p>
      <w:pPr>
        <w:snapToGrid w:val="0"/>
        <w:spacing w:line="440" w:lineRule="exact"/>
        <w:ind w:firstLine="601"/>
        <w:rPr>
          <w:rFonts w:ascii="仿宋_GB2312" w:hAnsi="宋体"/>
          <w:b/>
          <w:sz w:val="24"/>
          <w:szCs w:val="24"/>
        </w:rPr>
      </w:pPr>
      <w:r>
        <w:rPr>
          <w:rFonts w:hint="eastAsia" w:ascii="仿宋_GB2312" w:hAnsi="宋体"/>
          <w:b/>
          <w:sz w:val="24"/>
          <w:szCs w:val="24"/>
        </w:rPr>
        <w:t>八、跟踪评级</w:t>
      </w:r>
    </w:p>
    <w:p>
      <w:pPr>
        <w:adjustRightInd w:val="0"/>
        <w:snapToGrid w:val="0"/>
        <w:spacing w:line="440" w:lineRule="exact"/>
        <w:ind w:firstLine="480" w:firstLineChars="200"/>
        <w:jc w:val="both"/>
        <w:rPr>
          <w:rFonts w:ascii="仿宋_GB2312" w:hAnsi="宋体"/>
          <w:sz w:val="24"/>
          <w:szCs w:val="24"/>
        </w:rPr>
      </w:pPr>
      <w:r>
        <w:rPr>
          <w:rFonts w:hint="eastAsia" w:ascii="仿宋_GB2312" w:hAnsi="宋体"/>
          <w:sz w:val="24"/>
          <w:szCs w:val="24"/>
        </w:rPr>
        <w:t>1、在评级结果有效期内，乙方按照监管规定进行定期跟踪评级和不定期跟踪评级，持续跟踪甲方一切影响偿债能力因素的重大变化，并据此进行信用级别调整或展望调整。</w:t>
      </w:r>
    </w:p>
    <w:p>
      <w:pPr>
        <w:adjustRightInd w:val="0"/>
        <w:snapToGrid w:val="0"/>
        <w:spacing w:line="440" w:lineRule="exact"/>
        <w:ind w:firstLine="480" w:firstLineChars="200"/>
        <w:jc w:val="both"/>
        <w:rPr>
          <w:rFonts w:ascii="仿宋_GB2312" w:hAnsi="宋体"/>
          <w:sz w:val="24"/>
          <w:szCs w:val="24"/>
        </w:rPr>
      </w:pPr>
      <w:r>
        <w:rPr>
          <w:rFonts w:hint="eastAsia" w:ascii="仿宋_GB2312" w:hAnsi="宋体"/>
          <w:sz w:val="24"/>
          <w:szCs w:val="24"/>
        </w:rPr>
        <w:t>2、甲方应</w:t>
      </w:r>
      <w:r>
        <w:rPr>
          <w:rFonts w:hint="eastAsia" w:ascii="仿宋_GB2312" w:hAnsi="宋体"/>
          <w:iCs/>
          <w:sz w:val="24"/>
          <w:szCs w:val="24"/>
        </w:rPr>
        <w:t>根据本合同约定提供跟踪评级相关材料，确保材料的</w:t>
      </w:r>
      <w:r>
        <w:rPr>
          <w:rFonts w:hint="eastAsia" w:ascii="仿宋_GB2312"/>
          <w:sz w:val="24"/>
          <w:szCs w:val="24"/>
        </w:rPr>
        <w:t>合法性、真实性、准确性、完整性及有效性</w:t>
      </w:r>
      <w:r>
        <w:rPr>
          <w:rFonts w:hint="eastAsia" w:ascii="仿宋_GB2312" w:hAnsi="宋体"/>
          <w:iCs/>
          <w:sz w:val="24"/>
          <w:szCs w:val="24"/>
        </w:rPr>
        <w:t>并配合乙方开展跟踪评级现场访谈工作。甲方拒绝配合或不能及时按要求提供相关材料的，乙方有权终止评级并不承担任何违约责任，或依据公开信息分析并调整甲方的信用级别</w:t>
      </w:r>
      <w:r>
        <w:rPr>
          <w:rFonts w:hint="eastAsia" w:ascii="仿宋_GB2312" w:hAnsi="宋体"/>
          <w:sz w:val="24"/>
          <w:szCs w:val="24"/>
        </w:rPr>
        <w:t>，必要时乙方可宣布原评级结果暂时失效。</w:t>
      </w:r>
    </w:p>
    <w:p>
      <w:pPr>
        <w:adjustRightInd w:val="0"/>
        <w:snapToGrid w:val="0"/>
        <w:spacing w:line="440" w:lineRule="exact"/>
        <w:ind w:firstLine="480" w:firstLineChars="200"/>
        <w:jc w:val="both"/>
        <w:rPr>
          <w:rFonts w:ascii="仿宋_GB2312" w:hAnsi="宋体"/>
          <w:sz w:val="24"/>
          <w:szCs w:val="24"/>
        </w:rPr>
      </w:pPr>
      <w:r>
        <w:rPr>
          <w:rFonts w:hint="eastAsia" w:ascii="仿宋_GB2312" w:hAnsi="宋体"/>
          <w:sz w:val="24"/>
          <w:szCs w:val="24"/>
        </w:rPr>
        <w:t>3</w:t>
      </w:r>
      <w:r>
        <w:rPr>
          <w:rFonts w:ascii="仿宋_GB2312" w:hAnsi="宋体"/>
          <w:sz w:val="24"/>
          <w:szCs w:val="24"/>
        </w:rPr>
        <w:t>、</w:t>
      </w:r>
      <w:r>
        <w:rPr>
          <w:rFonts w:hint="eastAsia" w:ascii="仿宋_GB2312" w:hAnsi="宋体"/>
          <w:sz w:val="24"/>
          <w:szCs w:val="24"/>
        </w:rPr>
        <w:t>在评级有效期内，甲方发生财务、经营、资产、债务、股权等影响信用状况的重大变动或突发事件的，事件发生后应及时以书面形式如实通知乙方。</w:t>
      </w:r>
    </w:p>
    <w:p>
      <w:pPr>
        <w:adjustRightInd w:val="0"/>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九、信息披露</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1、乙方有权按照法律法规规定或监管规定确定对外披露评级信息的时间和方式，披露前在监管规定允许的前提下可提前通知甲方。</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2、若甲方自行披露评级报告或评级结果，须至少提前</w:t>
      </w:r>
      <w:r>
        <w:rPr>
          <w:rFonts w:hint="eastAsia" w:ascii="仿宋_GB2312" w:hAnsi="宋体"/>
          <w:sz w:val="24"/>
          <w:szCs w:val="24"/>
          <w:u w:val="single"/>
        </w:rPr>
        <w:t>五</w:t>
      </w:r>
      <w:r>
        <w:rPr>
          <w:rFonts w:hint="eastAsia" w:ascii="仿宋_GB2312" w:hAnsi="宋体"/>
          <w:sz w:val="24"/>
          <w:szCs w:val="24"/>
        </w:rPr>
        <w:t>个工作日通知乙方，并经乙方确认后方可公告。甲方应当保证披露的内容与乙方出具报告的一致性，否则，乙方有权要求甲方进行更改，并有权披露已出具的正式版本的评级报告。</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未经乙方事先书面同意，甲方引用乙方所出具的主体信用评级结果和主体信用评级报告发行债项的，乙方无需对该债项进行跟踪评级。同时，如该债项发行文件所载明的评级情况与实际不符，则乙方有权将该债项未经评级或者与实际不符的情况进行披露，由此对甲方及该债项产生影响的，乙方不承担法律责任。</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4、甲方更换评级机构或同时委托其他评级机构同时进行评级的，应如实告知乙方，乙方按照监管披露评级报告。</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十、评级时效</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1、主体信用级别自评级报告出具之日起一年内有效，除非发生本合同第十一条约定的情形。</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在甲方主体信用级别有效期内，甲方委托乙方进行债项评级且使用乙方评级报告成功发行债项的，则在债项存续期间，甲乙双方协商是否持续委托乙方进行企业信用评级。甲方没有继续委托乙方进行企业信用评级的，甲方主体信用级别有效期届满后，乙方有权书面通知甲方并公开披露甲方主体信用评级结果有效期届满的事宜，由此对甲方的存续债项产生影响的，乙方不承担法律责任。</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十一、评级终止或撤销</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发生下列情形之一的，乙方可以终止或者撤销评级并及时进行公告，同时，本合同自动终止：</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1、甲方拒不提供评级所需关键材料或者提供的材料存在虚假记载、误导性陈述或者重大遗漏的；</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2、甲方解散、被依法宣告破产或不再存续的；</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3、甲方不按本合同约定支付评级费用的；</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4、评级工作不能正常开展的其他情形。</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十二、知识产权</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1、本合同项下信用评级报告及跟踪评级报告的知识产权归乙方所有，乙方保留署名、修改等相关权利。</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2、甲方承诺不侵犯乙方就本合同项下信用评级报告及跟踪评级报告（若有）所享有的知识产权，甲方不得将乙方交付的信用评级报告及跟踪评级报告（若有）用于本合同载明的目的以外的用途。</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3、乙方承诺不得利用本合同项下甲方的信用评级报告及跟踪评级报告（若有）进行与本合同无关的营利行为或进行牟利活动。</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十三、保密</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本合同各项条款及任何一方根据合同要求向对方披露的所有文件、资料和不为公众所知悉的所有信息均视为保密信息，各方均不得以任何形式全部或部分披露、提供给任何其他人，也不得用于本合同以外的其他任何目的。但</w:t>
      </w:r>
      <w:r>
        <w:rPr>
          <w:rFonts w:hint="eastAsia" w:ascii="仿宋_GB2312" w:hAnsi="宋体"/>
          <w:bCs/>
          <w:sz w:val="24"/>
          <w:szCs w:val="24"/>
        </w:rPr>
        <w:t>双方因</w:t>
      </w:r>
      <w:r>
        <w:rPr>
          <w:rFonts w:hint="eastAsia" w:ascii="仿宋_GB2312" w:hAnsi="宋体"/>
          <w:sz w:val="24"/>
          <w:szCs w:val="24"/>
        </w:rPr>
        <w:t>法定事由（包括但不限于依照法律、法规、监管规定、监管部门的要求进行披露、报备、协助司法机关调查等）或另有书面约定的除外。</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2、任何一方违反本条款约定的保密义务，应向对方承担违约赔偿责任。</w:t>
      </w:r>
    </w:p>
    <w:p>
      <w:pPr>
        <w:snapToGrid w:val="0"/>
        <w:spacing w:line="440" w:lineRule="exact"/>
        <w:ind w:firstLine="480" w:firstLineChars="200"/>
        <w:jc w:val="both"/>
        <w:rPr>
          <w:rFonts w:ascii="仿宋_GB2312" w:hAnsi="宋体"/>
          <w:b/>
          <w:sz w:val="24"/>
          <w:szCs w:val="24"/>
        </w:rPr>
      </w:pPr>
      <w:r>
        <w:rPr>
          <w:rFonts w:hint="eastAsia" w:ascii="仿宋_GB2312" w:hAnsi="宋体"/>
          <w:sz w:val="24"/>
          <w:szCs w:val="24"/>
        </w:rPr>
        <w:t>3、本条款在合同终止后继续有效，直至保密信息被合法公开时止。</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十四、反商业贿赂</w:t>
      </w:r>
    </w:p>
    <w:p>
      <w:pPr>
        <w:snapToGrid w:val="0"/>
        <w:spacing w:line="440" w:lineRule="exact"/>
        <w:ind w:firstLine="480" w:firstLineChars="200"/>
        <w:jc w:val="both"/>
        <w:rPr>
          <w:rFonts w:ascii="仿宋_GB2312" w:hAnsi="宋体"/>
          <w:iCs/>
          <w:sz w:val="24"/>
          <w:szCs w:val="24"/>
        </w:rPr>
      </w:pPr>
      <w:r>
        <w:rPr>
          <w:rFonts w:hint="eastAsia" w:ascii="仿宋_GB2312" w:hAnsi="宋体"/>
          <w:iCs/>
          <w:sz w:val="24"/>
          <w:szCs w:val="24"/>
        </w:rPr>
        <w:t>1、甲方承诺反对和阻止任何形式的信用级别买卖行为，不为达到所需信用级别目的向乙方相关人员进行各种形式的行贿或利益输送。</w:t>
      </w:r>
    </w:p>
    <w:p>
      <w:pPr>
        <w:snapToGrid w:val="0"/>
        <w:spacing w:line="440" w:lineRule="exact"/>
        <w:ind w:firstLine="480" w:firstLineChars="200"/>
        <w:jc w:val="both"/>
        <w:rPr>
          <w:rFonts w:ascii="仿宋_GB2312" w:hAnsi="宋体"/>
          <w:iCs/>
          <w:sz w:val="24"/>
          <w:szCs w:val="24"/>
        </w:rPr>
      </w:pPr>
      <w:r>
        <w:rPr>
          <w:rFonts w:hint="eastAsia" w:ascii="仿宋_GB2312"/>
          <w:sz w:val="24"/>
          <w:szCs w:val="24"/>
        </w:rPr>
        <w:t>2、甲方承诺拒绝乙方相关人员以向甲方承诺信用级别而提出的任何形式的索贿行为。</w:t>
      </w:r>
    </w:p>
    <w:p>
      <w:pPr>
        <w:snapToGrid w:val="0"/>
        <w:spacing w:line="440" w:lineRule="exact"/>
        <w:ind w:firstLine="480" w:firstLineChars="200"/>
        <w:jc w:val="both"/>
        <w:rPr>
          <w:rFonts w:ascii="仿宋_GB2312" w:hAnsi="宋体"/>
          <w:iCs/>
          <w:sz w:val="24"/>
          <w:szCs w:val="24"/>
        </w:rPr>
      </w:pPr>
      <w:r>
        <w:rPr>
          <w:rFonts w:hint="eastAsia" w:ascii="仿宋_GB2312" w:hAnsi="宋体"/>
          <w:iCs/>
          <w:sz w:val="24"/>
          <w:szCs w:val="24"/>
        </w:rPr>
        <w:t>3、乙方一旦发现甲方违背承诺向乙方行贿或利益输送，可以立即调整或撤销其信用级别，同时向市场公布其贿赂行为。</w:t>
      </w:r>
    </w:p>
    <w:p>
      <w:pPr>
        <w:tabs>
          <w:tab w:val="left" w:pos="5265"/>
          <w:tab w:val="left" w:pos="6023"/>
        </w:tabs>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十五、非保证条款</w:t>
      </w:r>
      <w:r>
        <w:rPr>
          <w:rFonts w:hint="eastAsia" w:ascii="仿宋_GB2312" w:hAnsi="宋体"/>
          <w:b/>
          <w:sz w:val="24"/>
          <w:szCs w:val="24"/>
        </w:rPr>
        <w:tab/>
      </w:r>
      <w:r>
        <w:rPr>
          <w:rFonts w:hint="eastAsia" w:ascii="仿宋_GB2312" w:hAnsi="宋体"/>
          <w:b/>
          <w:sz w:val="24"/>
          <w:szCs w:val="24"/>
        </w:rPr>
        <w:tab/>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1、乙</w:t>
      </w:r>
      <w:r>
        <w:rPr>
          <w:rFonts w:hint="eastAsia" w:ascii="仿宋_GB2312" w:hAnsi="宋体"/>
          <w:iCs/>
          <w:sz w:val="24"/>
          <w:szCs w:val="24"/>
        </w:rPr>
        <w:t>方根据甲方提交的信息对信用级别进行独立客观评定。本合同的签订与履行均不应在任何程度上被视</w:t>
      </w:r>
      <w:r>
        <w:rPr>
          <w:rFonts w:hint="eastAsia" w:ascii="仿宋_GB2312" w:hAnsi="宋体"/>
          <w:sz w:val="24"/>
          <w:szCs w:val="24"/>
        </w:rPr>
        <w:t>为对甲方是否成功发行债务融资工具的任何形式的担保或者保证。</w:t>
      </w:r>
    </w:p>
    <w:p>
      <w:pPr>
        <w:spacing w:line="440" w:lineRule="exact"/>
        <w:ind w:firstLine="480" w:firstLineChars="200"/>
        <w:jc w:val="both"/>
        <w:rPr>
          <w:rFonts w:ascii="仿宋_GB2312" w:hAnsi="宋体"/>
          <w:iCs/>
          <w:sz w:val="24"/>
          <w:szCs w:val="24"/>
        </w:rPr>
      </w:pPr>
      <w:r>
        <w:rPr>
          <w:rFonts w:hint="eastAsia" w:ascii="仿宋_GB2312" w:hAnsi="宋体"/>
          <w:iCs/>
          <w:sz w:val="24"/>
          <w:szCs w:val="24"/>
        </w:rPr>
        <w:t>2、乙方出具的信用评级报告仅供参考，不作为购买、出售或持有任何债务融资工具的意见或建议，任何机构或个人应审慎使用评级报告并对相关结果负责。</w:t>
      </w:r>
    </w:p>
    <w:p>
      <w:pPr>
        <w:spacing w:line="440" w:lineRule="exact"/>
        <w:ind w:firstLine="480" w:firstLineChars="200"/>
        <w:jc w:val="both"/>
        <w:rPr>
          <w:rFonts w:ascii="仿宋_GB2312" w:hAnsi="宋体"/>
          <w:iCs/>
          <w:sz w:val="24"/>
          <w:szCs w:val="24"/>
        </w:rPr>
      </w:pPr>
      <w:r>
        <w:rPr>
          <w:rFonts w:hint="eastAsia" w:ascii="仿宋_GB2312" w:hAnsi="宋体"/>
          <w:iCs/>
          <w:sz w:val="24"/>
          <w:szCs w:val="24"/>
        </w:rPr>
        <w:t>3、乙方对由甲方或其他相关第三方为本评级对象发行提供给乙方的信息或资料的合法性、真实性、准确性、完整性及有效性不作任何保证或给予任何其他担保（无论是对甲方或任何第三方）。</w:t>
      </w:r>
    </w:p>
    <w:p>
      <w:pPr>
        <w:spacing w:line="440" w:lineRule="exact"/>
        <w:ind w:firstLine="480" w:firstLineChars="200"/>
        <w:jc w:val="both"/>
        <w:rPr>
          <w:rFonts w:ascii="仿宋_GB2312" w:hAnsi="宋体"/>
          <w:iCs/>
          <w:sz w:val="24"/>
          <w:szCs w:val="24"/>
        </w:rPr>
      </w:pPr>
      <w:r>
        <w:rPr>
          <w:rFonts w:hint="eastAsia" w:ascii="仿宋_GB2312" w:hAnsi="宋体"/>
          <w:iCs/>
          <w:sz w:val="24"/>
          <w:szCs w:val="24"/>
        </w:rPr>
        <w:t>4、在任何情况下，乙方均不应因善意履行本合同项下的义务、出具评级结果及信用评级报告及发生评级终止的情形而对甲方或其他任何第三方承担任何赔偿责任。由于甲方向乙方提供的信息或资料存在瑕疵（如不合法、不真实、不准确、不完整及无效）而导致乙方的评级结果或评级报告不准确或发生任何其他问题，乙方对此不承担任何责任（无论是对甲方或任何第三方）。但由于乙方或其员工的任何欺诈、重大过失、未依规依法履职、违反本合同约定或有意的不法（含违规，包括但不限于行业规范、本合同约定等）行为所导致的索赔除外。</w:t>
      </w:r>
    </w:p>
    <w:p>
      <w:pPr>
        <w:spacing w:line="440" w:lineRule="exact"/>
        <w:ind w:firstLine="482" w:firstLineChars="200"/>
        <w:jc w:val="both"/>
        <w:rPr>
          <w:rFonts w:ascii="仿宋_GB2312" w:hAnsi="宋体"/>
          <w:b/>
          <w:sz w:val="24"/>
          <w:szCs w:val="24"/>
        </w:rPr>
      </w:pPr>
      <w:r>
        <w:rPr>
          <w:rFonts w:hint="eastAsia" w:ascii="仿宋_GB2312" w:hAnsi="宋体"/>
          <w:b/>
          <w:sz w:val="24"/>
          <w:szCs w:val="24"/>
        </w:rPr>
        <w:t>十六、不可抗力</w:t>
      </w:r>
    </w:p>
    <w:p>
      <w:pPr>
        <w:spacing w:line="440" w:lineRule="exact"/>
        <w:ind w:firstLine="480" w:firstLineChars="200"/>
        <w:jc w:val="both"/>
        <w:rPr>
          <w:rFonts w:ascii="仿宋_GB2312" w:hAnsi="宋体"/>
          <w:iCs/>
          <w:sz w:val="24"/>
          <w:szCs w:val="24"/>
        </w:rPr>
      </w:pPr>
      <w:r>
        <w:rPr>
          <w:rFonts w:hint="eastAsia" w:ascii="仿宋_GB2312" w:hAnsi="宋体"/>
          <w:iCs/>
          <w:sz w:val="24"/>
          <w:szCs w:val="24"/>
        </w:rPr>
        <w:t>1、本合同所称不可抗力是指不能预见、不能克服、不能避免并对一方当事人造成重大影响的客观事件，包括但不限于自然灾害如洪水、地震、火灾、风暴及社会事件如动乱、政府行为、突发公共卫生事件等。</w:t>
      </w:r>
    </w:p>
    <w:p>
      <w:pPr>
        <w:spacing w:line="440" w:lineRule="exact"/>
        <w:ind w:firstLine="480" w:firstLineChars="200"/>
        <w:jc w:val="both"/>
        <w:rPr>
          <w:rFonts w:ascii="仿宋_GB2312" w:hAnsi="宋体"/>
          <w:b/>
          <w:sz w:val="24"/>
          <w:szCs w:val="24"/>
        </w:rPr>
      </w:pPr>
      <w:r>
        <w:rPr>
          <w:rFonts w:hint="eastAsia" w:ascii="仿宋_GB2312" w:hAnsi="宋体"/>
          <w:iCs/>
          <w:sz w:val="24"/>
          <w:szCs w:val="24"/>
        </w:rPr>
        <w:t>2、在本合同有效期内，如发生不可抗力事件导致本合同无法履行时，当事方应在事件发生后五日内提供该事件原因和合</w:t>
      </w:r>
      <w:r>
        <w:rPr>
          <w:rFonts w:hint="eastAsia" w:ascii="仿宋_GB2312" w:hAnsi="宋体"/>
          <w:sz w:val="24"/>
          <w:szCs w:val="24"/>
        </w:rPr>
        <w:t>同无法履行或延迟履行的有效证明，双方认可后协商终止或延迟合同履行，遭受不可抗力一方应采取有效措施防止损失扩大，否则，应就扩大的损失向对方支付赔偿金。任何一方都不对不可抗力事件造成的延误或损失承担责任。</w:t>
      </w:r>
    </w:p>
    <w:p>
      <w:pPr>
        <w:spacing w:line="440" w:lineRule="exact"/>
        <w:ind w:firstLine="482" w:firstLineChars="200"/>
        <w:jc w:val="both"/>
        <w:rPr>
          <w:rFonts w:ascii="仿宋_GB2312" w:hAnsi="宋体"/>
          <w:b/>
          <w:sz w:val="24"/>
          <w:szCs w:val="24"/>
        </w:rPr>
      </w:pPr>
      <w:r>
        <w:rPr>
          <w:rFonts w:hint="eastAsia" w:ascii="仿宋_GB2312" w:hAnsi="宋体"/>
          <w:b/>
          <w:sz w:val="24"/>
          <w:szCs w:val="24"/>
        </w:rPr>
        <w:t>十七、合同期限</w:t>
      </w:r>
    </w:p>
    <w:p>
      <w:pPr>
        <w:spacing w:line="440" w:lineRule="exact"/>
        <w:ind w:firstLine="480" w:firstLineChars="200"/>
        <w:jc w:val="both"/>
        <w:rPr>
          <w:rFonts w:ascii="仿宋_GB2312" w:hAnsi="宋体"/>
          <w:sz w:val="24"/>
          <w:szCs w:val="24"/>
        </w:rPr>
      </w:pPr>
      <w:r>
        <w:rPr>
          <w:rFonts w:hint="eastAsia" w:ascii="仿宋_GB2312" w:hAnsi="宋体"/>
          <w:sz w:val="24"/>
          <w:szCs w:val="24"/>
        </w:rPr>
        <w:t>1、本合同有效期为二年，自双方签字盖章之日起算。其他条款另有约定的，按其他条款执行。</w:t>
      </w:r>
    </w:p>
    <w:p>
      <w:pPr>
        <w:spacing w:line="440" w:lineRule="exact"/>
        <w:ind w:firstLine="480" w:firstLineChars="200"/>
        <w:jc w:val="both"/>
        <w:rPr>
          <w:rFonts w:hint="eastAsia" w:ascii="仿宋_GB2312" w:hAnsi="宋体"/>
          <w:sz w:val="24"/>
          <w:szCs w:val="24"/>
        </w:rPr>
      </w:pPr>
      <w:r>
        <w:rPr>
          <w:rFonts w:ascii="仿宋_GB2312" w:hAnsi="宋体"/>
          <w:sz w:val="24"/>
          <w:szCs w:val="24"/>
        </w:rPr>
        <w:t>2</w:t>
      </w:r>
      <w:r>
        <w:rPr>
          <w:rFonts w:hint="eastAsia" w:ascii="仿宋_GB2312" w:hAnsi="宋体"/>
          <w:sz w:val="24"/>
          <w:szCs w:val="24"/>
        </w:rPr>
        <w:t>、本合同有效期内非乙方原因导致乙方未向甲方出具评级报告的，有效期届满时或者甲方要求乙方不再出具评级报告的书面通知送达乙方时（以孰早者为准），本合同自动终止。</w:t>
      </w:r>
    </w:p>
    <w:p>
      <w:pPr>
        <w:spacing w:line="440" w:lineRule="exact"/>
        <w:ind w:firstLine="482" w:firstLineChars="200"/>
        <w:jc w:val="both"/>
        <w:rPr>
          <w:rFonts w:ascii="仿宋_GB2312" w:hAnsi="宋体"/>
          <w:b/>
          <w:sz w:val="24"/>
          <w:szCs w:val="24"/>
        </w:rPr>
      </w:pPr>
      <w:r>
        <w:rPr>
          <w:rFonts w:hint="eastAsia" w:ascii="仿宋_GB2312" w:hAnsi="宋体"/>
          <w:b/>
          <w:sz w:val="24"/>
          <w:szCs w:val="24"/>
        </w:rPr>
        <w:t>十八、合同的变更与解除</w:t>
      </w:r>
    </w:p>
    <w:p>
      <w:pPr>
        <w:snapToGrid w:val="0"/>
        <w:spacing w:line="440" w:lineRule="exact"/>
        <w:ind w:firstLine="480" w:firstLineChars="200"/>
        <w:jc w:val="both"/>
        <w:rPr>
          <w:rFonts w:ascii="仿宋_GB2312" w:hAnsi="宋体"/>
          <w:sz w:val="24"/>
          <w:szCs w:val="24"/>
        </w:rPr>
      </w:pPr>
      <w:r>
        <w:rPr>
          <w:rFonts w:hint="eastAsia" w:ascii="仿宋_GB2312" w:hAnsi="宋体"/>
          <w:bCs/>
          <w:sz w:val="24"/>
          <w:szCs w:val="24"/>
        </w:rPr>
        <w:t>1</w:t>
      </w:r>
      <w:r>
        <w:rPr>
          <w:rFonts w:hint="eastAsia" w:ascii="仿宋_GB2312" w:hAnsi="宋体"/>
          <w:sz w:val="24"/>
          <w:szCs w:val="24"/>
        </w:rPr>
        <w:t>、未经双方协商一致，任何一方均不得擅自修改本合同的全部或部分条款。</w:t>
      </w:r>
    </w:p>
    <w:p>
      <w:pPr>
        <w:snapToGrid w:val="0"/>
        <w:spacing w:line="440" w:lineRule="exact"/>
        <w:ind w:firstLine="480" w:firstLineChars="200"/>
        <w:jc w:val="both"/>
        <w:rPr>
          <w:rFonts w:ascii="仿宋_GB2312" w:hAnsi="宋体"/>
          <w:sz w:val="24"/>
          <w:szCs w:val="24"/>
        </w:rPr>
      </w:pPr>
      <w:r>
        <w:rPr>
          <w:rFonts w:hint="eastAsia" w:ascii="仿宋_GB2312" w:hAnsi="宋体"/>
          <w:color w:val="000000"/>
          <w:sz w:val="24"/>
          <w:szCs w:val="24"/>
        </w:rPr>
        <w:t>2、本合同签订后，双方应当按约履行，不得无故解除。如遇法定情形或特殊原因确需解除的，提出解除的一方应提前通知另一方，并由双方协商解决。在协商解除本合同的情况下，乙方有权就本合同解除之日前对约定事项所付出的劳动收取合理的费用。</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3、乙方出具正式评级报告后，任何一方不得要求解除本合同。</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4、一方违约，经守约方通知后未在三十日内纠正违约事实，守约方有权通知对方解除合同。</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5、乙方对甲方及债务融资工具发行人提供的材料（包括但不限于甲方及债务融资工具发行人聘请的承销商、会计师等中介机构及其签字人员出具的专业意见）的合法性、真实性、准确性、完整性及有效性存有疑义，甲方及债务融资工具发行人聘请的中介机构无法做出合理解释或者进行调整的，乙方有权要求解除合同。</w:t>
      </w:r>
    </w:p>
    <w:p>
      <w:pPr>
        <w:snapToGrid w:val="0"/>
        <w:spacing w:line="440" w:lineRule="exact"/>
        <w:ind w:firstLine="482" w:firstLineChars="200"/>
        <w:rPr>
          <w:rFonts w:ascii="仿宋_GB2312" w:hAnsi="宋体"/>
          <w:b/>
          <w:sz w:val="24"/>
          <w:szCs w:val="24"/>
        </w:rPr>
      </w:pPr>
      <w:r>
        <w:rPr>
          <w:rFonts w:hint="eastAsia" w:ascii="仿宋_GB2312" w:hAnsi="宋体"/>
          <w:b/>
          <w:sz w:val="24"/>
          <w:szCs w:val="24"/>
        </w:rPr>
        <w:t>十九、违约责任</w:t>
      </w:r>
    </w:p>
    <w:p>
      <w:pPr>
        <w:spacing w:line="440" w:lineRule="exact"/>
        <w:ind w:firstLine="480" w:firstLineChars="200"/>
        <w:jc w:val="both"/>
        <w:rPr>
          <w:rFonts w:ascii="仿宋_GB2312" w:hAnsi="宋体" w:cs="Arial"/>
          <w:sz w:val="24"/>
          <w:szCs w:val="24"/>
        </w:rPr>
      </w:pPr>
      <w:r>
        <w:rPr>
          <w:rFonts w:hint="eastAsia" w:ascii="仿宋_GB2312" w:hAnsi="宋体" w:cs="Arial"/>
          <w:sz w:val="24"/>
          <w:szCs w:val="24"/>
        </w:rPr>
        <w:t>1、因乙方原因未按本合同约定向甲方提交信用评级报告（包括首次信用评级报告和跟踪信用评级报告），甲方给予乙方一定的宽限期，宽限期结束后仍因乙方原因无法出具评级报告的，乙方应向甲方支付本合同项下评级费用的5%作为违约金，且甲方有权解除本合同并要求乙方退还已收取的评级费用。</w:t>
      </w:r>
    </w:p>
    <w:p>
      <w:pPr>
        <w:spacing w:line="440" w:lineRule="exact"/>
        <w:ind w:firstLine="480" w:firstLineChars="200"/>
        <w:jc w:val="both"/>
        <w:rPr>
          <w:rFonts w:ascii="仿宋_GB2312" w:hAnsi="宋体" w:cs="Arial"/>
          <w:sz w:val="24"/>
          <w:szCs w:val="24"/>
        </w:rPr>
      </w:pPr>
      <w:r>
        <w:rPr>
          <w:rFonts w:hint="eastAsia" w:ascii="仿宋_GB2312" w:hAnsi="宋体" w:cs="Arial"/>
          <w:sz w:val="24"/>
          <w:szCs w:val="24"/>
        </w:rPr>
        <w:t>2、非因乙方原因致使乙方未能按照本合同约定完成评级工作，乙方不承担违约责任，已收取的评级费用不予退还。</w:t>
      </w:r>
    </w:p>
    <w:p>
      <w:pPr>
        <w:spacing w:line="440" w:lineRule="exact"/>
        <w:ind w:firstLine="480" w:firstLineChars="200"/>
        <w:jc w:val="both"/>
        <w:rPr>
          <w:rFonts w:ascii="仿宋_GB2312" w:hAnsi="宋体" w:cs="Arial"/>
          <w:sz w:val="24"/>
          <w:szCs w:val="24"/>
        </w:rPr>
      </w:pPr>
      <w:r>
        <w:rPr>
          <w:rFonts w:hint="eastAsia" w:ascii="仿宋_GB2312" w:hAnsi="宋体" w:cs="Arial"/>
          <w:sz w:val="24"/>
          <w:szCs w:val="24"/>
        </w:rPr>
        <w:t>3、如甲方未能按本合同约定及时向乙方支付评级费用，乙方给予甲方一定的宽限期，宽限期结束后仍因甲方原因未支付评级费用的，甲方应向乙方支付本合同项下评级费用的5%作为违约金，且甲方应继续履行评级费用支付义务。</w:t>
      </w:r>
    </w:p>
    <w:p>
      <w:pPr>
        <w:snapToGrid w:val="0"/>
        <w:spacing w:line="440" w:lineRule="exact"/>
        <w:ind w:firstLine="480" w:firstLineChars="200"/>
        <w:jc w:val="both"/>
        <w:rPr>
          <w:rFonts w:ascii="仿宋_GB2312" w:hAnsi="宋体" w:cs="Arial"/>
          <w:sz w:val="24"/>
          <w:szCs w:val="24"/>
        </w:rPr>
      </w:pPr>
      <w:r>
        <w:rPr>
          <w:rFonts w:hint="eastAsia" w:ascii="仿宋_GB2312" w:hAnsi="宋体" w:cs="Arial"/>
          <w:sz w:val="24"/>
          <w:szCs w:val="24"/>
        </w:rPr>
        <w:t>4、</w:t>
      </w:r>
      <w:r>
        <w:rPr>
          <w:rFonts w:hint="eastAsia" w:ascii="仿宋_GB2312" w:hAnsi="宋体"/>
          <w:iCs/>
          <w:sz w:val="24"/>
          <w:szCs w:val="24"/>
        </w:rPr>
        <w:t>如因一方未履行或未按约定履行本合同义务，使另一方遭受到任何第三方的索赔或任何行政管理部门的处罚，该违约方应对另一方的实际损失承担赔偿责任。</w:t>
      </w:r>
    </w:p>
    <w:p>
      <w:pPr>
        <w:snapToGrid w:val="0"/>
        <w:spacing w:line="440" w:lineRule="exact"/>
        <w:ind w:firstLine="482" w:firstLineChars="200"/>
        <w:rPr>
          <w:rFonts w:ascii="仿宋_GB2312" w:hAnsi="宋体"/>
          <w:b/>
          <w:sz w:val="24"/>
          <w:szCs w:val="24"/>
        </w:rPr>
      </w:pPr>
      <w:r>
        <w:rPr>
          <w:rFonts w:hint="eastAsia" w:ascii="仿宋_GB2312" w:hAnsi="宋体"/>
          <w:b/>
          <w:sz w:val="24"/>
          <w:szCs w:val="24"/>
        </w:rPr>
        <w:t>二十、争议解决</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1、本合同受中华人民共和国法律管辖并依照相关法律进行解释。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jc w:val="both"/>
        <w:rPr>
          <w:rFonts w:ascii="仿宋_GB2312" w:hAnsi="宋体"/>
          <w:sz w:val="24"/>
          <w:szCs w:val="24"/>
        </w:rPr>
      </w:pPr>
      <w:r>
        <w:rPr>
          <w:rFonts w:hint="eastAsia" w:ascii="仿宋_GB2312" w:hAnsi="宋体"/>
          <w:sz w:val="24"/>
          <w:szCs w:val="24"/>
        </w:rPr>
        <w:t>2、在履行本合同过程中发生的争议，双方应友好协商解决，协商不成，双方同意向被告方所在地人民法院提起诉讼。</w:t>
      </w:r>
    </w:p>
    <w:p>
      <w:pPr>
        <w:snapToGrid w:val="0"/>
        <w:spacing w:line="440" w:lineRule="exact"/>
        <w:ind w:firstLine="482" w:firstLineChars="200"/>
        <w:rPr>
          <w:rFonts w:ascii="仿宋_GB2312" w:hAnsi="宋体"/>
          <w:b/>
          <w:sz w:val="24"/>
          <w:szCs w:val="24"/>
        </w:rPr>
      </w:pPr>
      <w:r>
        <w:rPr>
          <w:rFonts w:hint="eastAsia" w:ascii="仿宋_GB2312" w:hAnsi="宋体"/>
          <w:b/>
          <w:sz w:val="24"/>
          <w:szCs w:val="24"/>
        </w:rPr>
        <w:t>二十一、通知</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1、双方确认以下注明的通讯地址及联系人名片所列电子邮箱地址为有效的通讯地址，如依该地址发送文书或资料，无论是否实际收件，均视为送达，造成延误的，由收件方自行负责。</w:t>
      </w:r>
    </w:p>
    <w:p>
      <w:pPr>
        <w:snapToGrid w:val="0"/>
        <w:spacing w:line="440" w:lineRule="exact"/>
        <w:ind w:firstLine="480" w:firstLineChars="200"/>
        <w:rPr>
          <w:rFonts w:ascii="仿宋_GB2312" w:hAnsi="宋体"/>
          <w:color w:val="auto"/>
          <w:sz w:val="24"/>
          <w:szCs w:val="24"/>
        </w:rPr>
      </w:pPr>
      <w:r>
        <w:rPr>
          <w:rFonts w:hint="eastAsia" w:ascii="仿宋_GB2312" w:hAnsi="宋体"/>
          <w:color w:val="auto"/>
          <w:sz w:val="24"/>
          <w:szCs w:val="24"/>
        </w:rPr>
        <w:t>甲方联系人：</w:t>
      </w:r>
    </w:p>
    <w:p>
      <w:pPr>
        <w:snapToGrid w:val="0"/>
        <w:spacing w:line="440" w:lineRule="exact"/>
        <w:ind w:firstLine="480" w:firstLineChars="200"/>
        <w:rPr>
          <w:rFonts w:ascii="仿宋_GB2312" w:hAnsi="宋体"/>
          <w:color w:val="auto"/>
          <w:sz w:val="24"/>
          <w:szCs w:val="24"/>
        </w:rPr>
      </w:pPr>
      <w:r>
        <w:rPr>
          <w:rFonts w:hint="eastAsia" w:ascii="仿宋_GB2312" w:hAnsi="宋体"/>
          <w:color w:val="auto"/>
          <w:sz w:val="24"/>
          <w:szCs w:val="24"/>
        </w:rPr>
        <w:t>电话：</w:t>
      </w:r>
    </w:p>
    <w:p>
      <w:pPr>
        <w:snapToGrid w:val="0"/>
        <w:spacing w:line="440" w:lineRule="exact"/>
        <w:ind w:firstLine="480" w:firstLineChars="200"/>
        <w:rPr>
          <w:rFonts w:ascii="仿宋_GB2312" w:hAnsi="宋体"/>
          <w:color w:val="auto"/>
          <w:sz w:val="24"/>
          <w:szCs w:val="24"/>
        </w:rPr>
      </w:pPr>
      <w:r>
        <w:rPr>
          <w:rFonts w:hint="eastAsia" w:ascii="仿宋_GB2312" w:hAnsi="宋体"/>
          <w:color w:val="auto"/>
          <w:sz w:val="24"/>
          <w:szCs w:val="24"/>
        </w:rPr>
        <w:t>电子邮箱：</w:t>
      </w:r>
    </w:p>
    <w:p>
      <w:pPr>
        <w:snapToGrid w:val="0"/>
        <w:spacing w:line="440" w:lineRule="exact"/>
        <w:ind w:firstLine="480" w:firstLineChars="200"/>
        <w:rPr>
          <w:rFonts w:ascii="仿宋_GB2312" w:hAnsi="宋体"/>
          <w:color w:val="auto"/>
          <w:sz w:val="24"/>
          <w:szCs w:val="24"/>
        </w:rPr>
      </w:pPr>
      <w:r>
        <w:rPr>
          <w:rFonts w:hint="eastAsia" w:ascii="仿宋_GB2312" w:hAnsi="宋体"/>
          <w:color w:val="auto"/>
          <w:sz w:val="24"/>
          <w:szCs w:val="24"/>
        </w:rPr>
        <w:t>通讯地址：</w:t>
      </w:r>
    </w:p>
    <w:p>
      <w:pPr>
        <w:snapToGrid w:val="0"/>
        <w:spacing w:line="440" w:lineRule="exact"/>
        <w:ind w:firstLine="480" w:firstLineChars="200"/>
        <w:rPr>
          <w:rFonts w:ascii="仿宋_GB2312" w:hAnsi="宋体"/>
          <w:sz w:val="24"/>
          <w:szCs w:val="24"/>
        </w:rPr>
      </w:pPr>
    </w:p>
    <w:p>
      <w:pPr>
        <w:snapToGrid w:val="0"/>
        <w:spacing w:line="440" w:lineRule="exact"/>
        <w:ind w:firstLine="480" w:firstLineChars="200"/>
        <w:rPr>
          <w:rFonts w:ascii="仿宋_GB2312" w:hAnsiTheme="minorEastAsia" w:cstheme="minorBidi"/>
          <w:sz w:val="24"/>
          <w:szCs w:val="24"/>
        </w:rPr>
      </w:pPr>
      <w:r>
        <w:rPr>
          <w:rFonts w:hint="eastAsia" w:ascii="仿宋_GB2312" w:hAnsi="宋体"/>
          <w:bCs/>
          <w:sz w:val="24"/>
          <w:szCs w:val="24"/>
        </w:rPr>
        <w:t>乙方联系人：</w:t>
      </w:r>
    </w:p>
    <w:p>
      <w:pPr>
        <w:snapToGrid w:val="0"/>
        <w:spacing w:line="440" w:lineRule="exact"/>
        <w:ind w:firstLine="480" w:firstLineChars="200"/>
        <w:rPr>
          <w:rFonts w:hint="eastAsia" w:ascii="仿宋_GB2312" w:hAnsiTheme="minorEastAsia"/>
          <w:sz w:val="24"/>
          <w:szCs w:val="24"/>
        </w:rPr>
      </w:pPr>
      <w:r>
        <w:rPr>
          <w:rFonts w:hint="eastAsia" w:ascii="仿宋_GB2312" w:hAnsiTheme="minorEastAsia"/>
          <w:sz w:val="24"/>
          <w:szCs w:val="24"/>
        </w:rPr>
        <w:t>电话：</w:t>
      </w:r>
    </w:p>
    <w:p>
      <w:pPr>
        <w:snapToGrid w:val="0"/>
        <w:spacing w:line="440" w:lineRule="exact"/>
        <w:ind w:firstLine="480" w:firstLineChars="200"/>
        <w:rPr>
          <w:rFonts w:hint="eastAsia" w:ascii="仿宋_GB2312" w:hAnsiTheme="minorEastAsia"/>
          <w:sz w:val="24"/>
          <w:szCs w:val="24"/>
        </w:rPr>
      </w:pPr>
      <w:r>
        <w:rPr>
          <w:rFonts w:hint="eastAsia" w:ascii="仿宋_GB2312" w:hAnsiTheme="minorEastAsia"/>
          <w:sz w:val="24"/>
          <w:szCs w:val="24"/>
        </w:rPr>
        <w:t>电子邮箱：</w:t>
      </w:r>
    </w:p>
    <w:p>
      <w:pPr>
        <w:snapToGrid w:val="0"/>
        <w:spacing w:line="440" w:lineRule="exact"/>
        <w:ind w:firstLine="480" w:firstLineChars="200"/>
        <w:jc w:val="both"/>
        <w:rPr>
          <w:rFonts w:hint="eastAsia" w:ascii="仿宋_GB2312" w:hAnsiTheme="minorEastAsia"/>
          <w:sz w:val="24"/>
          <w:szCs w:val="24"/>
        </w:rPr>
      </w:pPr>
      <w:r>
        <w:rPr>
          <w:rFonts w:hint="eastAsia" w:ascii="仿宋_GB2312" w:hAnsiTheme="minorEastAsia"/>
          <w:sz w:val="24"/>
          <w:szCs w:val="24"/>
        </w:rPr>
        <w:t>通讯地址：北京市海淀区西三环北路89号中国外文大厦3层</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2、评级过程中双方应确定评级工作对接人员，甲方应依据乙方的要求将评级材料发送到乙方指定的工作人员邮箱，乙方应将评级报告的电子版发送至甲方指定的工作人员邮箱。</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甲方认可以乙方官方邮箱（</w:t>
      </w:r>
      <w:r>
        <w:rPr>
          <w:rFonts w:hint="eastAsia" w:ascii="仿宋_GB2312" w:hAnsiTheme="minorEastAsia"/>
          <w:sz w:val="24"/>
          <w:szCs w:val="24"/>
          <w:lang w:val="en-US" w:eastAsia="zh-CN"/>
        </w:rPr>
        <w:t xml:space="preserve">                </w:t>
      </w:r>
      <w:r>
        <w:rPr>
          <w:rFonts w:hint="eastAsia" w:ascii="仿宋_GB2312" w:hAnsi="宋体"/>
          <w:sz w:val="24"/>
          <w:szCs w:val="24"/>
        </w:rPr>
        <w:t>）向甲方发送的邮件均视为乙方行为。</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3、任何一方在本合同项下发出的通知或文件：(1)采用亲自或委托递交的以被通知方或其法定代表人、负责人、联系人、收件代理人签收之日为送达日期；(2)采用邮政特快专递或同城(包括市区与郊区)挂号邮件进行邮递的则以邮件寄出之日后的第3日为送达日期；(3)以其他邮寄方式发出则以寄出之日后的第7日为送达日期；（4）以电子邮件等电子方式发出的，以有关信息进入本合同约定的电子邮箱系统之日为送达日期，或以发送方收到该等信息未能进入前述电子邮箱系统之日视为送达的送达日期。</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依照上述约定而确定的送达日期与被通知方实际收到的日期或正式签收日期不一致时，以其中最早的日期为准。</w:t>
      </w:r>
    </w:p>
    <w:p>
      <w:pPr>
        <w:snapToGrid w:val="0"/>
        <w:spacing w:line="440" w:lineRule="exact"/>
        <w:ind w:firstLine="480" w:firstLineChars="200"/>
        <w:jc w:val="both"/>
        <w:rPr>
          <w:rFonts w:ascii="仿宋_GB2312" w:hAnsi="宋体"/>
          <w:sz w:val="24"/>
          <w:szCs w:val="24"/>
        </w:rPr>
      </w:pPr>
      <w:r>
        <w:rPr>
          <w:rFonts w:hint="eastAsia" w:ascii="仿宋_GB2312" w:hAnsi="宋体"/>
          <w:sz w:val="24"/>
          <w:szCs w:val="24"/>
        </w:rPr>
        <w:t>4、本合同有效期内，任何一方联系方式发生变更时，变更方应在两日内通知另一方，逾期未通知的，由变更方承担因未及时通知而造成的所有责任。</w:t>
      </w:r>
    </w:p>
    <w:p>
      <w:pPr>
        <w:snapToGrid w:val="0"/>
        <w:spacing w:line="440" w:lineRule="exact"/>
        <w:ind w:firstLine="482" w:firstLineChars="200"/>
        <w:jc w:val="both"/>
        <w:rPr>
          <w:rFonts w:ascii="仿宋_GB2312" w:hAnsi="宋体"/>
          <w:b/>
          <w:sz w:val="24"/>
          <w:szCs w:val="24"/>
        </w:rPr>
      </w:pPr>
      <w:r>
        <w:rPr>
          <w:rFonts w:hint="eastAsia" w:ascii="仿宋_GB2312" w:hAnsi="宋体"/>
          <w:b/>
          <w:sz w:val="24"/>
          <w:szCs w:val="24"/>
        </w:rPr>
        <w:t>二十二、其他</w:t>
      </w:r>
    </w:p>
    <w:p>
      <w:pPr>
        <w:spacing w:line="440" w:lineRule="exact"/>
        <w:ind w:firstLine="480" w:firstLineChars="200"/>
        <w:jc w:val="both"/>
        <w:rPr>
          <w:rFonts w:ascii="仿宋_GB2312" w:hAnsi="宋体"/>
          <w:iCs/>
          <w:sz w:val="24"/>
          <w:szCs w:val="24"/>
        </w:rPr>
      </w:pPr>
      <w:r>
        <w:rPr>
          <w:rFonts w:hint="eastAsia" w:ascii="仿宋_GB2312" w:hAnsi="宋体"/>
          <w:iCs/>
          <w:sz w:val="24"/>
          <w:szCs w:val="24"/>
        </w:rPr>
        <w:t>1、本合同任何条款无效或不可执行均不影响其他条款的有效性和可执行性，也不影响本合同的效力。</w:t>
      </w:r>
    </w:p>
    <w:p>
      <w:pPr>
        <w:snapToGrid w:val="0"/>
        <w:spacing w:line="440" w:lineRule="exact"/>
        <w:ind w:firstLine="480" w:firstLineChars="200"/>
        <w:jc w:val="both"/>
        <w:rPr>
          <w:rFonts w:ascii="仿宋_GB2312" w:hAnsi="宋体"/>
          <w:sz w:val="24"/>
          <w:szCs w:val="24"/>
        </w:rPr>
      </w:pPr>
      <w:r>
        <w:rPr>
          <w:rFonts w:hint="eastAsia" w:ascii="仿宋_GB2312" w:hAnsi="宋体"/>
          <w:bCs/>
          <w:sz w:val="24"/>
          <w:szCs w:val="24"/>
        </w:rPr>
        <w:t>2、</w:t>
      </w:r>
      <w:r>
        <w:rPr>
          <w:rFonts w:hint="eastAsia" w:ascii="仿宋_GB2312" w:hAnsi="宋体"/>
          <w:iCs/>
          <w:sz w:val="24"/>
          <w:szCs w:val="24"/>
        </w:rPr>
        <w:t>本合同经双方法定代表人或授权代表签字或盖章并加盖公章或合同专用章后生效，</w:t>
      </w:r>
      <w:r>
        <w:rPr>
          <w:rFonts w:hint="eastAsia" w:ascii="仿宋_GB2312" w:hAnsi="宋体"/>
          <w:sz w:val="24"/>
          <w:szCs w:val="24"/>
        </w:rPr>
        <w:t>一式</w:t>
      </w:r>
      <w:r>
        <w:rPr>
          <w:rFonts w:hint="eastAsia" w:ascii="仿宋_GB2312" w:hAnsi="宋体"/>
          <w:sz w:val="24"/>
          <w:szCs w:val="24"/>
          <w:u w:val="single"/>
        </w:rPr>
        <w:t>贰</w:t>
      </w:r>
      <w:r>
        <w:rPr>
          <w:rFonts w:hint="eastAsia" w:ascii="仿宋_GB2312" w:hAnsi="宋体"/>
          <w:sz w:val="24"/>
          <w:szCs w:val="24"/>
        </w:rPr>
        <w:t>份，双方各执</w:t>
      </w:r>
      <w:r>
        <w:rPr>
          <w:rFonts w:hint="eastAsia" w:ascii="仿宋_GB2312" w:hAnsi="宋体"/>
          <w:sz w:val="24"/>
          <w:szCs w:val="24"/>
          <w:u w:val="single"/>
        </w:rPr>
        <w:t>壹</w:t>
      </w:r>
      <w:r>
        <w:rPr>
          <w:rFonts w:hint="eastAsia" w:ascii="仿宋_GB2312" w:hAnsi="宋体"/>
          <w:sz w:val="24"/>
          <w:szCs w:val="24"/>
        </w:rPr>
        <w:t>份，具有同等法律效力。</w:t>
      </w:r>
    </w:p>
    <w:p>
      <w:pPr>
        <w:spacing w:line="440" w:lineRule="exact"/>
        <w:ind w:firstLine="480" w:firstLineChars="200"/>
        <w:jc w:val="both"/>
        <w:rPr>
          <w:rFonts w:ascii="仿宋_GB2312" w:hAnsi="宋体"/>
          <w:bCs/>
          <w:sz w:val="24"/>
          <w:szCs w:val="24"/>
        </w:rPr>
      </w:pPr>
      <w:r>
        <w:rPr>
          <w:rFonts w:hint="eastAsia" w:ascii="仿宋_GB2312" w:hAnsi="宋体"/>
          <w:bCs/>
          <w:sz w:val="24"/>
          <w:szCs w:val="24"/>
        </w:rPr>
        <w:t>(以下无正文)</w:t>
      </w:r>
    </w:p>
    <w:p>
      <w:pPr>
        <w:tabs>
          <w:tab w:val="left" w:pos="840"/>
          <w:tab w:val="left" w:pos="1960"/>
          <w:tab w:val="left" w:pos="4140"/>
          <w:tab w:val="left" w:pos="4305"/>
          <w:tab w:val="left" w:pos="4680"/>
        </w:tabs>
        <w:spacing w:after="130" w:afterLines="30" w:line="440" w:lineRule="exact"/>
        <w:ind w:left="4817" w:leftChars="150" w:hanging="4337" w:hangingChars="1800"/>
        <w:rPr>
          <w:rFonts w:ascii="仿宋_GB2312" w:hAnsi="宋体"/>
          <w:b/>
          <w:bCs/>
          <w:sz w:val="24"/>
          <w:szCs w:val="24"/>
        </w:rPr>
      </w:pPr>
    </w:p>
    <w:p>
      <w:pPr>
        <w:tabs>
          <w:tab w:val="left" w:pos="840"/>
          <w:tab w:val="left" w:pos="1960"/>
          <w:tab w:val="left" w:pos="4140"/>
          <w:tab w:val="left" w:pos="4305"/>
          <w:tab w:val="left" w:pos="4680"/>
        </w:tabs>
        <w:spacing w:after="130" w:afterLines="30" w:line="440" w:lineRule="exact"/>
        <w:ind w:left="4817" w:leftChars="150" w:hanging="4337" w:hangingChars="1800"/>
        <w:rPr>
          <w:rFonts w:ascii="仿宋_GB2312" w:hAnsi="宋体"/>
          <w:b/>
          <w:bCs/>
          <w:sz w:val="24"/>
          <w:szCs w:val="24"/>
        </w:rPr>
      </w:pPr>
    </w:p>
    <w:p>
      <w:pPr>
        <w:tabs>
          <w:tab w:val="left" w:pos="1820"/>
          <w:tab w:val="left" w:pos="4480"/>
          <w:tab w:val="left" w:pos="5740"/>
          <w:tab w:val="left" w:pos="6020"/>
          <w:tab w:val="left" w:pos="6300"/>
        </w:tabs>
        <w:spacing w:after="130" w:afterLines="30" w:line="440" w:lineRule="exact"/>
        <w:rPr>
          <w:rFonts w:ascii="仿宋_GB2312" w:hAnsi="宋体"/>
          <w:b/>
          <w:bCs/>
          <w:sz w:val="24"/>
          <w:szCs w:val="24"/>
        </w:rPr>
      </w:pPr>
      <w:r>
        <w:rPr>
          <w:rFonts w:hint="eastAsia" w:ascii="仿宋_GB2312" w:hAnsi="宋体"/>
          <w:b/>
          <w:bCs/>
          <w:sz w:val="24"/>
          <w:szCs w:val="24"/>
        </w:rPr>
        <w:t>甲  方：                                      乙  方：</w:t>
      </w:r>
      <w:r>
        <w:rPr>
          <w:rFonts w:hint="eastAsia" w:ascii="仿宋_GB2312" w:hAnsi="Times New Roman"/>
          <w:b/>
          <w:bCs/>
          <w:sz w:val="24"/>
          <w:szCs w:val="24"/>
        </w:rPr>
        <w:t xml:space="preserve">   </w:t>
      </w:r>
    </w:p>
    <w:p>
      <w:pPr>
        <w:tabs>
          <w:tab w:val="left" w:pos="5370"/>
          <w:tab w:val="left" w:pos="5400"/>
        </w:tabs>
        <w:spacing w:after="130" w:afterLines="30" w:line="440" w:lineRule="exact"/>
        <w:rPr>
          <w:rFonts w:ascii="仿宋_GB2312" w:hAnsi="宋体"/>
          <w:b/>
          <w:bCs/>
          <w:sz w:val="24"/>
          <w:szCs w:val="24"/>
        </w:rPr>
      </w:pPr>
      <w:r>
        <w:rPr>
          <w:rFonts w:hint="eastAsia" w:ascii="仿宋_GB2312" w:hAnsi="宋体"/>
          <w:b/>
          <w:bCs/>
          <w:sz w:val="24"/>
          <w:szCs w:val="24"/>
        </w:rPr>
        <w:t xml:space="preserve">法定代表人或授权代表：        </w:t>
      </w:r>
      <w:r>
        <w:rPr>
          <w:rFonts w:ascii="仿宋_GB2312" w:hAnsi="宋体"/>
          <w:b/>
          <w:bCs/>
          <w:sz w:val="24"/>
          <w:szCs w:val="24"/>
        </w:rPr>
        <w:t xml:space="preserve">               </w:t>
      </w:r>
      <w:r>
        <w:rPr>
          <w:rFonts w:hint="eastAsia" w:ascii="仿宋_GB2312" w:hAnsi="宋体"/>
          <w:b/>
          <w:bCs/>
          <w:sz w:val="24"/>
          <w:szCs w:val="24"/>
        </w:rPr>
        <w:t xml:space="preserve"> 法定代表人或授权代表：</w:t>
      </w:r>
    </w:p>
    <w:p>
      <w:pPr>
        <w:tabs>
          <w:tab w:val="left" w:pos="1820"/>
          <w:tab w:val="left" w:pos="4480"/>
          <w:tab w:val="left" w:pos="5740"/>
          <w:tab w:val="left" w:pos="6020"/>
          <w:tab w:val="left" w:pos="6300"/>
        </w:tabs>
        <w:spacing w:after="130" w:afterLines="30" w:line="440" w:lineRule="exact"/>
        <w:rPr>
          <w:rFonts w:ascii="仿宋_GB2312" w:hAnsi="宋体"/>
          <w:b/>
          <w:bCs/>
          <w:sz w:val="24"/>
          <w:szCs w:val="24"/>
        </w:rPr>
      </w:pPr>
      <w:r>
        <w:rPr>
          <w:rFonts w:hint="eastAsia" w:ascii="仿宋_GB2312" w:hAnsi="宋体"/>
          <w:b/>
          <w:bCs/>
          <w:sz w:val="24"/>
          <w:szCs w:val="24"/>
        </w:rPr>
        <w:t xml:space="preserve">2024年  月  日  </w:t>
      </w:r>
      <w:r>
        <w:rPr>
          <w:rFonts w:ascii="仿宋_GB2312" w:hAnsi="宋体"/>
          <w:b/>
          <w:bCs/>
          <w:sz w:val="24"/>
          <w:szCs w:val="24"/>
        </w:rPr>
        <w:t xml:space="preserve">                              202</w:t>
      </w:r>
      <w:r>
        <w:rPr>
          <w:rFonts w:hint="eastAsia" w:ascii="仿宋_GB2312" w:hAnsi="宋体"/>
          <w:b/>
          <w:bCs/>
          <w:sz w:val="24"/>
          <w:szCs w:val="24"/>
        </w:rPr>
        <w:t>4年  月  日</w:t>
      </w:r>
    </w:p>
    <w:p>
      <w:pPr>
        <w:pStyle w:val="22"/>
        <w:spacing w:before="0" w:beforeAutospacing="0" w:after="0" w:afterAutospacing="0" w:line="440" w:lineRule="exact"/>
        <w:jc w:val="both"/>
        <w:rPr>
          <w:rFonts w:ascii="仿宋_GB2312" w:eastAsia="仿宋_GB2312"/>
          <w:color w:val="000000"/>
        </w:rPr>
      </w:pPr>
    </w:p>
    <w:p>
      <w:pPr>
        <w:pStyle w:val="22"/>
        <w:spacing w:before="0" w:beforeAutospacing="0" w:after="0" w:afterAutospacing="0" w:line="440" w:lineRule="exact"/>
        <w:jc w:val="both"/>
        <w:rPr>
          <w:rFonts w:ascii="仿宋_GB2312" w:eastAsia="仿宋_GB2312"/>
          <w:color w:val="000000"/>
        </w:rPr>
      </w:pPr>
    </w:p>
    <w:p>
      <w:pPr>
        <w:pStyle w:val="22"/>
        <w:spacing w:before="0" w:beforeAutospacing="0" w:after="0" w:afterAutospacing="0" w:line="440" w:lineRule="exact"/>
        <w:jc w:val="both"/>
        <w:rPr>
          <w:rFonts w:ascii="仿宋_GB2312" w:eastAsia="仿宋_GB2312"/>
          <w:color w:val="000000"/>
        </w:rPr>
      </w:pPr>
    </w:p>
    <w:p>
      <w:pPr>
        <w:pStyle w:val="22"/>
        <w:spacing w:before="0" w:beforeAutospacing="0" w:after="0" w:afterAutospacing="0" w:line="440" w:lineRule="exact"/>
        <w:jc w:val="both"/>
        <w:rPr>
          <w:rFonts w:ascii="仿宋_GB2312" w:eastAsia="仿宋_GB2312"/>
          <w:color w:val="000000"/>
        </w:rPr>
      </w:pPr>
    </w:p>
    <w:p>
      <w:pPr>
        <w:pStyle w:val="22"/>
        <w:spacing w:before="0" w:beforeAutospacing="0" w:after="0" w:afterAutospacing="0" w:line="440" w:lineRule="exact"/>
        <w:jc w:val="both"/>
        <w:rPr>
          <w:rFonts w:ascii="仿宋_GB2312" w:eastAsia="仿宋_GB2312"/>
          <w:color w:val="000000"/>
        </w:rPr>
      </w:pPr>
    </w:p>
    <w:p>
      <w:pPr>
        <w:pStyle w:val="22"/>
        <w:spacing w:before="0" w:beforeAutospacing="0" w:after="0" w:afterAutospacing="0" w:line="440" w:lineRule="exact"/>
        <w:jc w:val="both"/>
        <w:rPr>
          <w:rFonts w:ascii="仿宋_GB2312" w:eastAsia="仿宋_GB2312"/>
          <w:color w:val="000000"/>
        </w:rPr>
      </w:pPr>
    </w:p>
    <w:p>
      <w:pPr>
        <w:pStyle w:val="22"/>
        <w:spacing w:before="0" w:beforeAutospacing="0" w:after="0" w:afterAutospacing="0" w:line="440" w:lineRule="exact"/>
        <w:jc w:val="both"/>
        <w:rPr>
          <w:rFonts w:ascii="仿宋_GB2312" w:eastAsia="仿宋_GB2312"/>
          <w:color w:val="000000"/>
        </w:rPr>
      </w:pPr>
    </w:p>
    <w:p>
      <w:pPr>
        <w:spacing w:line="440" w:lineRule="exact"/>
        <w:rPr>
          <w:rFonts w:ascii="仿宋_GB2312"/>
          <w:color w:val="000000"/>
        </w:rPr>
      </w:pPr>
    </w:p>
    <w:sectPr>
      <w:headerReference r:id="rId5" w:type="default"/>
      <w:footerReference r:id="rId7" w:type="default"/>
      <w:headerReference r:id="rId6" w:type="even"/>
      <w:footerReference r:id="rId8" w:type="even"/>
      <w:pgSz w:w="11906" w:h="16838"/>
      <w:pgMar w:top="720" w:right="720" w:bottom="720" w:left="720"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MzNhOTY2YTgyN2FiMWI3MGI2OTdmYjM2MTRkYWEifQ=="/>
  </w:docVars>
  <w:rsids>
    <w:rsidRoot w:val="000C1A81"/>
    <w:rsid w:val="000C1A81"/>
    <w:rsid w:val="001931EE"/>
    <w:rsid w:val="002C39BD"/>
    <w:rsid w:val="00444383"/>
    <w:rsid w:val="005530E4"/>
    <w:rsid w:val="00980F22"/>
    <w:rsid w:val="00A417B6"/>
    <w:rsid w:val="00CA1624"/>
    <w:rsid w:val="00DF4A7E"/>
    <w:rsid w:val="00E1090B"/>
    <w:rsid w:val="00E324C4"/>
    <w:rsid w:val="00EE1B3B"/>
    <w:rsid w:val="00F03E14"/>
    <w:rsid w:val="03A747C4"/>
    <w:rsid w:val="40C07999"/>
    <w:rsid w:val="6CC61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仿宋_GB2312" w:cs="宋体"/>
      <w:kern w:val="2"/>
      <w:sz w:val="32"/>
      <w:szCs w:val="22"/>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99"/>
  </w:style>
  <w:style w:type="paragraph" w:styleId="3">
    <w:name w:val="Body Text"/>
    <w:basedOn w:val="1"/>
    <w:link w:val="20"/>
    <w:qFormat/>
    <w:uiPriority w:val="0"/>
    <w:pPr>
      <w:overflowPunct w:val="0"/>
      <w:autoSpaceDE w:val="0"/>
      <w:autoSpaceDN w:val="0"/>
      <w:adjustRightInd w:val="0"/>
      <w:spacing w:after="220" w:line="180" w:lineRule="atLeast"/>
    </w:pPr>
    <w:rPr>
      <w:rFonts w:ascii="Arial" w:hAnsi="Arial" w:eastAsia="宋体"/>
      <w:spacing w:val="-5"/>
      <w:kern w:val="0"/>
      <w:sz w:val="20"/>
      <w:szCs w:val="20"/>
    </w:rPr>
  </w:style>
  <w:style w:type="paragraph" w:styleId="4">
    <w:name w:val="Date"/>
    <w:basedOn w:val="1"/>
    <w:next w:val="1"/>
    <w:link w:val="19"/>
    <w:autoRedefine/>
    <w:qFormat/>
    <w:uiPriority w:val="99"/>
    <w:pPr>
      <w:ind w:left="100" w:leftChars="2500"/>
    </w:pPr>
  </w:style>
  <w:style w:type="paragraph" w:styleId="5">
    <w:name w:val="Balloon Text"/>
    <w:basedOn w:val="1"/>
    <w:link w:val="18"/>
    <w:qFormat/>
    <w:uiPriority w:val="99"/>
    <w:rPr>
      <w:sz w:val="18"/>
      <w:szCs w:val="18"/>
    </w:rPr>
  </w:style>
  <w:style w:type="paragraph" w:styleId="6">
    <w:name w:val="footer"/>
    <w:basedOn w:val="1"/>
    <w:link w:val="15"/>
    <w:qFormat/>
    <w:uiPriority w:val="99"/>
    <w:pPr>
      <w:widowControl w:val="0"/>
      <w:tabs>
        <w:tab w:val="center" w:pos="4153"/>
        <w:tab w:val="right" w:pos="8306"/>
      </w:tabs>
      <w:snapToGrid w:val="0"/>
    </w:pPr>
    <w:rPr>
      <w:rFonts w:eastAsia="宋体"/>
      <w:sz w:val="18"/>
      <w:szCs w:val="18"/>
    </w:rPr>
  </w:style>
  <w:style w:type="paragraph" w:styleId="7">
    <w:name w:val="header"/>
    <w:basedOn w:val="1"/>
    <w:link w:val="14"/>
    <w:autoRedefine/>
    <w:qFormat/>
    <w:uiPriority w:val="99"/>
    <w:pPr>
      <w:widowControl w:val="0"/>
      <w:pBdr>
        <w:bottom w:val="single" w:color="auto" w:sz="6" w:space="1"/>
      </w:pBdr>
      <w:tabs>
        <w:tab w:val="center" w:pos="4153"/>
        <w:tab w:val="right" w:pos="8306"/>
      </w:tabs>
      <w:snapToGrid w:val="0"/>
      <w:jc w:val="center"/>
    </w:pPr>
    <w:rPr>
      <w:rFonts w:eastAsia="宋体"/>
      <w:sz w:val="18"/>
      <w:szCs w:val="18"/>
    </w:rPr>
  </w:style>
  <w:style w:type="paragraph" w:styleId="8">
    <w:name w:val="annotation subject"/>
    <w:basedOn w:val="2"/>
    <w:next w:val="2"/>
    <w:link w:val="17"/>
    <w:autoRedefine/>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563C1"/>
      <w:u w:val="single"/>
    </w:rPr>
  </w:style>
  <w:style w:type="character" w:styleId="13">
    <w:name w:val="annotation reference"/>
    <w:basedOn w:val="11"/>
    <w:qFormat/>
    <w:uiPriority w:val="99"/>
    <w:rPr>
      <w:sz w:val="21"/>
      <w:szCs w:val="21"/>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文字 字符"/>
    <w:basedOn w:val="11"/>
    <w:link w:val="2"/>
    <w:autoRedefine/>
    <w:qFormat/>
    <w:uiPriority w:val="99"/>
    <w:rPr>
      <w:rFonts w:eastAsia="仿宋_GB2312"/>
      <w:sz w:val="32"/>
    </w:rPr>
  </w:style>
  <w:style w:type="character" w:customStyle="1" w:styleId="17">
    <w:name w:val="批注主题 字符"/>
    <w:basedOn w:val="16"/>
    <w:link w:val="8"/>
    <w:qFormat/>
    <w:uiPriority w:val="99"/>
    <w:rPr>
      <w:rFonts w:eastAsia="仿宋_GB2312"/>
      <w:b/>
      <w:bCs/>
      <w:sz w:val="32"/>
    </w:rPr>
  </w:style>
  <w:style w:type="character" w:customStyle="1" w:styleId="18">
    <w:name w:val="批注框文本 字符"/>
    <w:basedOn w:val="11"/>
    <w:link w:val="5"/>
    <w:autoRedefine/>
    <w:qFormat/>
    <w:uiPriority w:val="99"/>
    <w:rPr>
      <w:rFonts w:eastAsia="仿宋_GB2312"/>
      <w:sz w:val="18"/>
      <w:szCs w:val="18"/>
    </w:rPr>
  </w:style>
  <w:style w:type="character" w:customStyle="1" w:styleId="19">
    <w:name w:val="日期 字符"/>
    <w:basedOn w:val="11"/>
    <w:link w:val="4"/>
    <w:qFormat/>
    <w:uiPriority w:val="99"/>
    <w:rPr>
      <w:rFonts w:eastAsia="仿宋_GB2312"/>
      <w:sz w:val="32"/>
    </w:rPr>
  </w:style>
  <w:style w:type="character" w:customStyle="1" w:styleId="20">
    <w:name w:val="正文文本 字符"/>
    <w:basedOn w:val="11"/>
    <w:link w:val="3"/>
    <w:autoRedefine/>
    <w:qFormat/>
    <w:uiPriority w:val="0"/>
    <w:rPr>
      <w:rFonts w:ascii="Arial" w:hAnsi="Arial"/>
      <w:spacing w:val="-5"/>
      <w:kern w:val="0"/>
      <w:sz w:val="20"/>
      <w:szCs w:val="20"/>
    </w:rPr>
  </w:style>
  <w:style w:type="paragraph" w:customStyle="1" w:styleId="21">
    <w:name w:val="ql-align-center"/>
    <w:basedOn w:val="1"/>
    <w:autoRedefine/>
    <w:qFormat/>
    <w:uiPriority w:val="0"/>
    <w:pPr>
      <w:spacing w:before="100" w:beforeAutospacing="1" w:after="100" w:afterAutospacing="1"/>
    </w:pPr>
    <w:rPr>
      <w:rFonts w:ascii="宋体" w:hAnsi="宋体" w:eastAsia="宋体"/>
      <w:kern w:val="0"/>
      <w:sz w:val="24"/>
      <w:szCs w:val="24"/>
    </w:rPr>
  </w:style>
  <w:style w:type="paragraph" w:customStyle="1" w:styleId="22">
    <w:name w:val="ql-lineheight-200"/>
    <w:basedOn w:val="1"/>
    <w:qFormat/>
    <w:uiPriority w:val="0"/>
    <w:pPr>
      <w:spacing w:before="100" w:beforeAutospacing="1" w:after="100" w:afterAutospacing="1"/>
    </w:pPr>
    <w:rPr>
      <w:rFonts w:ascii="宋体" w:hAnsi="宋体" w:eastAsia="宋体"/>
      <w:kern w:val="0"/>
      <w:sz w:val="24"/>
      <w:szCs w:val="24"/>
    </w:rPr>
  </w:style>
  <w:style w:type="character" w:customStyle="1" w:styleId="23">
    <w:name w:val="ql-font-arial"/>
    <w:basedOn w:val="11"/>
    <w:autoRedefine/>
    <w:qFormat/>
    <w:uiPriority w:val="0"/>
  </w:style>
  <w:style w:type="paragraph" w:customStyle="1" w:styleId="24">
    <w:name w:val="ql-align-justify"/>
    <w:basedOn w:val="1"/>
    <w:autoRedefine/>
    <w:qFormat/>
    <w:uiPriority w:val="0"/>
    <w:pPr>
      <w:spacing w:before="100" w:beforeAutospacing="1" w:after="100" w:afterAutospacing="1"/>
    </w:pPr>
    <w:rPr>
      <w:rFonts w:ascii="宋体" w:hAnsi="宋体" w:eastAsia="宋体"/>
      <w:kern w:val="0"/>
      <w:sz w:val="24"/>
      <w:szCs w:val="24"/>
    </w:rPr>
  </w:style>
  <w:style w:type="character" w:customStyle="1" w:styleId="25">
    <w:name w:val="ql-underline-solid"/>
    <w:basedOn w:val="11"/>
    <w:autoRedefine/>
    <w:qFormat/>
    <w:uiPriority w:val="0"/>
  </w:style>
  <w:style w:type="character" w:customStyle="1" w:styleId="26">
    <w:name w:val="ql-bold-700"/>
    <w:basedOn w:val="11"/>
    <w:autoRedefine/>
    <w:qFormat/>
    <w:uiPriority w:val="0"/>
  </w:style>
  <w:style w:type="paragraph" w:customStyle="1" w:styleId="27">
    <w:name w:val="修订1"/>
    <w:autoRedefine/>
    <w:qFormat/>
    <w:uiPriority w:val="99"/>
    <w:rPr>
      <w:rFonts w:ascii="Calibri" w:hAnsi="Calibri" w:eastAsia="仿宋_GB2312" w:cs="宋体"/>
      <w:kern w:val="2"/>
      <w:sz w:val="32"/>
      <w:szCs w:val="22"/>
      <w:lang w:val="en-US" w:eastAsia="zh-CN" w:bidi="ar-SA"/>
    </w:rPr>
  </w:style>
  <w:style w:type="paragraph" w:customStyle="1" w:styleId="28">
    <w:name w:val="修订2"/>
    <w:autoRedefine/>
    <w:qFormat/>
    <w:uiPriority w:val="99"/>
    <w:rPr>
      <w:rFonts w:ascii="Calibri" w:hAnsi="Calibri" w:eastAsia="仿宋_GB2312" w:cs="宋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7CBB9-CF27-4596-B4BF-572B8C3F61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955</Words>
  <Characters>5445</Characters>
  <Lines>45</Lines>
  <Paragraphs>12</Paragraphs>
  <TotalTime>6</TotalTime>
  <ScaleCrop>false</ScaleCrop>
  <LinksUpToDate>false</LinksUpToDate>
  <CharactersWithSpaces>6388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2024-04-26T07:29:00Z</dcterms:created>
  <dc:creator>张新新</dc:creator>
  <cp:lastModifiedBy>WPS_1528174015</cp:lastModifiedBy>
  <cp:lastPrinted>2022-12-23T08:27:00Z</cp:lastPrinted>
  <dcterms:modified xsi:type="dcterms:W3CDTF">2024-04-28T07:11:33Z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C1F04C84867243B4A26BBC0BA1CE811C_13</vt:lpwstr>
  </property>
</Properties>
</file>