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90C8B">
      <w:pPr>
        <w:jc w:val="center"/>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服务合同</w:t>
      </w:r>
    </w:p>
    <w:p w14:paraId="6D92EA6A">
      <w:pPr>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合同编号：[</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w:t>
      </w:r>
    </w:p>
    <w:p w14:paraId="531FD0D6">
      <w:pPr>
        <w:spacing w:line="560" w:lineRule="exact"/>
        <w:rPr>
          <w:rFonts w:hint="eastAsia" w:ascii="黑体" w:hAnsi="黑体" w:eastAsia="黑体" w:cs="仿宋_GB2312"/>
          <w:color w:val="auto"/>
          <w:sz w:val="32"/>
          <w:szCs w:val="32"/>
          <w:highlight w:val="none"/>
        </w:rPr>
      </w:pPr>
    </w:p>
    <w:p w14:paraId="4733D841">
      <w:pPr>
        <w:spacing w:line="560" w:lineRule="exact"/>
        <w:rPr>
          <w:rFonts w:hint="eastAsia" w:ascii="黑体" w:hAnsi="黑体" w:eastAsia="黑体" w:cs="仿宋_GB2312"/>
          <w:color w:val="auto"/>
          <w:sz w:val="32"/>
          <w:szCs w:val="32"/>
          <w:highlight w:val="none"/>
        </w:rPr>
      </w:pPr>
    </w:p>
    <w:p w14:paraId="6B97E315">
      <w:pPr>
        <w:spacing w:line="560" w:lineRule="exact"/>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甲方：海口市产业发展投资集团有限公司</w:t>
      </w:r>
    </w:p>
    <w:p w14:paraId="61F10818">
      <w:pPr>
        <w:spacing w:line="560" w:lineRule="exac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统一社会信用代码：91460000MACX5Q1Y1B</w:t>
      </w:r>
    </w:p>
    <w:p w14:paraId="4FE6F2F9">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经营地址：海南省海口市江东新区江东大道202号江东大厦B座3层</w:t>
      </w:r>
    </w:p>
    <w:p w14:paraId="6A0428E6">
      <w:pPr>
        <w:spacing w:line="560" w:lineRule="exac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法定代表人：</w:t>
      </w:r>
      <w:r>
        <w:rPr>
          <w:rFonts w:hint="eastAsia" w:ascii="仿宋_GB2312" w:hAnsi="仿宋_GB2312" w:eastAsia="仿宋_GB2312" w:cs="仿宋_GB2312"/>
          <w:color w:val="auto"/>
          <w:sz w:val="32"/>
          <w:szCs w:val="32"/>
          <w:highlight w:val="none"/>
          <w:lang w:val="en-US" w:eastAsia="zh-CN"/>
        </w:rPr>
        <w:t>张爱晖</w:t>
      </w:r>
    </w:p>
    <w:p w14:paraId="3CA1F5B8">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联系方式：0898-31908519</w:t>
      </w:r>
    </w:p>
    <w:p w14:paraId="2C5C587B">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电子邮箱：ctjtrl@126.com</w:t>
      </w:r>
    </w:p>
    <w:p w14:paraId="6DBB28D8">
      <w:pPr>
        <w:spacing w:line="560" w:lineRule="exact"/>
        <w:rPr>
          <w:rFonts w:hint="eastAsia" w:ascii="仿宋_GB2312" w:hAnsi="仿宋_GB2312" w:eastAsia="仿宋_GB2312" w:cs="仿宋_GB2312"/>
          <w:color w:val="auto"/>
          <w:sz w:val="32"/>
          <w:szCs w:val="32"/>
          <w:highlight w:val="none"/>
        </w:rPr>
      </w:pPr>
    </w:p>
    <w:p w14:paraId="401ACF38">
      <w:pPr>
        <w:spacing w:line="560" w:lineRule="exact"/>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乙方：</w:t>
      </w:r>
    </w:p>
    <w:p w14:paraId="2783C8CC">
      <w:pPr>
        <w:spacing w:line="560" w:lineRule="exac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统一社会信用代码：</w:t>
      </w:r>
    </w:p>
    <w:p w14:paraId="5F8C6EC9">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经营地址：</w:t>
      </w:r>
    </w:p>
    <w:p w14:paraId="2982EDE3">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w:t>
      </w:r>
    </w:p>
    <w:p w14:paraId="1EECE147">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联系方式：</w:t>
      </w:r>
    </w:p>
    <w:p w14:paraId="008B2309">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电子邮箱：</w:t>
      </w:r>
    </w:p>
    <w:p w14:paraId="339F7219">
      <w:pPr>
        <w:spacing w:line="560" w:lineRule="exact"/>
        <w:ind w:firstLine="640" w:firstLineChars="200"/>
        <w:rPr>
          <w:rFonts w:hint="eastAsia" w:ascii="仿宋_GB2312" w:hAnsi="仿宋" w:eastAsia="仿宋_GB2312" w:cs="仿宋"/>
          <w:color w:val="auto"/>
          <w:sz w:val="32"/>
          <w:szCs w:val="32"/>
          <w:highlight w:val="none"/>
        </w:rPr>
      </w:pPr>
    </w:p>
    <w:p w14:paraId="32438703">
      <w:pPr>
        <w:spacing w:line="560" w:lineRule="exact"/>
        <w:ind w:firstLine="640" w:firstLineChars="200"/>
        <w:rPr>
          <w:rFonts w:hint="eastAsia" w:ascii="仿宋_GB2312" w:hAnsi="仿宋" w:eastAsia="仿宋_GB2312" w:cs="仿宋"/>
          <w:color w:val="auto"/>
          <w:sz w:val="32"/>
          <w:szCs w:val="32"/>
          <w:highlight w:val="none"/>
        </w:rPr>
      </w:pPr>
    </w:p>
    <w:p w14:paraId="1A89060D">
      <w:pPr>
        <w:spacing w:line="560" w:lineRule="exact"/>
        <w:ind w:firstLine="640" w:firstLineChars="200"/>
        <w:rPr>
          <w:rFonts w:hint="eastAsia" w:ascii="仿宋_GB2312" w:hAnsi="仿宋" w:eastAsia="仿宋_GB2312" w:cs="仿宋"/>
          <w:color w:val="auto"/>
          <w:sz w:val="32"/>
          <w:szCs w:val="32"/>
          <w:highlight w:val="none"/>
        </w:rPr>
      </w:pPr>
    </w:p>
    <w:p w14:paraId="0443516C">
      <w:pPr>
        <w:spacing w:line="560" w:lineRule="exact"/>
        <w:ind w:firstLine="640" w:firstLineChars="200"/>
        <w:rPr>
          <w:rFonts w:hint="eastAsia" w:ascii="仿宋_GB2312" w:hAnsi="仿宋" w:eastAsia="仿宋_GB2312" w:cs="仿宋"/>
          <w:color w:val="auto"/>
          <w:sz w:val="32"/>
          <w:szCs w:val="32"/>
          <w:highlight w:val="none"/>
        </w:rPr>
      </w:pPr>
    </w:p>
    <w:p w14:paraId="76C32B36">
      <w:pPr>
        <w:spacing w:line="560" w:lineRule="exact"/>
        <w:ind w:firstLine="640" w:firstLineChars="200"/>
        <w:rPr>
          <w:rFonts w:hint="eastAsia" w:ascii="仿宋_GB2312" w:hAnsi="仿宋" w:eastAsia="仿宋_GB2312" w:cs="仿宋"/>
          <w:color w:val="auto"/>
          <w:sz w:val="32"/>
          <w:szCs w:val="32"/>
          <w:highlight w:val="none"/>
        </w:rPr>
      </w:pPr>
    </w:p>
    <w:p w14:paraId="769FE95F">
      <w:pPr>
        <w:spacing w:line="560" w:lineRule="exact"/>
        <w:ind w:firstLine="640" w:firstLineChars="200"/>
        <w:rPr>
          <w:rFonts w:hint="eastAsia" w:ascii="仿宋_GB2312" w:hAnsi="仿宋" w:eastAsia="仿宋_GB2312" w:cs="仿宋"/>
          <w:color w:val="auto"/>
          <w:sz w:val="32"/>
          <w:szCs w:val="32"/>
          <w:highlight w:val="none"/>
        </w:rPr>
      </w:pPr>
    </w:p>
    <w:p w14:paraId="38CEA44E">
      <w:pPr>
        <w:spacing w:line="560" w:lineRule="exact"/>
        <w:ind w:firstLine="640" w:firstLineChars="200"/>
        <w:rPr>
          <w:rFonts w:hint="eastAsia" w:ascii="仿宋_GB2312" w:hAnsi="仿宋" w:eastAsia="仿宋_GB2312" w:cs="仿宋"/>
          <w:color w:val="auto"/>
          <w:sz w:val="32"/>
          <w:szCs w:val="32"/>
          <w:highlight w:val="none"/>
        </w:rPr>
      </w:pPr>
    </w:p>
    <w:p w14:paraId="18E2EBF1">
      <w:pPr>
        <w:spacing w:line="560" w:lineRule="exact"/>
        <w:ind w:firstLine="640" w:firstLineChars="200"/>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根据《中华人民共和国民法典》及相关法律法规，甲</w:t>
      </w:r>
      <w:r>
        <w:rPr>
          <w:rFonts w:hint="eastAsia" w:ascii="仿宋_GB2312" w:hAnsi="仿宋_GB2312" w:eastAsia="仿宋_GB2312" w:cs="仿宋_GB2312"/>
          <w:snapToGrid w:val="0"/>
          <w:color w:val="auto"/>
          <w:spacing w:val="-5"/>
          <w:sz w:val="32"/>
          <w:szCs w:val="32"/>
          <w:highlight w:val="none"/>
        </w:rPr>
        <w:t>乙双方在平等自愿、诚实信用的基础上，甲乙双方就</w:t>
      </w:r>
      <w:r>
        <w:rPr>
          <w:rFonts w:hint="eastAsia" w:ascii="仿宋_GB2312" w:hAnsi="仿宋_GB2312" w:eastAsia="仿宋_GB2312" w:cs="仿宋_GB2312"/>
          <w:snapToGrid w:val="0"/>
          <w:color w:val="auto"/>
          <w:spacing w:val="-5"/>
          <w:sz w:val="32"/>
          <w:szCs w:val="32"/>
          <w:highlight w:val="none"/>
          <w:u w:val="single"/>
          <w:lang w:val="en-US" w:eastAsia="zh-CN"/>
        </w:rPr>
        <w:t xml:space="preserve">      项目</w:t>
      </w:r>
      <w:r>
        <w:rPr>
          <w:rFonts w:hint="eastAsia" w:ascii="仿宋_GB2312" w:hAnsi="仿宋_GB2312" w:eastAsia="仿宋_GB2312" w:cs="仿宋_GB2312"/>
          <w:snapToGrid w:val="0"/>
          <w:color w:val="auto"/>
          <w:spacing w:val="-5"/>
          <w:sz w:val="32"/>
          <w:szCs w:val="32"/>
          <w:highlight w:val="none"/>
        </w:rPr>
        <w:t>事宜达成</w:t>
      </w:r>
      <w:r>
        <w:rPr>
          <w:rFonts w:hint="eastAsia" w:ascii="仿宋_GB2312" w:hAnsi="仿宋" w:eastAsia="仿宋_GB2312" w:cs="仿宋"/>
          <w:color w:val="auto"/>
          <w:sz w:val="32"/>
          <w:szCs w:val="32"/>
          <w:highlight w:val="none"/>
        </w:rPr>
        <w:t>一致，签订本合同，以资共同遵守。</w:t>
      </w:r>
    </w:p>
    <w:p w14:paraId="1C789687">
      <w:pPr>
        <w:pStyle w:val="5"/>
        <w:numPr>
          <w:ilvl w:val="255"/>
          <w:numId w:val="0"/>
        </w:numPr>
        <w:overflowPunct w:val="0"/>
        <w:spacing w:line="560" w:lineRule="exact"/>
        <w:ind w:firstLine="640" w:firstLineChars="200"/>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一、</w:t>
      </w:r>
      <w:r>
        <w:rPr>
          <w:rFonts w:hint="eastAsia" w:ascii="黑体" w:hAnsi="黑体" w:eastAsia="黑体" w:cs="黑体"/>
          <w:color w:val="auto"/>
          <w:sz w:val="32"/>
          <w:szCs w:val="32"/>
          <w:highlight w:val="none"/>
        </w:rPr>
        <w:t>标的、数量</w:t>
      </w:r>
    </w:p>
    <w:tbl>
      <w:tblPr>
        <w:tblStyle w:val="12"/>
        <w:tblW w:w="5434" w:type="pct"/>
        <w:tblInd w:w="-320" w:type="dxa"/>
        <w:tblLayout w:type="autofit"/>
        <w:tblCellMar>
          <w:top w:w="0" w:type="dxa"/>
          <w:left w:w="108" w:type="dxa"/>
          <w:bottom w:w="0" w:type="dxa"/>
          <w:right w:w="108" w:type="dxa"/>
        </w:tblCellMar>
      </w:tblPr>
      <w:tblGrid>
        <w:gridCol w:w="818"/>
        <w:gridCol w:w="1360"/>
        <w:gridCol w:w="1901"/>
        <w:gridCol w:w="1147"/>
        <w:gridCol w:w="821"/>
        <w:gridCol w:w="800"/>
        <w:gridCol w:w="1400"/>
        <w:gridCol w:w="1015"/>
      </w:tblGrid>
      <w:tr w14:paraId="78698557">
        <w:tblPrEx>
          <w:tblCellMar>
            <w:top w:w="0" w:type="dxa"/>
            <w:left w:w="108" w:type="dxa"/>
            <w:bottom w:w="0" w:type="dxa"/>
            <w:right w:w="108" w:type="dxa"/>
          </w:tblCellMar>
        </w:tblPrEx>
        <w:trPr>
          <w:trHeight w:val="782" w:hRule="atLeast"/>
          <w:tblHeader/>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DE8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序号</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83B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服务内容</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093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标准配置</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94B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单价</w:t>
            </w:r>
            <w:r>
              <w:rPr>
                <w:rFonts w:hint="eastAsia" w:ascii="黑体" w:hAnsi="黑体" w:eastAsia="黑体" w:cs="黑体"/>
                <w:color w:val="auto"/>
                <w:sz w:val="28"/>
                <w:szCs w:val="28"/>
                <w:highlight w:val="none"/>
              </w:rPr>
              <w:br w:type="textWrapping"/>
            </w:r>
            <w:r>
              <w:rPr>
                <w:rFonts w:hint="eastAsia" w:ascii="黑体" w:hAnsi="黑体" w:eastAsia="黑体" w:cs="黑体"/>
                <w:color w:val="auto"/>
                <w:sz w:val="28"/>
                <w:szCs w:val="28"/>
                <w:highlight w:val="none"/>
              </w:rPr>
              <w:t>（元）</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904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单位</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74B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数量</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D54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标准价格</w:t>
            </w:r>
            <w:r>
              <w:rPr>
                <w:rFonts w:hint="eastAsia" w:ascii="黑体" w:hAnsi="黑体" w:eastAsia="黑体" w:cs="黑体"/>
                <w:color w:val="auto"/>
                <w:sz w:val="28"/>
                <w:szCs w:val="28"/>
                <w:highlight w:val="none"/>
              </w:rPr>
              <w:br w:type="textWrapping"/>
            </w:r>
            <w:r>
              <w:rPr>
                <w:rFonts w:hint="eastAsia" w:ascii="黑体" w:hAnsi="黑体" w:eastAsia="黑体" w:cs="黑体"/>
                <w:color w:val="auto"/>
                <w:sz w:val="28"/>
                <w:szCs w:val="28"/>
                <w:highlight w:val="none"/>
              </w:rPr>
              <w:t>（元）</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045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备注</w:t>
            </w:r>
          </w:p>
        </w:tc>
      </w:tr>
      <w:tr w14:paraId="14EA444B">
        <w:tblPrEx>
          <w:tblCellMar>
            <w:top w:w="0" w:type="dxa"/>
            <w:left w:w="108" w:type="dxa"/>
            <w:bottom w:w="0" w:type="dxa"/>
            <w:right w:w="108" w:type="dxa"/>
          </w:tblCellMar>
        </w:tblPrEx>
        <w:trPr>
          <w:trHeight w:val="624"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0A9696">
            <w:pPr>
              <w:widowControl/>
              <w:jc w:val="left"/>
              <w:textAlignment w:val="center"/>
              <w:rPr>
                <w:rFonts w:hint="eastAsia" w:ascii="黑体" w:hAnsi="宋体" w:eastAsia="黑体" w:cs="黑体"/>
                <w:color w:val="auto"/>
                <w:sz w:val="24"/>
                <w:highlight w:val="none"/>
                <w:lang w:eastAsia="zh-CN"/>
              </w:rPr>
            </w:pPr>
            <w:r>
              <w:rPr>
                <w:rFonts w:hint="eastAsia" w:ascii="黑体" w:hAnsi="黑体" w:eastAsia="黑体" w:cs="黑体"/>
                <w:color w:val="auto"/>
                <w:sz w:val="28"/>
                <w:szCs w:val="28"/>
                <w:highlight w:val="none"/>
              </w:rPr>
              <w:t>一、</w:t>
            </w:r>
            <w:r>
              <w:rPr>
                <w:rFonts w:hint="eastAsia" w:ascii="黑体" w:hAnsi="黑体" w:eastAsia="黑体" w:cs="黑体"/>
                <w:color w:val="auto"/>
                <w:sz w:val="28"/>
                <w:szCs w:val="28"/>
                <w:highlight w:val="none"/>
                <w:lang w:val="en-US" w:eastAsia="zh-CN"/>
              </w:rPr>
              <w:t>XXX</w:t>
            </w:r>
          </w:p>
        </w:tc>
      </w:tr>
      <w:tr w14:paraId="6BE8CF72">
        <w:tblPrEx>
          <w:tblCellMar>
            <w:top w:w="0" w:type="dxa"/>
            <w:left w:w="108" w:type="dxa"/>
            <w:bottom w:w="0" w:type="dxa"/>
            <w:right w:w="108" w:type="dxa"/>
          </w:tblCellMar>
        </w:tblPrEx>
        <w:trPr>
          <w:trHeight w:val="629"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35BB1">
            <w:pPr>
              <w:widowControl/>
              <w:jc w:val="center"/>
              <w:textAlignment w:val="center"/>
              <w:rPr>
                <w:rFonts w:hint="eastAsia"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color w:val="auto"/>
                <w:kern w:val="0"/>
                <w:sz w:val="32"/>
                <w:szCs w:val="32"/>
                <w:highlight w:val="none"/>
                <w:lang w:val="en-US" w:eastAsia="zh-CN" w:bidi="ar"/>
              </w:rPr>
              <w:t>1</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BC39">
            <w:pPr>
              <w:widowControl/>
              <w:jc w:val="center"/>
              <w:textAlignment w:val="center"/>
              <w:rPr>
                <w:rFonts w:ascii="仿宋_GB2312" w:hAnsi="宋体" w:eastAsia="仿宋_GB2312" w:cs="仿宋_GB2312"/>
                <w:color w:val="auto"/>
                <w:kern w:val="0"/>
                <w:sz w:val="32"/>
                <w:szCs w:val="32"/>
                <w:highlight w:val="none"/>
                <w:lang w:bidi="ar"/>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2639E">
            <w:pPr>
              <w:widowControl/>
              <w:jc w:val="center"/>
              <w:textAlignment w:val="center"/>
              <w:rPr>
                <w:rFonts w:ascii="仿宋_GB2312" w:hAnsi="宋体" w:eastAsia="仿宋_GB2312" w:cs="仿宋_GB2312"/>
                <w:color w:val="auto"/>
                <w:kern w:val="0"/>
                <w:sz w:val="32"/>
                <w:szCs w:val="32"/>
                <w:highlight w:val="none"/>
                <w:lang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24A8F">
            <w:pPr>
              <w:widowControl/>
              <w:jc w:val="center"/>
              <w:textAlignment w:val="center"/>
              <w:rPr>
                <w:rFonts w:ascii="仿宋_GB2312" w:hAnsi="宋体" w:eastAsia="仿宋_GB2312" w:cs="仿宋_GB2312"/>
                <w:color w:val="auto"/>
                <w:kern w:val="0"/>
                <w:sz w:val="32"/>
                <w:szCs w:val="32"/>
                <w:highlight w:val="none"/>
                <w:lang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C2782">
            <w:pPr>
              <w:widowControl/>
              <w:jc w:val="center"/>
              <w:textAlignment w:val="center"/>
              <w:rPr>
                <w:rFonts w:ascii="仿宋_GB2312" w:hAnsi="宋体" w:eastAsia="仿宋_GB2312" w:cs="仿宋_GB2312"/>
                <w:color w:val="auto"/>
                <w:kern w:val="0"/>
                <w:sz w:val="32"/>
                <w:szCs w:val="32"/>
                <w:highlight w:val="none"/>
                <w:lang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14C7">
            <w:pPr>
              <w:widowControl/>
              <w:jc w:val="center"/>
              <w:textAlignment w:val="center"/>
              <w:rPr>
                <w:rFonts w:ascii="仿宋_GB2312" w:hAnsi="宋体" w:eastAsia="仿宋_GB2312" w:cs="仿宋_GB2312"/>
                <w:color w:val="auto"/>
                <w:kern w:val="0"/>
                <w:sz w:val="32"/>
                <w:szCs w:val="32"/>
                <w:highlight w:val="none"/>
                <w:lang w:bidi="ar"/>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AE661">
            <w:pPr>
              <w:widowControl/>
              <w:jc w:val="center"/>
              <w:textAlignment w:val="center"/>
              <w:rPr>
                <w:rFonts w:ascii="仿宋_GB2312" w:hAnsi="宋体" w:eastAsia="仿宋_GB2312" w:cs="仿宋_GB2312"/>
                <w:color w:val="auto"/>
                <w:kern w:val="0"/>
                <w:sz w:val="32"/>
                <w:szCs w:val="32"/>
                <w:highlight w:val="none"/>
                <w:lang w:bidi="ar"/>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46BA9">
            <w:pPr>
              <w:widowControl/>
              <w:jc w:val="center"/>
              <w:textAlignment w:val="center"/>
              <w:rPr>
                <w:rFonts w:ascii="仿宋_GB2312" w:hAnsi="宋体" w:eastAsia="仿宋_GB2312" w:cs="仿宋_GB2312"/>
                <w:color w:val="auto"/>
                <w:kern w:val="0"/>
                <w:sz w:val="32"/>
                <w:szCs w:val="32"/>
                <w:highlight w:val="none"/>
                <w:lang w:bidi="ar"/>
              </w:rPr>
            </w:pPr>
          </w:p>
        </w:tc>
      </w:tr>
      <w:tr w14:paraId="770D6541">
        <w:tblPrEx>
          <w:tblCellMar>
            <w:top w:w="0" w:type="dxa"/>
            <w:left w:w="108" w:type="dxa"/>
            <w:bottom w:w="0" w:type="dxa"/>
            <w:right w:w="108" w:type="dxa"/>
          </w:tblCellMar>
        </w:tblPrEx>
        <w:trPr>
          <w:trHeight w:val="571"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43D80">
            <w:pPr>
              <w:widowControl/>
              <w:jc w:val="center"/>
              <w:textAlignment w:val="center"/>
              <w:rPr>
                <w:rFonts w:ascii="仿宋_GB2312" w:hAnsi="宋体" w:eastAsia="仿宋_GB2312" w:cs="仿宋_GB2312"/>
                <w:color w:val="auto"/>
                <w:kern w:val="0"/>
                <w:sz w:val="32"/>
                <w:szCs w:val="32"/>
                <w:highlight w:val="none"/>
                <w:lang w:bidi="ar"/>
              </w:rPr>
            </w:pPr>
            <w:r>
              <w:rPr>
                <w:rFonts w:hint="eastAsia" w:ascii="仿宋_GB2312" w:hAnsi="宋体" w:eastAsia="仿宋_GB2312" w:cs="仿宋_GB2312"/>
                <w:color w:val="auto"/>
                <w:kern w:val="0"/>
                <w:sz w:val="32"/>
                <w:szCs w:val="32"/>
                <w:highlight w:val="none"/>
                <w:lang w:bidi="ar"/>
              </w:rPr>
              <w:t xml:space="preserve">2 </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F8805">
            <w:pPr>
              <w:widowControl/>
              <w:jc w:val="center"/>
              <w:textAlignment w:val="center"/>
              <w:rPr>
                <w:rFonts w:ascii="仿宋_GB2312" w:hAnsi="宋体" w:eastAsia="仿宋_GB2312" w:cs="仿宋_GB2312"/>
                <w:color w:val="auto"/>
                <w:kern w:val="0"/>
                <w:sz w:val="32"/>
                <w:szCs w:val="32"/>
                <w:highlight w:val="none"/>
                <w:lang w:bidi="ar"/>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82195">
            <w:pPr>
              <w:widowControl/>
              <w:jc w:val="center"/>
              <w:textAlignment w:val="center"/>
              <w:rPr>
                <w:rFonts w:ascii="仿宋_GB2312" w:hAnsi="宋体" w:eastAsia="仿宋_GB2312" w:cs="仿宋_GB2312"/>
                <w:color w:val="auto"/>
                <w:kern w:val="0"/>
                <w:sz w:val="32"/>
                <w:szCs w:val="32"/>
                <w:highlight w:val="none"/>
                <w:lang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1273D">
            <w:pPr>
              <w:widowControl/>
              <w:jc w:val="center"/>
              <w:textAlignment w:val="center"/>
              <w:rPr>
                <w:rFonts w:ascii="仿宋_GB2312" w:hAnsi="宋体" w:eastAsia="仿宋_GB2312" w:cs="仿宋_GB2312"/>
                <w:color w:val="auto"/>
                <w:kern w:val="0"/>
                <w:sz w:val="32"/>
                <w:szCs w:val="32"/>
                <w:highlight w:val="none"/>
                <w:lang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B1D49">
            <w:pPr>
              <w:widowControl/>
              <w:jc w:val="center"/>
              <w:textAlignment w:val="center"/>
              <w:rPr>
                <w:rFonts w:ascii="仿宋_GB2312" w:hAnsi="宋体" w:eastAsia="仿宋_GB2312" w:cs="仿宋_GB2312"/>
                <w:color w:val="auto"/>
                <w:kern w:val="0"/>
                <w:sz w:val="32"/>
                <w:szCs w:val="32"/>
                <w:highlight w:val="none"/>
                <w:lang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F070C">
            <w:pPr>
              <w:widowControl/>
              <w:jc w:val="center"/>
              <w:textAlignment w:val="center"/>
              <w:rPr>
                <w:rFonts w:ascii="仿宋_GB2312" w:hAnsi="宋体" w:eastAsia="仿宋_GB2312" w:cs="仿宋_GB2312"/>
                <w:color w:val="auto"/>
                <w:kern w:val="0"/>
                <w:sz w:val="32"/>
                <w:szCs w:val="32"/>
                <w:highlight w:val="none"/>
                <w:lang w:bidi="ar"/>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0E2C">
            <w:pPr>
              <w:widowControl/>
              <w:jc w:val="center"/>
              <w:textAlignment w:val="center"/>
              <w:rPr>
                <w:rFonts w:ascii="仿宋_GB2312" w:hAnsi="宋体" w:eastAsia="仿宋_GB2312" w:cs="仿宋_GB2312"/>
                <w:color w:val="auto"/>
                <w:kern w:val="0"/>
                <w:sz w:val="32"/>
                <w:szCs w:val="32"/>
                <w:highlight w:val="none"/>
                <w:lang w:bidi="ar"/>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tcPr>
          <w:p w14:paraId="0F6EA00B">
            <w:pPr>
              <w:widowControl/>
              <w:jc w:val="center"/>
              <w:textAlignment w:val="center"/>
              <w:rPr>
                <w:rFonts w:ascii="仿宋_GB2312" w:hAnsi="宋体" w:eastAsia="仿宋_GB2312" w:cs="仿宋_GB2312"/>
                <w:color w:val="auto"/>
                <w:kern w:val="0"/>
                <w:sz w:val="32"/>
                <w:szCs w:val="32"/>
                <w:highlight w:val="none"/>
                <w:lang w:bidi="ar"/>
              </w:rPr>
            </w:pPr>
          </w:p>
        </w:tc>
      </w:tr>
      <w:tr w14:paraId="7BB60283">
        <w:tblPrEx>
          <w:tblCellMar>
            <w:top w:w="0" w:type="dxa"/>
            <w:left w:w="108" w:type="dxa"/>
            <w:bottom w:w="0" w:type="dxa"/>
            <w:right w:w="108" w:type="dxa"/>
          </w:tblCellMar>
        </w:tblPrEx>
        <w:trPr>
          <w:trHeight w:val="571"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6461A">
            <w:pPr>
              <w:widowControl/>
              <w:jc w:val="center"/>
              <w:textAlignment w:val="center"/>
              <w:rPr>
                <w:rFonts w:hint="eastAsia"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color w:val="auto"/>
                <w:kern w:val="0"/>
                <w:sz w:val="32"/>
                <w:szCs w:val="32"/>
                <w:highlight w:val="none"/>
                <w:lang w:val="en-US" w:eastAsia="zh-CN" w:bidi="ar"/>
              </w:rPr>
              <w:t>3</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62092">
            <w:pPr>
              <w:widowControl/>
              <w:jc w:val="center"/>
              <w:textAlignment w:val="center"/>
              <w:rPr>
                <w:rFonts w:ascii="仿宋_GB2312" w:hAnsi="宋体" w:eastAsia="仿宋_GB2312" w:cs="仿宋_GB2312"/>
                <w:color w:val="auto"/>
                <w:kern w:val="0"/>
                <w:sz w:val="32"/>
                <w:szCs w:val="32"/>
                <w:highlight w:val="none"/>
                <w:lang w:bidi="ar"/>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EF35B">
            <w:pPr>
              <w:widowControl/>
              <w:jc w:val="center"/>
              <w:textAlignment w:val="center"/>
              <w:rPr>
                <w:rFonts w:ascii="仿宋_GB2312" w:hAnsi="宋体" w:eastAsia="仿宋_GB2312" w:cs="仿宋_GB2312"/>
                <w:color w:val="auto"/>
                <w:kern w:val="0"/>
                <w:sz w:val="32"/>
                <w:szCs w:val="32"/>
                <w:highlight w:val="none"/>
                <w:lang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3A785">
            <w:pPr>
              <w:widowControl/>
              <w:jc w:val="center"/>
              <w:textAlignment w:val="center"/>
              <w:rPr>
                <w:rFonts w:ascii="仿宋_GB2312" w:hAnsi="宋体" w:eastAsia="仿宋_GB2312" w:cs="仿宋_GB2312"/>
                <w:color w:val="auto"/>
                <w:kern w:val="0"/>
                <w:sz w:val="32"/>
                <w:szCs w:val="32"/>
                <w:highlight w:val="none"/>
                <w:lang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C73D8">
            <w:pPr>
              <w:widowControl/>
              <w:jc w:val="center"/>
              <w:textAlignment w:val="center"/>
              <w:rPr>
                <w:rFonts w:ascii="仿宋_GB2312" w:hAnsi="宋体" w:eastAsia="仿宋_GB2312" w:cs="仿宋_GB2312"/>
                <w:color w:val="auto"/>
                <w:kern w:val="0"/>
                <w:sz w:val="32"/>
                <w:szCs w:val="32"/>
                <w:highlight w:val="none"/>
                <w:lang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50BC">
            <w:pPr>
              <w:widowControl/>
              <w:jc w:val="center"/>
              <w:textAlignment w:val="center"/>
              <w:rPr>
                <w:rFonts w:ascii="仿宋_GB2312" w:hAnsi="宋体" w:eastAsia="仿宋_GB2312" w:cs="仿宋_GB2312"/>
                <w:color w:val="auto"/>
                <w:kern w:val="0"/>
                <w:sz w:val="32"/>
                <w:szCs w:val="32"/>
                <w:highlight w:val="none"/>
                <w:lang w:bidi="ar"/>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DD5DE">
            <w:pPr>
              <w:widowControl/>
              <w:jc w:val="center"/>
              <w:textAlignment w:val="center"/>
              <w:rPr>
                <w:rFonts w:ascii="仿宋_GB2312" w:hAnsi="宋体" w:eastAsia="仿宋_GB2312" w:cs="仿宋_GB2312"/>
                <w:color w:val="auto"/>
                <w:kern w:val="0"/>
                <w:sz w:val="32"/>
                <w:szCs w:val="32"/>
                <w:highlight w:val="none"/>
                <w:lang w:bidi="ar"/>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tcPr>
          <w:p w14:paraId="5BD6236A">
            <w:pPr>
              <w:widowControl/>
              <w:jc w:val="center"/>
              <w:textAlignment w:val="center"/>
              <w:rPr>
                <w:rFonts w:ascii="仿宋_GB2312" w:hAnsi="宋体" w:eastAsia="仿宋_GB2312" w:cs="仿宋_GB2312"/>
                <w:color w:val="auto"/>
                <w:kern w:val="0"/>
                <w:sz w:val="32"/>
                <w:szCs w:val="32"/>
                <w:highlight w:val="none"/>
                <w:lang w:bidi="ar"/>
              </w:rPr>
            </w:pPr>
          </w:p>
        </w:tc>
      </w:tr>
      <w:tr w14:paraId="2F6FBB79">
        <w:tblPrEx>
          <w:tblCellMar>
            <w:top w:w="0" w:type="dxa"/>
            <w:left w:w="108" w:type="dxa"/>
            <w:bottom w:w="0" w:type="dxa"/>
            <w:right w:w="108" w:type="dxa"/>
          </w:tblCellMar>
        </w:tblPrEx>
        <w:trPr>
          <w:trHeight w:val="571" w:hRule="atLeast"/>
        </w:trPr>
        <w:tc>
          <w:tcPr>
            <w:tcW w:w="36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BBD3AE">
            <w:pPr>
              <w:widowControl/>
              <w:jc w:val="center"/>
              <w:textAlignment w:val="center"/>
              <w:rPr>
                <w:rFonts w:hint="default"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color w:val="auto"/>
                <w:kern w:val="0"/>
                <w:sz w:val="32"/>
                <w:szCs w:val="32"/>
                <w:highlight w:val="none"/>
                <w:lang w:val="en-US" w:eastAsia="zh-CN" w:bidi="ar"/>
              </w:rPr>
              <w:t>小计1</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726DC">
            <w:pPr>
              <w:widowControl/>
              <w:jc w:val="center"/>
              <w:textAlignment w:val="center"/>
              <w:rPr>
                <w:rFonts w:ascii="仿宋_GB2312" w:hAnsi="宋体" w:eastAsia="仿宋_GB2312" w:cs="仿宋_GB2312"/>
                <w:color w:val="auto"/>
                <w:kern w:val="0"/>
                <w:sz w:val="32"/>
                <w:szCs w:val="32"/>
                <w:highlight w:val="none"/>
                <w:lang w:bidi="ar"/>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tcPr>
          <w:p w14:paraId="3A3B9854">
            <w:pPr>
              <w:widowControl/>
              <w:jc w:val="center"/>
              <w:textAlignment w:val="center"/>
              <w:rPr>
                <w:rFonts w:ascii="仿宋_GB2312" w:hAnsi="宋体" w:eastAsia="仿宋_GB2312" w:cs="仿宋_GB2312"/>
                <w:color w:val="auto"/>
                <w:kern w:val="0"/>
                <w:sz w:val="32"/>
                <w:szCs w:val="32"/>
                <w:highlight w:val="none"/>
                <w:lang w:bidi="ar"/>
              </w:rPr>
            </w:pPr>
          </w:p>
        </w:tc>
      </w:tr>
      <w:tr w14:paraId="3E972AB4">
        <w:tblPrEx>
          <w:tblCellMar>
            <w:top w:w="0" w:type="dxa"/>
            <w:left w:w="108" w:type="dxa"/>
            <w:bottom w:w="0" w:type="dxa"/>
            <w:right w:w="108" w:type="dxa"/>
          </w:tblCellMar>
        </w:tblPrEx>
        <w:trPr>
          <w:trHeight w:val="624"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2AFEB1">
            <w:pPr>
              <w:widowControl/>
              <w:jc w:val="left"/>
              <w:textAlignment w:val="center"/>
              <w:rPr>
                <w:rFonts w:hint="default" w:ascii="仿宋_GB2312" w:hAnsi="宋体" w:eastAsia="仿宋_GB2312" w:cs="仿宋_GB2312"/>
                <w:color w:val="auto"/>
                <w:kern w:val="0"/>
                <w:sz w:val="32"/>
                <w:szCs w:val="32"/>
                <w:highlight w:val="none"/>
                <w:lang w:val="en-US" w:eastAsia="zh-CN" w:bidi="ar"/>
              </w:rPr>
            </w:pPr>
            <w:r>
              <w:rPr>
                <w:rFonts w:hint="eastAsia" w:ascii="黑体" w:hAnsi="黑体" w:eastAsia="黑体" w:cs="黑体"/>
                <w:color w:val="auto"/>
                <w:sz w:val="28"/>
                <w:szCs w:val="28"/>
                <w:highlight w:val="none"/>
                <w:lang w:val="en-US" w:eastAsia="zh-CN"/>
              </w:rPr>
              <w:t>二、XXX</w:t>
            </w:r>
          </w:p>
        </w:tc>
      </w:tr>
      <w:tr w14:paraId="24877D79">
        <w:tblPrEx>
          <w:tblCellMar>
            <w:top w:w="0" w:type="dxa"/>
            <w:left w:w="108" w:type="dxa"/>
            <w:bottom w:w="0" w:type="dxa"/>
            <w:right w:w="108" w:type="dxa"/>
          </w:tblCellMar>
        </w:tblPrEx>
        <w:trPr>
          <w:trHeight w:val="571"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41BC7">
            <w:pPr>
              <w:widowControl/>
              <w:jc w:val="center"/>
              <w:textAlignment w:val="center"/>
              <w:rPr>
                <w:rFonts w:hint="eastAsia" w:ascii="仿宋_GB2312" w:hAnsi="宋体" w:eastAsia="仿宋_GB2312" w:cs="仿宋_GB2312"/>
                <w:color w:val="auto"/>
                <w:kern w:val="0"/>
                <w:sz w:val="32"/>
                <w:szCs w:val="32"/>
                <w:highlight w:val="none"/>
                <w:lang w:bidi="ar"/>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AF87D">
            <w:pPr>
              <w:widowControl/>
              <w:jc w:val="center"/>
              <w:textAlignment w:val="center"/>
              <w:rPr>
                <w:rFonts w:ascii="仿宋_GB2312" w:hAnsi="宋体" w:eastAsia="仿宋_GB2312" w:cs="仿宋_GB2312"/>
                <w:color w:val="auto"/>
                <w:kern w:val="0"/>
                <w:sz w:val="32"/>
                <w:szCs w:val="32"/>
                <w:highlight w:val="none"/>
                <w:lang w:bidi="ar"/>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D0B5A">
            <w:pPr>
              <w:widowControl/>
              <w:jc w:val="center"/>
              <w:textAlignment w:val="center"/>
              <w:rPr>
                <w:rFonts w:ascii="仿宋_GB2312" w:hAnsi="宋体" w:eastAsia="仿宋_GB2312" w:cs="仿宋_GB2312"/>
                <w:color w:val="auto"/>
                <w:kern w:val="0"/>
                <w:sz w:val="32"/>
                <w:szCs w:val="32"/>
                <w:highlight w:val="none"/>
                <w:lang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4700A">
            <w:pPr>
              <w:widowControl/>
              <w:jc w:val="center"/>
              <w:textAlignment w:val="center"/>
              <w:rPr>
                <w:rFonts w:ascii="仿宋_GB2312" w:hAnsi="宋体" w:eastAsia="仿宋_GB2312" w:cs="仿宋_GB2312"/>
                <w:color w:val="auto"/>
                <w:kern w:val="0"/>
                <w:sz w:val="32"/>
                <w:szCs w:val="32"/>
                <w:highlight w:val="none"/>
                <w:lang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17993">
            <w:pPr>
              <w:widowControl/>
              <w:jc w:val="center"/>
              <w:textAlignment w:val="center"/>
              <w:rPr>
                <w:rFonts w:ascii="仿宋_GB2312" w:hAnsi="宋体" w:eastAsia="仿宋_GB2312" w:cs="仿宋_GB2312"/>
                <w:color w:val="auto"/>
                <w:kern w:val="0"/>
                <w:sz w:val="32"/>
                <w:szCs w:val="32"/>
                <w:highlight w:val="none"/>
                <w:lang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D3BFC">
            <w:pPr>
              <w:widowControl/>
              <w:jc w:val="center"/>
              <w:textAlignment w:val="center"/>
              <w:rPr>
                <w:rFonts w:ascii="仿宋_GB2312" w:hAnsi="宋体" w:eastAsia="仿宋_GB2312" w:cs="仿宋_GB2312"/>
                <w:color w:val="auto"/>
                <w:kern w:val="0"/>
                <w:sz w:val="32"/>
                <w:szCs w:val="32"/>
                <w:highlight w:val="none"/>
                <w:lang w:bidi="ar"/>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88314">
            <w:pPr>
              <w:widowControl/>
              <w:jc w:val="center"/>
              <w:textAlignment w:val="center"/>
              <w:rPr>
                <w:rFonts w:ascii="仿宋_GB2312" w:hAnsi="宋体" w:eastAsia="仿宋_GB2312" w:cs="仿宋_GB2312"/>
                <w:color w:val="auto"/>
                <w:kern w:val="0"/>
                <w:sz w:val="32"/>
                <w:szCs w:val="32"/>
                <w:highlight w:val="none"/>
                <w:lang w:bidi="ar"/>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tcPr>
          <w:p w14:paraId="407493A9">
            <w:pPr>
              <w:widowControl/>
              <w:jc w:val="center"/>
              <w:textAlignment w:val="center"/>
              <w:rPr>
                <w:rFonts w:ascii="仿宋_GB2312" w:hAnsi="宋体" w:eastAsia="仿宋_GB2312" w:cs="仿宋_GB2312"/>
                <w:color w:val="auto"/>
                <w:kern w:val="0"/>
                <w:sz w:val="32"/>
                <w:szCs w:val="32"/>
                <w:highlight w:val="none"/>
                <w:lang w:bidi="ar"/>
              </w:rPr>
            </w:pPr>
          </w:p>
        </w:tc>
      </w:tr>
      <w:tr w14:paraId="497DEEDE">
        <w:tblPrEx>
          <w:tblCellMar>
            <w:top w:w="0" w:type="dxa"/>
            <w:left w:w="108" w:type="dxa"/>
            <w:bottom w:w="0" w:type="dxa"/>
            <w:right w:w="108" w:type="dxa"/>
          </w:tblCellMar>
        </w:tblPrEx>
        <w:trPr>
          <w:trHeight w:val="571"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86593">
            <w:pPr>
              <w:widowControl/>
              <w:jc w:val="center"/>
              <w:textAlignment w:val="center"/>
              <w:rPr>
                <w:rFonts w:hint="eastAsia" w:ascii="仿宋_GB2312" w:hAnsi="宋体" w:eastAsia="仿宋_GB2312" w:cs="仿宋_GB2312"/>
                <w:color w:val="auto"/>
                <w:kern w:val="0"/>
                <w:sz w:val="32"/>
                <w:szCs w:val="32"/>
                <w:highlight w:val="none"/>
                <w:lang w:bidi="ar"/>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91F9F">
            <w:pPr>
              <w:widowControl/>
              <w:jc w:val="center"/>
              <w:textAlignment w:val="center"/>
              <w:rPr>
                <w:rFonts w:ascii="仿宋_GB2312" w:hAnsi="宋体" w:eastAsia="仿宋_GB2312" w:cs="仿宋_GB2312"/>
                <w:color w:val="auto"/>
                <w:kern w:val="0"/>
                <w:sz w:val="32"/>
                <w:szCs w:val="32"/>
                <w:highlight w:val="none"/>
                <w:lang w:bidi="ar"/>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15E1">
            <w:pPr>
              <w:widowControl/>
              <w:jc w:val="center"/>
              <w:textAlignment w:val="center"/>
              <w:rPr>
                <w:rFonts w:ascii="仿宋_GB2312" w:hAnsi="宋体" w:eastAsia="仿宋_GB2312" w:cs="仿宋_GB2312"/>
                <w:color w:val="auto"/>
                <w:kern w:val="0"/>
                <w:sz w:val="32"/>
                <w:szCs w:val="32"/>
                <w:highlight w:val="none"/>
                <w:lang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47ACC">
            <w:pPr>
              <w:widowControl/>
              <w:jc w:val="center"/>
              <w:textAlignment w:val="center"/>
              <w:rPr>
                <w:rFonts w:ascii="仿宋_GB2312" w:hAnsi="宋体" w:eastAsia="仿宋_GB2312" w:cs="仿宋_GB2312"/>
                <w:color w:val="auto"/>
                <w:kern w:val="0"/>
                <w:sz w:val="32"/>
                <w:szCs w:val="32"/>
                <w:highlight w:val="none"/>
                <w:lang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0852">
            <w:pPr>
              <w:widowControl/>
              <w:jc w:val="center"/>
              <w:textAlignment w:val="center"/>
              <w:rPr>
                <w:rFonts w:ascii="仿宋_GB2312" w:hAnsi="宋体" w:eastAsia="仿宋_GB2312" w:cs="仿宋_GB2312"/>
                <w:color w:val="auto"/>
                <w:kern w:val="0"/>
                <w:sz w:val="32"/>
                <w:szCs w:val="32"/>
                <w:highlight w:val="none"/>
                <w:lang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B9F58">
            <w:pPr>
              <w:widowControl/>
              <w:jc w:val="center"/>
              <w:textAlignment w:val="center"/>
              <w:rPr>
                <w:rFonts w:ascii="仿宋_GB2312" w:hAnsi="宋体" w:eastAsia="仿宋_GB2312" w:cs="仿宋_GB2312"/>
                <w:color w:val="auto"/>
                <w:kern w:val="0"/>
                <w:sz w:val="32"/>
                <w:szCs w:val="32"/>
                <w:highlight w:val="none"/>
                <w:lang w:bidi="ar"/>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C198A">
            <w:pPr>
              <w:widowControl/>
              <w:jc w:val="center"/>
              <w:textAlignment w:val="center"/>
              <w:rPr>
                <w:rFonts w:ascii="仿宋_GB2312" w:hAnsi="宋体" w:eastAsia="仿宋_GB2312" w:cs="仿宋_GB2312"/>
                <w:color w:val="auto"/>
                <w:kern w:val="0"/>
                <w:sz w:val="32"/>
                <w:szCs w:val="32"/>
                <w:highlight w:val="none"/>
                <w:lang w:bidi="ar"/>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tcPr>
          <w:p w14:paraId="4CCAA8B0">
            <w:pPr>
              <w:widowControl/>
              <w:jc w:val="center"/>
              <w:textAlignment w:val="center"/>
              <w:rPr>
                <w:rFonts w:ascii="仿宋_GB2312" w:hAnsi="宋体" w:eastAsia="仿宋_GB2312" w:cs="仿宋_GB2312"/>
                <w:color w:val="auto"/>
                <w:kern w:val="0"/>
                <w:sz w:val="32"/>
                <w:szCs w:val="32"/>
                <w:highlight w:val="none"/>
                <w:lang w:bidi="ar"/>
              </w:rPr>
            </w:pPr>
          </w:p>
        </w:tc>
      </w:tr>
      <w:tr w14:paraId="7941907A">
        <w:tblPrEx>
          <w:tblCellMar>
            <w:top w:w="0" w:type="dxa"/>
            <w:left w:w="108" w:type="dxa"/>
            <w:bottom w:w="0" w:type="dxa"/>
            <w:right w:w="108" w:type="dxa"/>
          </w:tblCellMar>
        </w:tblPrEx>
        <w:trPr>
          <w:trHeight w:val="571"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EB120">
            <w:pPr>
              <w:widowControl/>
              <w:jc w:val="center"/>
              <w:textAlignment w:val="center"/>
              <w:rPr>
                <w:rFonts w:ascii="仿宋_GB2312" w:hAnsi="宋体" w:eastAsia="仿宋_GB2312" w:cs="仿宋_GB2312"/>
                <w:color w:val="auto"/>
                <w:kern w:val="0"/>
                <w:sz w:val="32"/>
                <w:szCs w:val="32"/>
                <w:highlight w:val="none"/>
                <w:lang w:bidi="ar"/>
              </w:rPr>
            </w:pPr>
            <w:r>
              <w:rPr>
                <w:rFonts w:hint="eastAsia" w:ascii="仿宋_GB2312" w:hAnsi="宋体" w:eastAsia="仿宋_GB2312" w:cs="仿宋_GB2312"/>
                <w:color w:val="auto"/>
                <w:kern w:val="0"/>
                <w:sz w:val="32"/>
                <w:szCs w:val="32"/>
                <w:highlight w:val="none"/>
                <w:lang w:bidi="ar"/>
              </w:rPr>
              <w:t xml:space="preserve">3 </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18CCB">
            <w:pPr>
              <w:widowControl/>
              <w:jc w:val="center"/>
              <w:textAlignment w:val="center"/>
              <w:rPr>
                <w:rFonts w:ascii="仿宋_GB2312" w:hAnsi="宋体" w:eastAsia="仿宋_GB2312" w:cs="仿宋_GB2312"/>
                <w:color w:val="auto"/>
                <w:kern w:val="0"/>
                <w:sz w:val="32"/>
                <w:szCs w:val="32"/>
                <w:highlight w:val="none"/>
                <w:lang w:bidi="ar"/>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BE803">
            <w:pPr>
              <w:widowControl/>
              <w:jc w:val="center"/>
              <w:textAlignment w:val="center"/>
              <w:rPr>
                <w:rFonts w:ascii="仿宋_GB2312" w:hAnsi="宋体" w:eastAsia="仿宋_GB2312" w:cs="仿宋_GB2312"/>
                <w:color w:val="auto"/>
                <w:kern w:val="0"/>
                <w:sz w:val="32"/>
                <w:szCs w:val="32"/>
                <w:highlight w:val="none"/>
                <w:lang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578B7">
            <w:pPr>
              <w:widowControl/>
              <w:jc w:val="center"/>
              <w:textAlignment w:val="center"/>
              <w:rPr>
                <w:rFonts w:ascii="仿宋_GB2312" w:hAnsi="宋体" w:eastAsia="仿宋_GB2312" w:cs="仿宋_GB2312"/>
                <w:color w:val="auto"/>
                <w:kern w:val="0"/>
                <w:sz w:val="32"/>
                <w:szCs w:val="32"/>
                <w:highlight w:val="none"/>
                <w:lang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4D2B7">
            <w:pPr>
              <w:widowControl/>
              <w:jc w:val="center"/>
              <w:textAlignment w:val="center"/>
              <w:rPr>
                <w:rFonts w:ascii="仿宋_GB2312" w:hAnsi="宋体" w:eastAsia="仿宋_GB2312" w:cs="仿宋_GB2312"/>
                <w:color w:val="auto"/>
                <w:kern w:val="0"/>
                <w:sz w:val="32"/>
                <w:szCs w:val="32"/>
                <w:highlight w:val="none"/>
                <w:lang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BA60D">
            <w:pPr>
              <w:widowControl/>
              <w:jc w:val="center"/>
              <w:textAlignment w:val="center"/>
              <w:rPr>
                <w:rFonts w:ascii="仿宋_GB2312" w:hAnsi="宋体" w:eastAsia="仿宋_GB2312" w:cs="仿宋_GB2312"/>
                <w:color w:val="auto"/>
                <w:kern w:val="0"/>
                <w:sz w:val="32"/>
                <w:szCs w:val="32"/>
                <w:highlight w:val="none"/>
                <w:lang w:bidi="ar"/>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1A5D4">
            <w:pPr>
              <w:widowControl/>
              <w:jc w:val="center"/>
              <w:textAlignment w:val="center"/>
              <w:rPr>
                <w:rFonts w:ascii="仿宋_GB2312" w:hAnsi="宋体" w:eastAsia="仿宋_GB2312" w:cs="仿宋_GB2312"/>
                <w:color w:val="auto"/>
                <w:kern w:val="0"/>
                <w:sz w:val="32"/>
                <w:szCs w:val="32"/>
                <w:highlight w:val="none"/>
                <w:lang w:bidi="ar"/>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tcPr>
          <w:p w14:paraId="3BD33E4C">
            <w:pPr>
              <w:widowControl/>
              <w:jc w:val="center"/>
              <w:textAlignment w:val="center"/>
              <w:rPr>
                <w:rFonts w:ascii="仿宋_GB2312" w:hAnsi="宋体" w:eastAsia="仿宋_GB2312" w:cs="仿宋_GB2312"/>
                <w:color w:val="auto"/>
                <w:kern w:val="0"/>
                <w:sz w:val="32"/>
                <w:szCs w:val="32"/>
                <w:highlight w:val="none"/>
                <w:lang w:bidi="ar"/>
              </w:rPr>
            </w:pPr>
          </w:p>
        </w:tc>
      </w:tr>
      <w:tr w14:paraId="3E474703">
        <w:tblPrEx>
          <w:tblCellMar>
            <w:top w:w="0" w:type="dxa"/>
            <w:left w:w="108" w:type="dxa"/>
            <w:bottom w:w="0" w:type="dxa"/>
            <w:right w:w="108" w:type="dxa"/>
          </w:tblCellMar>
        </w:tblPrEx>
        <w:trPr>
          <w:trHeight w:val="581" w:hRule="atLeast"/>
        </w:trPr>
        <w:tc>
          <w:tcPr>
            <w:tcW w:w="36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571965">
            <w:pPr>
              <w:widowControl/>
              <w:jc w:val="center"/>
              <w:textAlignment w:val="center"/>
              <w:rPr>
                <w:rFonts w:hint="eastAsia" w:ascii="仿宋_GB2312" w:hAnsi="宋体" w:eastAsia="仿宋_GB2312" w:cs="仿宋_GB2312"/>
                <w:color w:val="auto"/>
                <w:kern w:val="0"/>
                <w:sz w:val="32"/>
                <w:szCs w:val="32"/>
                <w:highlight w:val="none"/>
                <w:lang w:eastAsia="zh-CN" w:bidi="ar"/>
              </w:rPr>
            </w:pPr>
            <w:r>
              <w:rPr>
                <w:rFonts w:hint="eastAsia" w:ascii="仿宋_GB2312" w:hAnsi="宋体" w:eastAsia="仿宋_GB2312" w:cs="仿宋_GB2312"/>
                <w:color w:val="auto"/>
                <w:kern w:val="0"/>
                <w:sz w:val="32"/>
                <w:szCs w:val="32"/>
                <w:highlight w:val="none"/>
                <w:lang w:bidi="ar"/>
              </w:rPr>
              <w:t>小计</w:t>
            </w:r>
            <w:r>
              <w:rPr>
                <w:rFonts w:hint="eastAsia" w:ascii="仿宋_GB2312" w:hAnsi="宋体" w:eastAsia="仿宋_GB2312" w:cs="仿宋_GB2312"/>
                <w:color w:val="auto"/>
                <w:kern w:val="0"/>
                <w:sz w:val="32"/>
                <w:szCs w:val="32"/>
                <w:highlight w:val="none"/>
                <w:lang w:val="en-US" w:eastAsia="zh-CN" w:bidi="ar"/>
              </w:rPr>
              <w:t>2</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51B08">
            <w:pPr>
              <w:widowControl/>
              <w:jc w:val="center"/>
              <w:textAlignment w:val="center"/>
              <w:rPr>
                <w:rFonts w:ascii="仿宋_GB2312" w:hAnsi="宋体" w:eastAsia="仿宋_GB2312" w:cs="仿宋_GB2312"/>
                <w:color w:val="auto"/>
                <w:kern w:val="0"/>
                <w:sz w:val="32"/>
                <w:szCs w:val="32"/>
                <w:highlight w:val="none"/>
                <w:lang w:bidi="ar"/>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tcPr>
          <w:p w14:paraId="5DB948E8">
            <w:pPr>
              <w:widowControl/>
              <w:jc w:val="center"/>
              <w:textAlignment w:val="center"/>
              <w:rPr>
                <w:rFonts w:ascii="仿宋_GB2312" w:hAnsi="宋体" w:eastAsia="仿宋_GB2312" w:cs="仿宋_GB2312"/>
                <w:color w:val="auto"/>
                <w:kern w:val="0"/>
                <w:sz w:val="32"/>
                <w:szCs w:val="32"/>
                <w:highlight w:val="none"/>
                <w:lang w:bidi="ar"/>
              </w:rPr>
            </w:pPr>
          </w:p>
        </w:tc>
      </w:tr>
      <w:tr w14:paraId="5FE9685B">
        <w:tblPrEx>
          <w:tblCellMar>
            <w:top w:w="0" w:type="dxa"/>
            <w:left w:w="108" w:type="dxa"/>
            <w:bottom w:w="0" w:type="dxa"/>
            <w:right w:w="108" w:type="dxa"/>
          </w:tblCellMar>
        </w:tblPrEx>
        <w:trPr>
          <w:trHeight w:val="624"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F76548">
            <w:pPr>
              <w:widowControl/>
              <w:jc w:val="left"/>
              <w:textAlignment w:val="center"/>
              <w:rPr>
                <w:rFonts w:hint="eastAsia" w:ascii="黑体" w:hAnsi="宋体" w:eastAsia="黑体" w:cs="黑体"/>
                <w:color w:val="auto"/>
                <w:sz w:val="24"/>
                <w:highlight w:val="none"/>
                <w:lang w:eastAsia="zh-CN"/>
              </w:rPr>
            </w:pPr>
            <w:r>
              <w:rPr>
                <w:rFonts w:hint="eastAsia" w:ascii="黑体" w:hAnsi="黑体" w:eastAsia="黑体" w:cs="黑体"/>
                <w:color w:val="auto"/>
                <w:sz w:val="28"/>
                <w:szCs w:val="28"/>
                <w:highlight w:val="none"/>
              </w:rPr>
              <w:t>三、</w:t>
            </w:r>
            <w:r>
              <w:rPr>
                <w:rFonts w:hint="eastAsia" w:ascii="黑体" w:hAnsi="黑体" w:eastAsia="黑体" w:cs="黑体"/>
                <w:color w:val="auto"/>
                <w:sz w:val="28"/>
                <w:szCs w:val="28"/>
                <w:highlight w:val="none"/>
                <w:lang w:val="en-US" w:eastAsia="zh-CN"/>
              </w:rPr>
              <w:t>XXX</w:t>
            </w:r>
          </w:p>
        </w:tc>
      </w:tr>
      <w:tr w14:paraId="1838D518">
        <w:tblPrEx>
          <w:tblCellMar>
            <w:top w:w="0" w:type="dxa"/>
            <w:left w:w="108" w:type="dxa"/>
            <w:bottom w:w="0" w:type="dxa"/>
            <w:right w:w="108" w:type="dxa"/>
          </w:tblCellMar>
        </w:tblPrEx>
        <w:trPr>
          <w:trHeight w:val="1425"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8C57D">
            <w:pPr>
              <w:widowControl/>
              <w:jc w:val="center"/>
              <w:textAlignment w:val="center"/>
              <w:rPr>
                <w:rFonts w:ascii="仿宋_GB2312" w:hAnsi="宋体" w:eastAsia="仿宋_GB2312" w:cs="仿宋_GB2312"/>
                <w:color w:val="auto"/>
                <w:kern w:val="0"/>
                <w:sz w:val="32"/>
                <w:szCs w:val="32"/>
                <w:highlight w:val="none"/>
                <w:lang w:bidi="ar"/>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0CFA2">
            <w:pPr>
              <w:widowControl/>
              <w:jc w:val="center"/>
              <w:textAlignment w:val="center"/>
              <w:rPr>
                <w:rFonts w:ascii="仿宋_GB2312" w:hAnsi="宋体" w:eastAsia="仿宋_GB2312" w:cs="仿宋_GB2312"/>
                <w:color w:val="auto"/>
                <w:kern w:val="0"/>
                <w:sz w:val="32"/>
                <w:szCs w:val="32"/>
                <w:highlight w:val="none"/>
                <w:lang w:bidi="ar"/>
              </w:rPr>
            </w:pP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C9D69">
            <w:pPr>
              <w:widowControl/>
              <w:jc w:val="center"/>
              <w:textAlignment w:val="center"/>
              <w:rPr>
                <w:rFonts w:ascii="仿宋_GB2312" w:hAnsi="宋体" w:eastAsia="仿宋_GB2312" w:cs="仿宋_GB2312"/>
                <w:color w:val="auto"/>
                <w:kern w:val="0"/>
                <w:sz w:val="32"/>
                <w:szCs w:val="32"/>
                <w:highlight w:val="none"/>
                <w:lang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88BB4">
            <w:pPr>
              <w:widowControl/>
              <w:jc w:val="center"/>
              <w:textAlignment w:val="center"/>
              <w:rPr>
                <w:rFonts w:ascii="仿宋_GB2312" w:hAnsi="宋体" w:eastAsia="仿宋_GB2312" w:cs="仿宋_GB2312"/>
                <w:color w:val="auto"/>
                <w:kern w:val="0"/>
                <w:sz w:val="32"/>
                <w:szCs w:val="32"/>
                <w:highlight w:val="none"/>
                <w:lang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378BC">
            <w:pPr>
              <w:widowControl/>
              <w:jc w:val="center"/>
              <w:textAlignment w:val="center"/>
              <w:rPr>
                <w:rFonts w:ascii="仿宋_GB2312" w:hAnsi="宋体" w:eastAsia="仿宋_GB2312" w:cs="仿宋_GB2312"/>
                <w:color w:val="auto"/>
                <w:kern w:val="0"/>
                <w:sz w:val="32"/>
                <w:szCs w:val="32"/>
                <w:highlight w:val="none"/>
                <w:lang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EDE7C">
            <w:pPr>
              <w:widowControl/>
              <w:jc w:val="center"/>
              <w:textAlignment w:val="center"/>
              <w:rPr>
                <w:rFonts w:ascii="仿宋_GB2312" w:hAnsi="宋体" w:eastAsia="仿宋_GB2312" w:cs="仿宋_GB2312"/>
                <w:color w:val="auto"/>
                <w:kern w:val="0"/>
                <w:sz w:val="32"/>
                <w:szCs w:val="32"/>
                <w:highlight w:val="none"/>
                <w:lang w:bidi="ar"/>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FBBB2">
            <w:pPr>
              <w:widowControl/>
              <w:jc w:val="center"/>
              <w:textAlignment w:val="center"/>
              <w:rPr>
                <w:rFonts w:ascii="仿宋_GB2312" w:hAnsi="宋体" w:eastAsia="仿宋_GB2312" w:cs="仿宋_GB2312"/>
                <w:color w:val="auto"/>
                <w:kern w:val="0"/>
                <w:sz w:val="32"/>
                <w:szCs w:val="32"/>
                <w:highlight w:val="none"/>
                <w:lang w:bidi="ar"/>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tcPr>
          <w:p w14:paraId="6E09B2F4">
            <w:pPr>
              <w:widowControl/>
              <w:jc w:val="center"/>
              <w:textAlignment w:val="center"/>
              <w:rPr>
                <w:rFonts w:ascii="仿宋_GB2312" w:hAnsi="宋体" w:eastAsia="仿宋_GB2312" w:cs="仿宋_GB2312"/>
                <w:color w:val="auto"/>
                <w:kern w:val="0"/>
                <w:sz w:val="32"/>
                <w:szCs w:val="32"/>
                <w:highlight w:val="none"/>
                <w:lang w:bidi="ar"/>
              </w:rPr>
            </w:pPr>
          </w:p>
        </w:tc>
      </w:tr>
      <w:tr w14:paraId="16A6A36F">
        <w:tblPrEx>
          <w:tblCellMar>
            <w:top w:w="0" w:type="dxa"/>
            <w:left w:w="108" w:type="dxa"/>
            <w:bottom w:w="0" w:type="dxa"/>
            <w:right w:w="108" w:type="dxa"/>
          </w:tblCellMar>
        </w:tblPrEx>
        <w:trPr>
          <w:trHeight w:val="581"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D69A5">
            <w:pPr>
              <w:widowControl/>
              <w:jc w:val="center"/>
              <w:textAlignment w:val="center"/>
              <w:rPr>
                <w:rFonts w:ascii="仿宋_GB2312" w:hAnsi="宋体" w:eastAsia="仿宋_GB2312" w:cs="仿宋_GB2312"/>
                <w:color w:val="auto"/>
                <w:kern w:val="0"/>
                <w:sz w:val="32"/>
                <w:szCs w:val="32"/>
                <w:highlight w:val="none"/>
                <w:lang w:bidi="ar"/>
              </w:rPr>
            </w:pPr>
          </w:p>
        </w:tc>
        <w:tc>
          <w:tcPr>
            <w:tcW w:w="3254" w:type="pct"/>
            <w:gridSpan w:val="5"/>
            <w:tcBorders>
              <w:top w:val="single" w:color="000000" w:sz="4" w:space="0"/>
              <w:left w:val="single" w:color="000000" w:sz="4" w:space="0"/>
              <w:bottom w:val="single" w:color="000000" w:sz="4" w:space="0"/>
              <w:right w:val="nil"/>
            </w:tcBorders>
            <w:shd w:val="clear" w:color="auto" w:fill="auto"/>
            <w:vAlign w:val="center"/>
          </w:tcPr>
          <w:p w14:paraId="1AA2BCDC">
            <w:pPr>
              <w:widowControl/>
              <w:jc w:val="center"/>
              <w:textAlignment w:val="center"/>
              <w:rPr>
                <w:rFonts w:ascii="仿宋_GB2312" w:hAnsi="宋体" w:eastAsia="仿宋_GB2312" w:cs="仿宋_GB2312"/>
                <w:color w:val="auto"/>
                <w:kern w:val="0"/>
                <w:sz w:val="32"/>
                <w:szCs w:val="32"/>
                <w:highlight w:val="none"/>
                <w:lang w:bidi="ar"/>
              </w:rPr>
            </w:pPr>
            <w:r>
              <w:rPr>
                <w:rFonts w:hint="eastAsia" w:ascii="仿宋_GB2312" w:hAnsi="宋体" w:eastAsia="仿宋_GB2312" w:cs="仿宋_GB2312"/>
                <w:color w:val="auto"/>
                <w:kern w:val="0"/>
                <w:sz w:val="32"/>
                <w:szCs w:val="32"/>
                <w:highlight w:val="none"/>
                <w:lang w:bidi="ar"/>
              </w:rPr>
              <w:t>小计3</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515CB">
            <w:pPr>
              <w:widowControl/>
              <w:jc w:val="center"/>
              <w:textAlignment w:val="center"/>
              <w:rPr>
                <w:rFonts w:ascii="仿宋_GB2312" w:hAnsi="宋体" w:eastAsia="仿宋_GB2312" w:cs="仿宋_GB2312"/>
                <w:color w:val="auto"/>
                <w:kern w:val="0"/>
                <w:sz w:val="32"/>
                <w:szCs w:val="32"/>
                <w:highlight w:val="none"/>
                <w:lang w:bidi="ar"/>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tcPr>
          <w:p w14:paraId="5AD89863">
            <w:pPr>
              <w:widowControl/>
              <w:jc w:val="center"/>
              <w:textAlignment w:val="center"/>
              <w:rPr>
                <w:rFonts w:ascii="仿宋_GB2312" w:hAnsi="宋体" w:eastAsia="仿宋_GB2312" w:cs="仿宋_GB2312"/>
                <w:color w:val="auto"/>
                <w:kern w:val="0"/>
                <w:sz w:val="32"/>
                <w:szCs w:val="32"/>
                <w:highlight w:val="none"/>
                <w:lang w:bidi="ar"/>
              </w:rPr>
            </w:pPr>
          </w:p>
        </w:tc>
      </w:tr>
      <w:tr w14:paraId="5912F04C">
        <w:tblPrEx>
          <w:tblCellMar>
            <w:top w:w="0" w:type="dxa"/>
            <w:left w:w="108" w:type="dxa"/>
            <w:bottom w:w="0" w:type="dxa"/>
            <w:right w:w="108" w:type="dxa"/>
          </w:tblCellMar>
        </w:tblPrEx>
        <w:trPr>
          <w:trHeight w:val="581" w:hRule="atLeast"/>
        </w:trPr>
        <w:tc>
          <w:tcPr>
            <w:tcW w:w="36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ADCA68">
            <w:pPr>
              <w:widowControl/>
              <w:jc w:val="center"/>
              <w:textAlignment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合计</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B5A4E">
            <w:pPr>
              <w:widowControl/>
              <w:jc w:val="center"/>
              <w:textAlignment w:val="center"/>
              <w:rPr>
                <w:rFonts w:ascii="黑体" w:hAnsi="黑体" w:eastAsia="黑体" w:cs="黑体"/>
                <w:color w:val="auto"/>
                <w:sz w:val="28"/>
                <w:szCs w:val="28"/>
                <w:highlight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tcPr>
          <w:p w14:paraId="5A7CC45A">
            <w:pPr>
              <w:widowControl/>
              <w:jc w:val="center"/>
              <w:textAlignment w:val="center"/>
              <w:rPr>
                <w:rFonts w:ascii="黑体" w:hAnsi="黑体" w:eastAsia="黑体" w:cs="黑体"/>
                <w:color w:val="auto"/>
                <w:sz w:val="28"/>
                <w:szCs w:val="28"/>
                <w:highlight w:val="none"/>
              </w:rPr>
            </w:pPr>
          </w:p>
        </w:tc>
      </w:tr>
      <w:tr w14:paraId="5DCFFE8E">
        <w:tblPrEx>
          <w:tblCellMar>
            <w:top w:w="0" w:type="dxa"/>
            <w:left w:w="108" w:type="dxa"/>
            <w:bottom w:w="0" w:type="dxa"/>
            <w:right w:w="108" w:type="dxa"/>
          </w:tblCellMar>
        </w:tblPrEx>
        <w:trPr>
          <w:trHeight w:val="581" w:hRule="atLeast"/>
        </w:trPr>
        <w:tc>
          <w:tcPr>
            <w:tcW w:w="36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21D2C6">
            <w:pPr>
              <w:widowControl/>
              <w:jc w:val="center"/>
              <w:textAlignment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大写</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5C095">
            <w:pPr>
              <w:widowControl/>
              <w:jc w:val="center"/>
              <w:textAlignment w:val="center"/>
              <w:rPr>
                <w:rFonts w:ascii="黑体" w:hAnsi="黑体" w:eastAsia="黑体" w:cs="黑体"/>
                <w:color w:val="auto"/>
                <w:sz w:val="28"/>
                <w:szCs w:val="28"/>
                <w:highlight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tcPr>
          <w:p w14:paraId="5AAF17B7">
            <w:pPr>
              <w:widowControl/>
              <w:jc w:val="center"/>
              <w:textAlignment w:val="center"/>
              <w:rPr>
                <w:rFonts w:ascii="黑体" w:hAnsi="黑体" w:eastAsia="黑体" w:cs="黑体"/>
                <w:color w:val="auto"/>
                <w:sz w:val="28"/>
                <w:szCs w:val="28"/>
                <w:highlight w:val="none"/>
              </w:rPr>
            </w:pPr>
          </w:p>
        </w:tc>
      </w:tr>
    </w:tbl>
    <w:p w14:paraId="62A47133">
      <w:pPr>
        <w:spacing w:line="560" w:lineRule="exact"/>
        <w:ind w:firstLine="640" w:firstLineChars="200"/>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价格与支付方式</w:t>
      </w:r>
    </w:p>
    <w:p w14:paraId="5997AB96">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合同总价为</w:t>
      </w:r>
      <w:bookmarkStart w:id="0" w:name="OLE_LINK1"/>
      <w:r>
        <w:rPr>
          <w:rFonts w:hint="eastAsia" w:ascii="仿宋_GB2312" w:hAnsi="仿宋_GB2312" w:eastAsia="仿宋_GB2312" w:cs="仿宋_GB2312"/>
          <w:color w:val="auto"/>
          <w:sz w:val="32"/>
          <w:szCs w:val="32"/>
          <w:highlight w:val="none"/>
        </w:rPr>
        <w:t>（大写）人民币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小写</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bookmarkEnd w:id="0"/>
      <w:r>
        <w:rPr>
          <w:rFonts w:hint="eastAsia" w:ascii="仿宋_GB2312" w:hAnsi="仿宋_GB2312" w:eastAsia="仿宋_GB2312" w:cs="仿宋_GB2312"/>
          <w:color w:val="auto"/>
          <w:sz w:val="32"/>
          <w:szCs w:val="32"/>
          <w:highlight w:val="none"/>
        </w:rPr>
        <w:t>，不含税金额（大写）人民币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小写</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），税率（）%。</w:t>
      </w:r>
      <w:bookmarkStart w:id="1" w:name="OLE_LINK2"/>
      <w:r>
        <w:rPr>
          <w:rFonts w:hint="eastAsia" w:ascii="仿宋_GB2312" w:hAnsi="仿宋_GB2312" w:eastAsia="仿宋_GB2312" w:cs="仿宋_GB2312"/>
          <w:color w:val="auto"/>
          <w:sz w:val="32"/>
          <w:szCs w:val="32"/>
          <w:highlight w:val="none"/>
        </w:rPr>
        <w:t>该费用为综合含税包干价，包括软件费用、实施费用、所有技术人员的工勤费用（工资、福利、交通、食宿、通讯、现场实施的费用等），系统开发、对接、调试、数据迁移、与</w:t>
      </w:r>
      <w:r>
        <w:rPr>
          <w:rFonts w:hint="eastAsia" w:ascii="仿宋_GB2312" w:hAnsi="仿宋_GB2312" w:eastAsia="仿宋_GB2312" w:cs="仿宋_GB2312"/>
          <w:color w:val="auto"/>
          <w:sz w:val="32"/>
          <w:szCs w:val="32"/>
          <w:highlight w:val="none"/>
          <w:lang w:val="en-US" w:eastAsia="zh-CN"/>
        </w:rPr>
        <w:t>集团及下属公司</w:t>
      </w:r>
      <w:r>
        <w:rPr>
          <w:rFonts w:hint="eastAsia" w:ascii="仿宋_GB2312" w:hAnsi="仿宋_GB2312" w:eastAsia="仿宋_GB2312" w:cs="仿宋_GB2312"/>
          <w:color w:val="auto"/>
          <w:sz w:val="32"/>
          <w:szCs w:val="32"/>
          <w:highlight w:val="none"/>
        </w:rPr>
        <w:t>系统对接接口费用（包含但不限于</w:t>
      </w:r>
      <w:r>
        <w:rPr>
          <w:rFonts w:hint="eastAsia" w:ascii="仿宋_GB2312" w:hAnsi="仿宋_GB2312" w:eastAsia="仿宋_GB2312" w:cs="仿宋_GB2312"/>
          <w:color w:val="auto"/>
          <w:sz w:val="32"/>
          <w:szCs w:val="32"/>
          <w:highlight w:val="none"/>
          <w:lang w:val="en-US" w:eastAsia="zh-CN"/>
        </w:rPr>
        <w:t>门户网站、微信公众平台、财务管理系统、人力资源管理系统、运营服务平台</w:t>
      </w:r>
      <w:r>
        <w:rPr>
          <w:rFonts w:hint="eastAsia" w:ascii="仿宋_GB2312" w:hAnsi="仿宋_GB2312" w:eastAsia="仿宋_GB2312" w:cs="仿宋_GB2312"/>
          <w:color w:val="auto"/>
          <w:sz w:val="32"/>
          <w:szCs w:val="32"/>
          <w:highlight w:val="none"/>
        </w:rPr>
        <w:t>等）、升级维护、培训辅导、验收、售后服务、税金、合理利润、项目实施过程中的应预见及不可预见费用等完成本项目所需的一切费用。除本合同约定费用外，</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无需再向</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支付任何费用</w:t>
      </w:r>
      <w:bookmarkEnd w:id="1"/>
      <w:r>
        <w:rPr>
          <w:rFonts w:hint="eastAsia" w:ascii="仿宋_GB2312" w:hAnsi="仿宋_GB2312" w:eastAsia="仿宋_GB2312" w:cs="仿宋_GB2312"/>
          <w:color w:val="auto"/>
          <w:sz w:val="32"/>
          <w:szCs w:val="32"/>
          <w:highlight w:val="none"/>
        </w:rPr>
        <w:t>。</w:t>
      </w:r>
    </w:p>
    <w:p w14:paraId="2A9E6F36">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支付方式：</w:t>
      </w:r>
    </w:p>
    <w:p w14:paraId="5C4F7752">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本合同签订后</w:t>
      </w:r>
      <w:r>
        <w:rPr>
          <w:rFonts w:hint="eastAsia" w:ascii="仿宋_GB2312" w:hAnsi="仿宋_GB2312" w:eastAsia="仿宋_GB2312" w:cs="仿宋_GB2312"/>
          <w:color w:val="auto"/>
          <w:sz w:val="32"/>
          <w:szCs w:val="32"/>
          <w:highlight w:val="none"/>
          <w:u w:val="single"/>
          <w:lang w:val="en-US"/>
        </w:rPr>
        <w:t xml:space="preserve">   </w:t>
      </w:r>
      <w:r>
        <w:rPr>
          <w:rFonts w:hint="eastAsia" w:ascii="仿宋_GB2312" w:hAnsi="仿宋_GB2312" w:eastAsia="仿宋_GB2312" w:cs="仿宋_GB2312"/>
          <w:color w:val="auto"/>
          <w:sz w:val="32"/>
          <w:szCs w:val="32"/>
          <w:highlight w:val="none"/>
          <w:lang w:val="en-US"/>
        </w:rPr>
        <w:t>日内</w:t>
      </w:r>
      <w:r>
        <w:rPr>
          <w:rFonts w:hint="eastAsia" w:ascii="仿宋_GB2312" w:hAnsi="仿宋_GB2312" w:eastAsia="仿宋_GB2312" w:cs="仿宋_GB2312"/>
          <w:color w:val="auto"/>
          <w:sz w:val="32"/>
          <w:szCs w:val="32"/>
          <w:highlight w:val="none"/>
        </w:rPr>
        <w:t>，甲方向乙方支付</w:t>
      </w:r>
      <w:r>
        <w:rPr>
          <w:rFonts w:hint="eastAsia" w:ascii="仿宋_GB2312" w:hAnsi="仿宋_GB2312" w:eastAsia="仿宋_GB2312" w:cs="仿宋_GB2312"/>
          <w:color w:val="auto"/>
          <w:sz w:val="32"/>
          <w:szCs w:val="32"/>
          <w:highlight w:val="none"/>
          <w:lang w:val="en-US"/>
        </w:rPr>
        <w:t>至</w:t>
      </w:r>
      <w:r>
        <w:rPr>
          <w:rFonts w:hint="eastAsia" w:ascii="仿宋_GB2312" w:hAnsi="仿宋_GB2312" w:eastAsia="仿宋_GB2312" w:cs="仿宋_GB2312"/>
          <w:color w:val="auto"/>
          <w:sz w:val="32"/>
          <w:szCs w:val="32"/>
          <w:highlight w:val="none"/>
        </w:rPr>
        <w:t>合同总金额的</w:t>
      </w:r>
      <w:r>
        <w:rPr>
          <w:rFonts w:hint="eastAsia" w:ascii="仿宋_GB2312" w:hAnsi="仿宋_GB2312" w:eastAsia="仿宋_GB2312" w:cs="仿宋_GB2312"/>
          <w:color w:val="auto"/>
          <w:sz w:val="32"/>
          <w:szCs w:val="32"/>
          <w:highlight w:val="none"/>
          <w:u w:val="single"/>
          <w:lang w:val="en-US"/>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lang w:val="en-US"/>
        </w:rPr>
        <w:t xml:space="preserve"> </w:t>
      </w:r>
      <w:r>
        <w:rPr>
          <w:rFonts w:hint="eastAsia"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rPr>
        <w:t>，即（大写）人民币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小写</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14:paraId="235E9A05">
      <w:pPr>
        <w:spacing w:line="24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2.依据项目阶段建设进度经甲乙双方验收合格后出具阶段验收成果文件或合格报告</w:t>
      </w:r>
      <w:r>
        <w:rPr>
          <w:rFonts w:hint="eastAsia" w:ascii="仿宋_GB2312" w:hAnsi="仿宋_GB2312" w:eastAsia="仿宋_GB2312" w:cs="仿宋_GB2312"/>
          <w:color w:val="auto"/>
          <w:sz w:val="32"/>
          <w:szCs w:val="32"/>
          <w:highlight w:val="none"/>
          <w:u w:val="single"/>
          <w:lang w:val="en-US"/>
        </w:rPr>
        <w:t xml:space="preserve">   </w:t>
      </w:r>
      <w:r>
        <w:rPr>
          <w:rFonts w:hint="eastAsia" w:ascii="仿宋_GB2312" w:hAnsi="仿宋_GB2312" w:eastAsia="仿宋_GB2312" w:cs="仿宋_GB2312"/>
          <w:color w:val="auto"/>
          <w:sz w:val="32"/>
          <w:szCs w:val="32"/>
          <w:highlight w:val="none"/>
          <w:lang w:val="en-US"/>
        </w:rPr>
        <w:t>日内</w:t>
      </w:r>
      <w:r>
        <w:rPr>
          <w:rFonts w:hint="eastAsia" w:ascii="仿宋_GB2312" w:hAnsi="仿宋_GB2312" w:eastAsia="仿宋_GB2312" w:cs="仿宋_GB2312"/>
          <w:color w:val="auto"/>
          <w:sz w:val="32"/>
          <w:szCs w:val="32"/>
          <w:highlight w:val="none"/>
        </w:rPr>
        <w:t>，甲方向乙方支付</w:t>
      </w:r>
      <w:r>
        <w:rPr>
          <w:rFonts w:hint="eastAsia" w:ascii="仿宋_GB2312" w:hAnsi="仿宋_GB2312" w:eastAsia="仿宋_GB2312" w:cs="仿宋_GB2312"/>
          <w:color w:val="auto"/>
          <w:sz w:val="32"/>
          <w:szCs w:val="32"/>
          <w:highlight w:val="none"/>
          <w:lang w:val="en-US"/>
        </w:rPr>
        <w:t>至</w:t>
      </w:r>
      <w:r>
        <w:rPr>
          <w:rFonts w:hint="eastAsia" w:ascii="仿宋_GB2312" w:hAnsi="仿宋_GB2312" w:eastAsia="仿宋_GB2312" w:cs="仿宋_GB2312"/>
          <w:color w:val="auto"/>
          <w:sz w:val="32"/>
          <w:szCs w:val="32"/>
          <w:highlight w:val="none"/>
          <w:lang w:val="en-US" w:eastAsia="zh-CN"/>
        </w:rPr>
        <w:t>该阶段甲乙双方约定的</w:t>
      </w:r>
      <w:r>
        <w:rPr>
          <w:rFonts w:hint="eastAsia" w:ascii="仿宋_GB2312" w:hAnsi="仿宋_GB2312" w:eastAsia="仿宋_GB2312" w:cs="仿宋_GB2312"/>
          <w:color w:val="auto"/>
          <w:sz w:val="32"/>
          <w:szCs w:val="32"/>
          <w:highlight w:val="none"/>
        </w:rPr>
        <w:t>金额</w:t>
      </w:r>
      <w:r>
        <w:rPr>
          <w:rFonts w:hint="eastAsia" w:ascii="仿宋_GB2312" w:hAnsi="仿宋_GB2312" w:eastAsia="仿宋_GB2312" w:cs="仿宋_GB2312"/>
          <w:color w:val="auto"/>
          <w:sz w:val="32"/>
          <w:szCs w:val="32"/>
          <w:highlight w:val="none"/>
          <w:lang w:val="en-US" w:eastAsia="zh-CN"/>
        </w:rPr>
        <w:t>，具体如下：</w:t>
      </w:r>
    </w:p>
    <w:p w14:paraId="271213F7">
      <w:pPr>
        <w:spacing w:line="240" w:lineRule="auto"/>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（1）第</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阶段完成后，</w:t>
      </w:r>
      <w:r>
        <w:rPr>
          <w:rFonts w:hint="eastAsia" w:ascii="仿宋_GB2312" w:hAnsi="仿宋_GB2312" w:eastAsia="仿宋_GB2312" w:cs="仿宋_GB2312"/>
          <w:color w:val="auto"/>
          <w:sz w:val="32"/>
          <w:szCs w:val="32"/>
          <w:highlight w:val="none"/>
        </w:rPr>
        <w:t>甲方向乙方支付</w:t>
      </w:r>
      <w:r>
        <w:rPr>
          <w:rFonts w:hint="eastAsia" w:ascii="仿宋_GB2312" w:hAnsi="仿宋_GB2312" w:eastAsia="仿宋_GB2312" w:cs="仿宋_GB2312"/>
          <w:color w:val="auto"/>
          <w:sz w:val="32"/>
          <w:szCs w:val="32"/>
          <w:highlight w:val="none"/>
          <w:lang w:val="en-US"/>
        </w:rPr>
        <w:t>至</w:t>
      </w:r>
      <w:r>
        <w:rPr>
          <w:rFonts w:hint="eastAsia" w:ascii="仿宋_GB2312" w:hAnsi="仿宋_GB2312" w:eastAsia="仿宋_GB2312" w:cs="仿宋_GB2312"/>
          <w:color w:val="auto"/>
          <w:sz w:val="32"/>
          <w:szCs w:val="32"/>
          <w:highlight w:val="none"/>
        </w:rPr>
        <w:t>合同总金额的</w:t>
      </w:r>
      <w:r>
        <w:rPr>
          <w:rFonts w:hint="eastAsia" w:ascii="仿宋_GB2312" w:hAnsi="仿宋_GB2312" w:eastAsia="仿宋_GB2312" w:cs="仿宋_GB2312"/>
          <w:color w:val="auto"/>
          <w:sz w:val="32"/>
          <w:szCs w:val="32"/>
          <w:highlight w:val="none"/>
          <w:u w:val="single"/>
          <w:lang w:val="en-US"/>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lang w:val="en-US"/>
        </w:rPr>
        <w:t xml:space="preserve"> </w:t>
      </w:r>
      <w:r>
        <w:rPr>
          <w:rFonts w:hint="eastAsia"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rPr>
        <w:t>，即（大写）人民币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小写</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14:paraId="5BD3AFB2">
      <w:pPr>
        <w:spacing w:line="24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（2）第</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阶段完成后，</w:t>
      </w:r>
      <w:r>
        <w:rPr>
          <w:rFonts w:hint="eastAsia" w:ascii="仿宋_GB2312" w:hAnsi="仿宋_GB2312" w:eastAsia="仿宋_GB2312" w:cs="仿宋_GB2312"/>
          <w:color w:val="auto"/>
          <w:sz w:val="32"/>
          <w:szCs w:val="32"/>
          <w:highlight w:val="none"/>
        </w:rPr>
        <w:t>甲方向乙方支付</w:t>
      </w:r>
      <w:r>
        <w:rPr>
          <w:rFonts w:hint="eastAsia" w:ascii="仿宋_GB2312" w:hAnsi="仿宋_GB2312" w:eastAsia="仿宋_GB2312" w:cs="仿宋_GB2312"/>
          <w:color w:val="auto"/>
          <w:sz w:val="32"/>
          <w:szCs w:val="32"/>
          <w:highlight w:val="none"/>
          <w:lang w:val="en-US"/>
        </w:rPr>
        <w:t>至</w:t>
      </w:r>
      <w:r>
        <w:rPr>
          <w:rFonts w:hint="eastAsia" w:ascii="仿宋_GB2312" w:hAnsi="仿宋_GB2312" w:eastAsia="仿宋_GB2312" w:cs="仿宋_GB2312"/>
          <w:color w:val="auto"/>
          <w:sz w:val="32"/>
          <w:szCs w:val="32"/>
          <w:highlight w:val="none"/>
        </w:rPr>
        <w:t>合同总金额的</w:t>
      </w:r>
      <w:r>
        <w:rPr>
          <w:rFonts w:hint="eastAsia" w:ascii="仿宋_GB2312" w:hAnsi="仿宋_GB2312" w:eastAsia="仿宋_GB2312" w:cs="仿宋_GB2312"/>
          <w:color w:val="auto"/>
          <w:sz w:val="32"/>
          <w:szCs w:val="32"/>
          <w:highlight w:val="none"/>
          <w:u w:val="single"/>
          <w:lang w:val="en-US"/>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lang w:val="en-US"/>
        </w:rPr>
        <w:t xml:space="preserve"> </w:t>
      </w:r>
      <w:r>
        <w:rPr>
          <w:rFonts w:hint="eastAsia"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rPr>
        <w:t>，即（大写）人民币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小写</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14:paraId="4CCFDDD9">
      <w:pPr>
        <w:spacing w:line="240" w:lineRule="auto"/>
        <w:ind w:firstLine="640" w:firstLineChars="200"/>
        <w:rPr>
          <w:rFonts w:hint="eastAsia"/>
          <w:lang w:val="en-US" w:eastAsia="zh-CN"/>
        </w:rPr>
      </w:pPr>
      <w:r>
        <w:rPr>
          <w:rFonts w:hint="eastAsia" w:ascii="仿宋_GB2312" w:hAnsi="仿宋_GB2312" w:eastAsia="仿宋_GB2312" w:cs="仿宋_GB2312"/>
          <w:color w:val="auto"/>
          <w:sz w:val="32"/>
          <w:szCs w:val="32"/>
          <w:highlight w:val="none"/>
          <w:lang w:val="en-US" w:eastAsia="zh-CN"/>
        </w:rPr>
        <w:t>（3）第</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阶段完成后，</w:t>
      </w:r>
      <w:r>
        <w:rPr>
          <w:rFonts w:hint="eastAsia" w:ascii="仿宋_GB2312" w:hAnsi="仿宋_GB2312" w:eastAsia="仿宋_GB2312" w:cs="仿宋_GB2312"/>
          <w:color w:val="auto"/>
          <w:sz w:val="32"/>
          <w:szCs w:val="32"/>
          <w:highlight w:val="none"/>
        </w:rPr>
        <w:t>甲方向乙方支付</w:t>
      </w:r>
      <w:r>
        <w:rPr>
          <w:rFonts w:hint="eastAsia" w:ascii="仿宋_GB2312" w:hAnsi="仿宋_GB2312" w:eastAsia="仿宋_GB2312" w:cs="仿宋_GB2312"/>
          <w:color w:val="auto"/>
          <w:sz w:val="32"/>
          <w:szCs w:val="32"/>
          <w:highlight w:val="none"/>
          <w:lang w:val="en-US"/>
        </w:rPr>
        <w:t>至</w:t>
      </w:r>
      <w:r>
        <w:rPr>
          <w:rFonts w:hint="eastAsia" w:ascii="仿宋_GB2312" w:hAnsi="仿宋_GB2312" w:eastAsia="仿宋_GB2312" w:cs="仿宋_GB2312"/>
          <w:color w:val="auto"/>
          <w:sz w:val="32"/>
          <w:szCs w:val="32"/>
          <w:highlight w:val="none"/>
        </w:rPr>
        <w:t>合同总金额的</w:t>
      </w:r>
      <w:r>
        <w:rPr>
          <w:rFonts w:hint="eastAsia" w:ascii="仿宋_GB2312" w:hAnsi="仿宋_GB2312" w:eastAsia="仿宋_GB2312" w:cs="仿宋_GB2312"/>
          <w:color w:val="auto"/>
          <w:sz w:val="32"/>
          <w:szCs w:val="32"/>
          <w:highlight w:val="none"/>
          <w:u w:val="single"/>
          <w:lang w:val="en-US"/>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lang w:val="en-US"/>
        </w:rPr>
        <w:t xml:space="preserve"> </w:t>
      </w:r>
      <w:r>
        <w:rPr>
          <w:rFonts w:hint="eastAsia"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rPr>
        <w:t>，即（大写）人民币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小写</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14:paraId="0C9F4439">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3.免费维护期到期后，经甲乙双方验收合格后出具验收合格报告</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日内</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rPr>
        <w:t>甲方</w:t>
      </w:r>
      <w:r>
        <w:rPr>
          <w:rFonts w:hint="eastAsia" w:ascii="仿宋_GB2312" w:hAnsi="仿宋_GB2312" w:eastAsia="仿宋_GB2312" w:cs="仿宋_GB2312"/>
          <w:color w:val="auto"/>
          <w:sz w:val="32"/>
          <w:szCs w:val="32"/>
          <w:highlight w:val="none"/>
        </w:rPr>
        <w:t>支付剩余尾款</w:t>
      </w:r>
      <w:r>
        <w:rPr>
          <w:rFonts w:hint="eastAsia" w:ascii="仿宋_GB2312" w:hAnsi="仿宋_GB2312" w:eastAsia="仿宋_GB2312" w:cs="仿宋_GB2312"/>
          <w:color w:val="auto"/>
          <w:sz w:val="32"/>
          <w:szCs w:val="32"/>
          <w:highlight w:val="none"/>
          <w:lang w:val="en-US"/>
        </w:rPr>
        <w:t>至合同</w:t>
      </w:r>
      <w:r>
        <w:rPr>
          <w:rFonts w:hint="eastAsia" w:ascii="仿宋_GB2312" w:hAnsi="仿宋_GB2312" w:eastAsia="仿宋_GB2312" w:cs="仿宋_GB2312"/>
          <w:color w:val="auto"/>
          <w:sz w:val="32"/>
          <w:szCs w:val="32"/>
          <w:highlight w:val="none"/>
        </w:rPr>
        <w:t>总金额</w:t>
      </w:r>
      <w:r>
        <w:rPr>
          <w:rFonts w:hint="eastAsia" w:ascii="仿宋_GB2312" w:hAnsi="仿宋_GB2312" w:eastAsia="仿宋_GB2312" w:cs="仿宋_GB2312"/>
          <w:color w:val="auto"/>
          <w:sz w:val="32"/>
          <w:szCs w:val="32"/>
          <w:highlight w:val="none"/>
          <w:lang w:val="en-US"/>
        </w:rPr>
        <w:t xml:space="preserve">的 100 </w:t>
      </w:r>
      <w:r>
        <w:rPr>
          <w:rFonts w:hint="eastAsia" w:ascii="仿宋_GB2312" w:hAnsi="仿宋_GB2312" w:eastAsia="仿宋_GB2312" w:cs="仿宋_GB2312"/>
          <w:color w:val="auto"/>
          <w:sz w:val="32"/>
          <w:szCs w:val="32"/>
          <w:highlight w:val="none"/>
        </w:rPr>
        <w:t>%即（大写）人民币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小写</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14:paraId="1F3B4530">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乙方收款信息</w:t>
      </w:r>
    </w:p>
    <w:p w14:paraId="5EF50CF3">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公司名称：</w:t>
      </w:r>
    </w:p>
    <w:p w14:paraId="2B6219A6">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开户行：</w:t>
      </w:r>
    </w:p>
    <w:p w14:paraId="6D7ED210">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  址：</w:t>
      </w:r>
    </w:p>
    <w:p w14:paraId="354DAB12">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账  户：</w:t>
      </w:r>
    </w:p>
    <w:p w14:paraId="7FA8A3BB">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账  号：</w:t>
      </w:r>
    </w:p>
    <w:p w14:paraId="039E471B">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5.甲方开票信息</w:t>
      </w:r>
    </w:p>
    <w:p w14:paraId="25929820">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公司名称：</w:t>
      </w:r>
      <w:r>
        <w:rPr>
          <w:rFonts w:hint="eastAsia" w:ascii="仿宋_GB2312" w:hAnsi="仿宋_GB2312" w:eastAsia="仿宋_GB2312" w:cs="仿宋_GB2312"/>
          <w:color w:val="auto"/>
          <w:sz w:val="32"/>
          <w:szCs w:val="32"/>
          <w:highlight w:val="none"/>
        </w:rPr>
        <w:t>海口市产业发展投资集团有限公司</w:t>
      </w:r>
    </w:p>
    <w:p w14:paraId="41ACB8E1">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开户行:招商银行股份有限公司海口分行营业部</w:t>
      </w:r>
    </w:p>
    <w:p w14:paraId="6580C146">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银行账号:898903059810608</w:t>
      </w:r>
    </w:p>
    <w:p w14:paraId="71737218">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纳税人识别号:91460000MACX5Q1Y1B</w:t>
      </w:r>
    </w:p>
    <w:p w14:paraId="3776E4F8">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地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址:海南省海口市江东新区江东大道202号江东大厦B座3层</w:t>
      </w:r>
    </w:p>
    <w:p w14:paraId="46867040">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话:0898-31908519</w:t>
      </w:r>
    </w:p>
    <w:p w14:paraId="2E8D315A">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每次付款前【】个工作日，乙方应提供合法有效的增值税发票，否则甲方有权延期付款，并不承担任何责任，由此造成的损失由乙方承担。如遇国家税率调整，则不含税价格不变，合同含税价及税率相应调整，乙方应按纳税义务发生时的税率开具增值税发票，税率变化导致价税金额的变更应在进度及结算金额中进行调整。</w:t>
      </w:r>
    </w:p>
    <w:p w14:paraId="60C47C5A">
      <w:pPr>
        <w:numPr>
          <w:ilvl w:val="255"/>
          <w:numId w:val="0"/>
        </w:numPr>
        <w:kinsoku w:val="0"/>
        <w:overflowPunct w:val="0"/>
        <w:spacing w:line="560" w:lineRule="exact"/>
        <w:ind w:firstLine="640" w:firstLineChars="200"/>
        <w:outlineLvl w:val="0"/>
        <w:rPr>
          <w:rFonts w:ascii="黑体" w:hAnsi="黑体" w:eastAsia="黑体" w:cs="黑体"/>
          <w:color w:val="auto"/>
          <w:kern w:val="0"/>
          <w:sz w:val="32"/>
          <w:szCs w:val="32"/>
          <w:highlight w:val="none"/>
          <w:shd w:val="clear" w:color="auto" w:fill="FFFFFF"/>
          <w:lang w:bidi="ar"/>
        </w:rPr>
      </w:pPr>
      <w:r>
        <w:rPr>
          <w:rFonts w:hint="eastAsia" w:ascii="黑体" w:hAnsi="黑体" w:eastAsia="黑体" w:cs="黑体"/>
          <w:color w:val="auto"/>
          <w:kern w:val="0"/>
          <w:sz w:val="32"/>
          <w:szCs w:val="32"/>
          <w:highlight w:val="none"/>
          <w:shd w:val="clear" w:color="auto" w:fill="FFFFFF"/>
          <w:lang w:bidi="ar"/>
        </w:rPr>
        <w:t>三、履行期限、地点和方式</w:t>
      </w:r>
    </w:p>
    <w:p w14:paraId="4FF2851D">
      <w:pPr>
        <w:spacing w:line="560" w:lineRule="exact"/>
        <w:ind w:firstLine="640" w:firstLineChars="200"/>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（一）</w:t>
      </w:r>
      <w:r>
        <w:rPr>
          <w:rFonts w:hint="eastAsia" w:ascii="仿宋_GB2312" w:hAnsi="仿宋" w:eastAsia="仿宋_GB2312" w:cs="仿宋"/>
          <w:color w:val="auto"/>
          <w:sz w:val="32"/>
          <w:szCs w:val="32"/>
          <w:highlight w:val="none"/>
          <w:lang w:val="en-US" w:eastAsia="zh-CN"/>
        </w:rPr>
        <w:t>履行期限</w:t>
      </w:r>
      <w:r>
        <w:rPr>
          <w:rFonts w:hint="eastAsia" w:ascii="仿宋_GB2312" w:hAnsi="仿宋" w:eastAsia="仿宋_GB2312" w:cs="仿宋"/>
          <w:color w:val="auto"/>
          <w:sz w:val="32"/>
          <w:szCs w:val="32"/>
          <w:highlight w:val="none"/>
        </w:rPr>
        <w:t>:乙方在合同签订后</w:t>
      </w:r>
      <w:r>
        <w:rPr>
          <w:rFonts w:hint="eastAsia" w:ascii="仿宋_GB2312" w:hAnsi="仿宋" w:eastAsia="仿宋_GB2312" w:cs="仿宋"/>
          <w:color w:val="auto"/>
          <w:sz w:val="32"/>
          <w:szCs w:val="32"/>
          <w:highlight w:val="none"/>
          <w:u w:val="single"/>
          <w:lang w:val="en-US" w:eastAsia="zh-CN"/>
        </w:rPr>
        <w:t xml:space="preserve">  </w:t>
      </w:r>
      <w:r>
        <w:rPr>
          <w:rFonts w:hint="eastAsia" w:ascii="仿宋_GB2312" w:hAnsi="仿宋" w:eastAsia="仿宋_GB2312" w:cs="仿宋"/>
          <w:color w:val="auto"/>
          <w:sz w:val="32"/>
          <w:szCs w:val="32"/>
          <w:highlight w:val="none"/>
        </w:rPr>
        <w:t>日内</w:t>
      </w:r>
      <w:r>
        <w:rPr>
          <w:rFonts w:hint="eastAsia" w:ascii="仿宋_GB2312" w:hAnsi="仿宋" w:eastAsia="仿宋_GB2312" w:cs="仿宋"/>
          <w:color w:val="auto"/>
          <w:sz w:val="32"/>
          <w:szCs w:val="32"/>
          <w:highlight w:val="none"/>
          <w:lang w:val="en-US" w:eastAsia="zh-CN"/>
        </w:rPr>
        <w:t>完成</w:t>
      </w:r>
      <w:r>
        <w:rPr>
          <w:rFonts w:hint="eastAsia" w:ascii="仿宋_GB2312" w:hAnsi="仿宋" w:eastAsia="仿宋_GB2312" w:cs="仿宋"/>
          <w:color w:val="auto"/>
          <w:sz w:val="32"/>
          <w:szCs w:val="32"/>
          <w:highlight w:val="none"/>
        </w:rPr>
        <w:t>项目</w:t>
      </w:r>
      <w:r>
        <w:rPr>
          <w:rFonts w:hint="eastAsia" w:ascii="仿宋_GB2312" w:hAnsi="仿宋" w:eastAsia="仿宋_GB2312" w:cs="仿宋"/>
          <w:color w:val="auto"/>
          <w:sz w:val="32"/>
          <w:szCs w:val="32"/>
          <w:highlight w:val="none"/>
          <w:lang w:val="en-US" w:eastAsia="zh-CN"/>
        </w:rPr>
        <w:t>全部内容。</w:t>
      </w:r>
    </w:p>
    <w:p w14:paraId="264B8426">
      <w:pPr>
        <w:spacing w:line="560" w:lineRule="exact"/>
        <w:ind w:firstLine="640" w:firstLineChars="200"/>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（二）</w:t>
      </w:r>
      <w:r>
        <w:rPr>
          <w:rFonts w:hint="eastAsia" w:ascii="仿宋_GB2312" w:hAnsi="仿宋" w:eastAsia="仿宋_GB2312" w:cs="仿宋"/>
          <w:color w:val="auto"/>
          <w:sz w:val="32"/>
          <w:szCs w:val="32"/>
          <w:highlight w:val="none"/>
          <w:lang w:val="en-US" w:eastAsia="zh-CN"/>
        </w:rPr>
        <w:t>履行</w:t>
      </w:r>
      <w:r>
        <w:rPr>
          <w:rFonts w:hint="eastAsia" w:ascii="仿宋_GB2312" w:hAnsi="仿宋" w:eastAsia="仿宋_GB2312" w:cs="仿宋"/>
          <w:color w:val="auto"/>
          <w:sz w:val="32"/>
          <w:szCs w:val="32"/>
          <w:highlight w:val="none"/>
        </w:rPr>
        <w:t>地点:用户指定地点。</w:t>
      </w:r>
    </w:p>
    <w:p w14:paraId="05A41B1E">
      <w:pPr>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lang w:val="en-US" w:eastAsia="zh-CN"/>
        </w:rPr>
        <w:t>三</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lang w:val="en-US" w:eastAsia="zh-CN"/>
        </w:rPr>
        <w:t>履行方式</w:t>
      </w:r>
      <w:r>
        <w:rPr>
          <w:rFonts w:hint="eastAsia" w:ascii="仿宋_GB2312" w:hAnsi="仿宋" w:eastAsia="仿宋_GB2312" w:cs="仿宋"/>
          <w:color w:val="auto"/>
          <w:sz w:val="32"/>
          <w:szCs w:val="32"/>
          <w:highlight w:val="none"/>
        </w:rPr>
        <w:t>：乙方</w:t>
      </w:r>
      <w:r>
        <w:rPr>
          <w:rFonts w:hint="eastAsia" w:ascii="仿宋_GB2312" w:hAnsi="仿宋" w:eastAsia="仿宋_GB2312" w:cs="仿宋"/>
          <w:color w:val="auto"/>
          <w:sz w:val="32"/>
          <w:szCs w:val="32"/>
          <w:highlight w:val="none"/>
          <w:lang w:val="en-US" w:eastAsia="zh-CN"/>
        </w:rPr>
        <w:t>至少</w:t>
      </w:r>
      <w:r>
        <w:rPr>
          <w:rFonts w:hint="eastAsia" w:ascii="仿宋_GB2312" w:hAnsi="仿宋" w:eastAsia="仿宋_GB2312" w:cs="仿宋"/>
          <w:color w:val="auto"/>
          <w:sz w:val="32"/>
          <w:szCs w:val="32"/>
          <w:highlight w:val="none"/>
        </w:rPr>
        <w:t>派</w:t>
      </w:r>
      <w:r>
        <w:rPr>
          <w:rFonts w:hint="eastAsia" w:ascii="仿宋_GB2312" w:hAnsi="仿宋" w:eastAsia="仿宋_GB2312" w:cs="仿宋"/>
          <w:color w:val="auto"/>
          <w:sz w:val="32"/>
          <w:szCs w:val="32"/>
          <w:highlight w:val="none"/>
          <w:u w:val="single"/>
          <w:lang w:val="en-US" w:eastAsia="zh-CN"/>
        </w:rPr>
        <w:t xml:space="preserve">   </w:t>
      </w:r>
      <w:r>
        <w:rPr>
          <w:rFonts w:hint="eastAsia" w:ascii="仿宋_GB2312" w:hAnsi="仿宋" w:eastAsia="仿宋_GB2312" w:cs="仿宋"/>
          <w:color w:val="auto"/>
          <w:sz w:val="32"/>
          <w:szCs w:val="32"/>
          <w:highlight w:val="none"/>
        </w:rPr>
        <w:t>名技术服务人员，</w:t>
      </w:r>
      <w:r>
        <w:rPr>
          <w:rFonts w:hint="eastAsia" w:ascii="仿宋_GB2312" w:hAnsi="仿宋" w:eastAsia="仿宋_GB2312" w:cs="仿宋"/>
          <w:color w:val="auto"/>
          <w:sz w:val="32"/>
          <w:szCs w:val="32"/>
          <w:highlight w:val="none"/>
          <w:lang w:val="en-US" w:eastAsia="zh-CN"/>
        </w:rPr>
        <w:t>驻</w:t>
      </w:r>
      <w:r>
        <w:rPr>
          <w:rFonts w:hint="eastAsia" w:ascii="仿宋_GB2312" w:hAnsi="仿宋" w:eastAsia="仿宋_GB2312" w:cs="仿宋"/>
          <w:color w:val="auto"/>
          <w:sz w:val="32"/>
          <w:szCs w:val="32"/>
          <w:highlight w:val="none"/>
        </w:rPr>
        <w:t>场</w:t>
      </w:r>
      <w:r>
        <w:rPr>
          <w:rFonts w:hint="eastAsia" w:ascii="仿宋_GB2312" w:hAnsi="仿宋" w:eastAsia="仿宋_GB2312" w:cs="仿宋"/>
          <w:color w:val="auto"/>
          <w:sz w:val="32"/>
          <w:szCs w:val="32"/>
          <w:highlight w:val="none"/>
          <w:lang w:val="en-US" w:eastAsia="zh-CN"/>
        </w:rPr>
        <w:t>开展</w:t>
      </w:r>
      <w:r>
        <w:rPr>
          <w:rFonts w:hint="eastAsia" w:ascii="仿宋_GB2312" w:hAnsi="仿宋" w:eastAsia="仿宋_GB2312" w:cs="仿宋"/>
          <w:color w:val="auto"/>
          <w:sz w:val="32"/>
          <w:szCs w:val="32"/>
          <w:highlight w:val="none"/>
        </w:rPr>
        <w:t>服务。</w:t>
      </w:r>
    </w:p>
    <w:p w14:paraId="79D60F53">
      <w:pPr>
        <w:spacing w:line="560" w:lineRule="exact"/>
        <w:ind w:firstLine="640" w:firstLineChars="200"/>
        <w:rPr>
          <w:rFonts w:hint="eastAsia" w:eastAsia="仿宋_GB2312"/>
          <w:lang w:val="en-US" w:eastAsia="zh-CN"/>
        </w:rPr>
      </w:pPr>
      <w:r>
        <w:rPr>
          <w:rFonts w:hint="eastAsia" w:ascii="仿宋_GB2312" w:hAnsi="仿宋" w:eastAsia="仿宋_GB2312" w:cs="仿宋"/>
          <w:color w:val="auto"/>
          <w:sz w:val="32"/>
          <w:szCs w:val="32"/>
          <w:highlight w:val="none"/>
          <w:lang w:val="en-US" w:eastAsia="zh-CN"/>
        </w:rPr>
        <w:t>乙方指派人员联系方式：</w:t>
      </w:r>
    </w:p>
    <w:p w14:paraId="75CBDA1D">
      <w:pPr>
        <w:spacing w:line="560" w:lineRule="exact"/>
        <w:ind w:firstLine="640" w:firstLineChars="200"/>
        <w:outlineLvl w:val="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四、项目建设内容</w:t>
      </w:r>
    </w:p>
    <w:p w14:paraId="36746A48">
      <w:pPr>
        <w:spacing w:line="560" w:lineRule="exact"/>
        <w:ind w:firstLine="640" w:firstLineChars="200"/>
        <w:rPr>
          <w:rFonts w:hint="default"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详见本项目的竞价必选文件及乙方的投标响应文件。</w:t>
      </w:r>
    </w:p>
    <w:p w14:paraId="5FF1F1FA">
      <w:pPr>
        <w:spacing w:line="560" w:lineRule="exact"/>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五、质量要求</w:t>
      </w:r>
    </w:p>
    <w:p w14:paraId="6AD6E6EA">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（一）乙方在收到成交通知书后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个工作日内须向甲方提供所投系统有效的各级销售授权书（乙方为所投系统开发、生产企业除外）。</w:t>
      </w:r>
    </w:p>
    <w:p w14:paraId="217100EA">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（二）乙方提供的系统不得侵犯任何第三方的专利、商标或版权。否则，乙方须承担对第三方的专利或版权的侵权责任并承担因此而发生的所有费用。</w:t>
      </w:r>
    </w:p>
    <w:p w14:paraId="0488929D">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（三）因乙方的系统程序存在漏洞导致的信息安全风险，乙方应承诺终身免费升级修补，并对系统里的一切内容负有保密的义务。一旦内容泄密，经甲方查实是乙方的责任时，甲方将追究乙方的法律责任。</w:t>
      </w:r>
    </w:p>
    <w:p w14:paraId="6CA36B25">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（四）乙方未经甲方许可不得以任何形式转包或分包本项目。</w:t>
      </w:r>
    </w:p>
    <w:p w14:paraId="60E9703B">
      <w:pPr>
        <w:spacing w:line="560" w:lineRule="exact"/>
        <w:ind w:firstLine="640" w:firstLineChars="200"/>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六、安装、调试要求</w:t>
      </w:r>
    </w:p>
    <w:p w14:paraId="13DA4A1F">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（一）乙方依照本项目的投标响应文件的要求，将系统安装并调试至正常运行的最佳状态，若不符合本项目的投标响应文件规定，由此造成的损失由乙方承担。</w:t>
      </w:r>
    </w:p>
    <w:p w14:paraId="1BA97238">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乙方必须安排固定的项目管理团队与甲方对接，并按项目进度安排计划，列明工作内容和具体要求，派出适当的技术人员到安装现场负责安装和调试工作。如果项目管理团队成员更换联系电话、邮箱等联系方式，应及时提前通知甲方，否则，由此给甲方造成的损失由乙方承担。</w:t>
      </w:r>
    </w:p>
    <w:p w14:paraId="0F739C68">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（三）乙方提供的系统若甲方要求须与信息化系统相连的，乙方不得拒绝，并按照甲方的要求确保数据能实时传输，实时监控，实现数据交互功能，保证数据的准确性和及时性。</w:t>
      </w:r>
    </w:p>
    <w:p w14:paraId="2DCEEAF0">
      <w:pPr>
        <w:spacing w:line="560" w:lineRule="exact"/>
        <w:ind w:firstLine="640" w:firstLineChars="200"/>
        <w:outlineLvl w:val="0"/>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七、交付与验收</w:t>
      </w:r>
    </w:p>
    <w:p w14:paraId="158D6728">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（一）验收要求</w:t>
      </w:r>
    </w:p>
    <w:p w14:paraId="5A6F9458">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1.上线验收：甲方组织验收</w:t>
      </w:r>
    </w:p>
    <w:p w14:paraId="5328A57C">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（1）符合本项目的投标响应文件的技术参数中的功能设计要求。</w:t>
      </w:r>
    </w:p>
    <w:p w14:paraId="580B64BC">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（2）业务流程通畅并经甲方确认。</w:t>
      </w:r>
    </w:p>
    <w:p w14:paraId="20F42B50">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（3）通过后台数据核对与核验要求。</w:t>
      </w:r>
    </w:p>
    <w:p w14:paraId="62D597C8">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2.项目验收：甲方组织验收</w:t>
      </w:r>
    </w:p>
    <w:p w14:paraId="116D5AB4">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（1）系统试运行至少满</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个月后，才能进行项目验收。</w:t>
      </w:r>
    </w:p>
    <w:p w14:paraId="2A22091C">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（2）正式验收的执行标准为：合同约定的验收标准；在签署合同之后，共同确定的需求变更说明；约定的其他验收标准。</w:t>
      </w:r>
    </w:p>
    <w:p w14:paraId="41FF99DB">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乙方提交了以下文档材料，并经甲方确认无误，才启动验收工作：需求规格说明书；概要设计方案；详细设计方案；数据库设计方案；项目实施方案；系统说明书、用户操作手册、培训手册；系统维护手册；数据库表结构与说明；接口技术文档等。</w:t>
      </w:r>
    </w:p>
    <w:p w14:paraId="070241D7">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（4）验收方式：正式验收包括功能验收、流程验收、技术验收、数据完整性验收和培训工作五个维度，共同提前做好准备工作。</w:t>
      </w:r>
    </w:p>
    <w:p w14:paraId="2AFDCEA7">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功能验收：对照功能设计，逐项进行核对。</w:t>
      </w:r>
    </w:p>
    <w:p w14:paraId="5B21757C">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流程验收：所有业务流程与操作均运行正常。</w:t>
      </w:r>
    </w:p>
    <w:p w14:paraId="29AF077A">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技术验收：符合技术要求并经测试确认。</w:t>
      </w:r>
    </w:p>
    <w:p w14:paraId="724F2F10">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数据完整性验收：系统涉及的各项数据，按照提前设计的方法，保证确实无误。</w:t>
      </w:r>
    </w:p>
    <w:p w14:paraId="61C7FBF4">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培训工作：按照计划完成了所有的培训和考试工作。</w:t>
      </w:r>
    </w:p>
    <w:p w14:paraId="17DC8C8D">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（二）验收标准： </w:t>
      </w:r>
    </w:p>
    <w:p w14:paraId="68777DD5">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交付验收标准依次序对照适用标准为：a.符合中华人民共和国国家安全质量标准、环保标准或行业标准；b.符合本项目的投标响应文件和投标承诺中甲方认可的合理最佳配置、参数及各项要求；c.双方约定的其他验收标准。</w:t>
      </w:r>
    </w:p>
    <w:p w14:paraId="23FCF07A">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2.乙方须为交付验收提供必须的一切条件及相关费用。</w:t>
      </w:r>
    </w:p>
    <w:p w14:paraId="595E9236">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（三）乙方需提交的验收资料主要包括:</w:t>
      </w:r>
    </w:p>
    <w:p w14:paraId="38CF1C62">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1.项目验收申请表；</w:t>
      </w:r>
    </w:p>
    <w:p w14:paraId="2A89156F">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2.项目设计方案及工程过程文档；</w:t>
      </w:r>
    </w:p>
    <w:p w14:paraId="6AB31BE3">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3.项目建设合同和有关修改、调整情况的纪要文件；</w:t>
      </w:r>
    </w:p>
    <w:p w14:paraId="0C5FF75E">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4.项目的技术报告和工作总结报告；</w:t>
      </w:r>
    </w:p>
    <w:p w14:paraId="537F79E6">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5.项目建设的主要成果技术资料及过程文档</w:t>
      </w:r>
    </w:p>
    <w:p w14:paraId="14F2C028">
      <w:pPr>
        <w:spacing w:line="560" w:lineRule="exact"/>
        <w:ind w:firstLine="640" w:firstLineChars="200"/>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八、免费维护期、售后服务要求</w:t>
      </w:r>
    </w:p>
    <w:p w14:paraId="55DAD230">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（一）免费维护期：</w:t>
      </w:r>
    </w:p>
    <w:p w14:paraId="38B5E927">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乙方提供正式验收之后不少于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年的免费维护期，维护期自项目验收合格之日起计算。免费维护期后，如继续由乙方进行维护的，具体维护费由甲方和乙方双方另行协商，但年维护费用不能超过本合同总价的</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w:t>
      </w:r>
    </w:p>
    <w:p w14:paraId="768BD39F">
      <w:pPr>
        <w:numPr>
          <w:ilvl w:val="0"/>
          <w:numId w:val="1"/>
        </w:num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售后服务内容：</w:t>
      </w:r>
    </w:p>
    <w:p w14:paraId="220DA73F">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修正缺陷、数据维护与优化、免费升级到最新的版本（包含大版本和小版本），不涉及架构改动的功能增加与修改、接口修改与调试、系统后台的备份、应急与迁移、例行维护与巡检、压力测试等。</w:t>
      </w:r>
    </w:p>
    <w:p w14:paraId="6E7AE45A">
      <w:pPr>
        <w:numPr>
          <w:ilvl w:val="0"/>
          <w:numId w:val="1"/>
        </w:numPr>
        <w:spacing w:line="56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售后服务要求：</w:t>
      </w:r>
    </w:p>
    <w:p w14:paraId="2B9B41CA">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提供全年7天*24小时服务（电话、远程或现场），0.5小时内技术响应，4小时到达现场的技术支持服务。影响正常业务使用需在24小时内解决问题，如24小时内未能解决，每延期一天则相应延长免费维护期3天。</w:t>
      </w:r>
    </w:p>
    <w:p w14:paraId="3A1ED6DE">
      <w:pPr>
        <w:spacing w:line="560" w:lineRule="exact"/>
        <w:ind w:firstLine="640" w:firstLineChars="200"/>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九、培训要求</w:t>
      </w:r>
    </w:p>
    <w:p w14:paraId="0E9D4C7A">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乙方必须提供但不限于以下培训要求：</w:t>
      </w:r>
    </w:p>
    <w:p w14:paraId="3972982E">
      <w:pPr>
        <w:spacing w:line="560" w:lineRule="exact"/>
        <w:ind w:firstLine="640" w:firstLineChars="200"/>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val="zh-CN" w:eastAsia="zh-CN"/>
        </w:rPr>
        <w:t>按技术方案进行安装调试，提供</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zh-CN" w:eastAsia="zh-CN"/>
        </w:rPr>
        <w:t>天现场用户培训；</w:t>
      </w:r>
    </w:p>
    <w:p w14:paraId="3DAD6111">
      <w:pPr>
        <w:spacing w:line="560" w:lineRule="exact"/>
        <w:ind w:firstLine="640" w:firstLineChars="200"/>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val="zh-CN" w:eastAsia="zh-CN"/>
        </w:rPr>
        <w:t>根据本项目的投标响应文件采购的</w:t>
      </w:r>
      <w:r>
        <w:rPr>
          <w:rFonts w:hint="eastAsia" w:ascii="仿宋_GB2312" w:hAnsi="仿宋_GB2312" w:eastAsia="仿宋_GB2312" w:cs="仿宋_GB2312"/>
          <w:color w:val="auto"/>
          <w:sz w:val="32"/>
          <w:szCs w:val="32"/>
          <w:highlight w:val="none"/>
          <w:lang w:val="en-US" w:eastAsia="zh-CN"/>
        </w:rPr>
        <w:t>系统</w:t>
      </w:r>
      <w:r>
        <w:rPr>
          <w:rFonts w:hint="eastAsia" w:ascii="仿宋_GB2312" w:hAnsi="仿宋_GB2312" w:eastAsia="仿宋_GB2312" w:cs="仿宋_GB2312"/>
          <w:color w:val="auto"/>
          <w:sz w:val="32"/>
          <w:szCs w:val="32"/>
          <w:highlight w:val="none"/>
          <w:lang w:val="zh-CN" w:eastAsia="zh-CN"/>
        </w:rPr>
        <w:t>及采用的相关技术，在响应文件中提出全面的培训计划和课程内容安排，并在合同签订后征得甲方同意后实施；</w:t>
      </w:r>
    </w:p>
    <w:p w14:paraId="6DEACB0A">
      <w:pPr>
        <w:spacing w:line="560" w:lineRule="exact"/>
        <w:ind w:firstLine="640" w:firstLineChars="200"/>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val="zh-CN" w:eastAsia="zh-CN"/>
        </w:rPr>
        <w:t>列出具体计划（应包含培训地点、人数、天数）并安排实施；</w:t>
      </w:r>
    </w:p>
    <w:p w14:paraId="1EC13833">
      <w:pPr>
        <w:spacing w:line="560" w:lineRule="exact"/>
        <w:ind w:firstLine="640" w:firstLineChars="200"/>
        <w:rPr>
          <w:rFonts w:hint="eastAsia" w:ascii="仿宋" w:hAnsi="仿宋" w:eastAsia="仿宋" w:cs="仿宋"/>
          <w:color w:val="auto"/>
          <w:sz w:val="24"/>
          <w:highlight w:val="none"/>
          <w:lang w:val="zh-CN"/>
        </w:rPr>
      </w:pP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val="zh-CN" w:eastAsia="zh-CN"/>
        </w:rPr>
        <w:t xml:space="preserve">培训应包括系统的安装和维护、常见故障现象及诊断、常见的问题及解决办法等。 </w:t>
      </w:r>
      <w:r>
        <w:rPr>
          <w:rFonts w:hint="eastAsia" w:ascii="仿宋" w:hAnsi="仿宋" w:eastAsia="仿宋" w:cs="仿宋"/>
          <w:b w:val="0"/>
          <w:bCs w:val="0"/>
          <w:i w:val="0"/>
          <w:iCs w:val="0"/>
          <w:color w:val="auto"/>
          <w:kern w:val="2"/>
          <w:sz w:val="24"/>
          <w:szCs w:val="24"/>
          <w:highlight w:val="none"/>
          <w:u w:val="none"/>
          <w:lang w:val="zh-CN" w:eastAsia="zh-CN" w:bidi="ar-SA"/>
        </w:rPr>
        <w:t xml:space="preserve"> </w:t>
      </w:r>
    </w:p>
    <w:p w14:paraId="70219E8F">
      <w:pPr>
        <w:spacing w:line="560" w:lineRule="exact"/>
        <w:ind w:firstLine="640" w:firstLineChars="200"/>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w:t>
      </w:r>
      <w:r>
        <w:rPr>
          <w:rFonts w:hint="eastAsia" w:ascii="黑体" w:hAnsi="黑体" w:eastAsia="黑体" w:cs="黑体"/>
          <w:color w:val="auto"/>
          <w:sz w:val="32"/>
          <w:szCs w:val="32"/>
          <w:highlight w:val="none"/>
        </w:rPr>
        <w:t>双方权利义务</w:t>
      </w:r>
    </w:p>
    <w:p w14:paraId="273E301E">
      <w:pPr>
        <w:spacing w:line="560" w:lineRule="exact"/>
        <w:ind w:firstLine="640" w:firstLineChars="200"/>
        <w:rPr>
          <w:rFonts w:hint="eastAsia" w:ascii="仿宋_GB2312" w:hAnsi="仿宋_GB2312" w:eastAsia="仿宋_GB2312" w:cs="仿宋_GB2312"/>
          <w:color w:val="auto"/>
          <w:sz w:val="32"/>
          <w:szCs w:val="32"/>
          <w:highlight w:val="none"/>
          <w:lang w:eastAsia="zh-CN"/>
        </w:rPr>
      </w:pPr>
      <w:bookmarkStart w:id="2" w:name="OLE_LINK3"/>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val="en-US" w:eastAsia="zh-CN"/>
        </w:rPr>
        <w:t>的权利义务</w:t>
      </w:r>
    </w:p>
    <w:bookmarkEnd w:id="2"/>
    <w:p w14:paraId="17C8A9CB">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1.甲方有权审查乙方项目方案，应按合同约定足额将费</w:t>
      </w:r>
      <w:r>
        <w:rPr>
          <w:rFonts w:hint="eastAsia" w:ascii="仿宋_GB2312" w:hAnsi="仿宋_GB2312" w:eastAsia="仿宋_GB2312" w:cs="仿宋_GB2312"/>
          <w:color w:val="auto"/>
          <w:sz w:val="32"/>
          <w:szCs w:val="32"/>
          <w:highlight w:val="none"/>
          <w:lang w:val="en-US" w:eastAsia="zh-CN"/>
        </w:rPr>
        <w:t>用</w:t>
      </w:r>
      <w:r>
        <w:rPr>
          <w:rFonts w:hint="eastAsia" w:ascii="仿宋_GB2312" w:hAnsi="仿宋_GB2312" w:eastAsia="仿宋_GB2312" w:cs="仿宋_GB2312"/>
          <w:color w:val="auto"/>
          <w:sz w:val="32"/>
          <w:szCs w:val="32"/>
          <w:highlight w:val="none"/>
        </w:rPr>
        <w:t>拨付给乙方。保证项目款及时到位，以保证项目的顺利进行。</w:t>
      </w:r>
    </w:p>
    <w:p w14:paraId="0826A1BF">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2.甲方有权对乙方承担的项目经费的使用状况进行监督、检查。</w:t>
      </w:r>
    </w:p>
    <w:p w14:paraId="4D17DD6D">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甲方变更委托项目内容，或对所提供的资料作较大修改时，应及时告知乙方，双方可视具体情况另行协商签订补充合同，重新明确有关条款。</w:t>
      </w:r>
    </w:p>
    <w:p w14:paraId="7DAF856F">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甲方负责基础资料收集、工作的统筹协调等工作安排，并为乙方提供必要的工作场所和工作条件。</w:t>
      </w:r>
    </w:p>
    <w:p w14:paraId="4880A3B6">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5.甲方应对乙方承担的项目提出服务要求，并督促乙方按计划完成项目并提供符合要求的服务。</w:t>
      </w:r>
    </w:p>
    <w:p w14:paraId="6C538495">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6.甲方有权纠正和制止乙方在项目服务过程中出现的，未按执行标准及本合同要求开展服务工作的情形，情节严重的，甲方有权取消乙方承担项目的资格。</w:t>
      </w:r>
    </w:p>
    <w:p w14:paraId="077927C4">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7.因乙方原因造成项目进度、服务质量不符合要求时，甲方有权要求补充修改并延迟付款期限。</w:t>
      </w:r>
    </w:p>
    <w:p w14:paraId="75F21679">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乙</w:t>
      </w:r>
      <w:r>
        <w:rPr>
          <w:rFonts w:hint="eastAsia" w:ascii="仿宋_GB2312" w:hAnsi="仿宋_GB2312" w:eastAsia="仿宋_GB2312" w:cs="仿宋_GB2312"/>
          <w:color w:val="auto"/>
          <w:sz w:val="32"/>
          <w:szCs w:val="32"/>
          <w:highlight w:val="none"/>
        </w:rPr>
        <w:t>方</w:t>
      </w:r>
      <w:r>
        <w:rPr>
          <w:rFonts w:hint="eastAsia" w:ascii="仿宋_GB2312" w:hAnsi="仿宋_GB2312" w:eastAsia="仿宋_GB2312" w:cs="仿宋_GB2312"/>
          <w:color w:val="auto"/>
          <w:sz w:val="32"/>
          <w:szCs w:val="32"/>
          <w:highlight w:val="none"/>
          <w:lang w:val="en-US" w:eastAsia="zh-CN"/>
        </w:rPr>
        <w:t>的权利义务</w:t>
      </w:r>
    </w:p>
    <w:p w14:paraId="313E3013">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乙方按照相关管理行业标准和相关规定进行工作。乙方工作人员应遵守职业道德规范，按计划开展服务工作。</w:t>
      </w:r>
    </w:p>
    <w:p w14:paraId="57EA27E8">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2.乙方有权按照合同规定获得甲方的帮助和配合，查阅与本项目有关的技术资料。 </w:t>
      </w:r>
    </w:p>
    <w:p w14:paraId="5FE0523E">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3.乙方负责对本服务项目实施的指导，参与与本项目有关的业务会议。 </w:t>
      </w:r>
    </w:p>
    <w:p w14:paraId="06A2294A">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4.乙方提交的服务，经审查不符合相关标准要求的部分，乙方应根据甲方要求立即进行返工修改、补充和完善，并承担由此引起的一切后果和费用。</w:t>
      </w:r>
    </w:p>
    <w:p w14:paraId="5F8BDB9F">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乙方逾期提供服务（提供服务不符合要求亦视为未提交，直至整改后重新提供的服务时间视为实际服务时间），或因乙方提供服务存在重大缺陷或错误导致甲方被追究责任的，乙方均应就甲方因此发生的损失向甲方承担损失赔偿</w:t>
      </w:r>
    </w:p>
    <w:p w14:paraId="282FDB4B">
      <w:pPr>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责任。</w:t>
      </w:r>
    </w:p>
    <w:p w14:paraId="4EB8E014">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6.未经甲方书面同意，乙方不得以任何理由和任何形式向其它单位和个人提供项目成果，包括调查资料等。 </w:t>
      </w:r>
    </w:p>
    <w:p w14:paraId="38FFD405">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本项目所有资料、电子文档的所有权等均归甲方所有。乙方在项目实施过程中，未经甲方许可，不得利用属于甲方的资料为自己谋利或提供第三方。乙方在项目完成后，应将全部资料移交甲方，多余应销毁和删除，不得保留和复制留存。</w:t>
      </w:r>
    </w:p>
    <w:p w14:paraId="1D425A2D">
      <w:pPr>
        <w:spacing w:line="560" w:lineRule="exact"/>
        <w:ind w:firstLine="640" w:firstLineChars="200"/>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十一、</w:t>
      </w:r>
      <w:r>
        <w:rPr>
          <w:rFonts w:hint="eastAsia" w:ascii="黑体" w:hAnsi="黑体" w:eastAsia="黑体" w:cs="黑体"/>
          <w:color w:val="auto"/>
          <w:sz w:val="32"/>
          <w:szCs w:val="32"/>
          <w:highlight w:val="none"/>
        </w:rPr>
        <w:t>违约责任</w:t>
      </w:r>
    </w:p>
    <w:p w14:paraId="07BE18E8">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任何一方违反本合同约定，应承担违约责任，赔偿对方因此遭受的损失。</w:t>
      </w:r>
    </w:p>
    <w:p w14:paraId="24516A25">
      <w:pPr>
        <w:spacing w:line="560" w:lineRule="exact"/>
        <w:ind w:firstLine="620" w:firstLineChars="200"/>
        <w:rPr>
          <w:rFonts w:hint="eastAsia" w:ascii="仿宋_GB2312" w:hAnsi="仿宋_GB2312" w:eastAsia="仿宋_GB2312" w:cs="仿宋_GB2312"/>
          <w:color w:val="auto"/>
          <w:spacing w:val="-5"/>
          <w:kern w:val="2"/>
          <w:sz w:val="32"/>
          <w:szCs w:val="32"/>
          <w:highlight w:val="none"/>
          <w:lang w:val="en-US" w:eastAsia="zh-CN" w:bidi="ar-SA"/>
        </w:rPr>
      </w:pPr>
      <w:r>
        <w:rPr>
          <w:rFonts w:hint="eastAsia" w:ascii="仿宋_GB2312" w:hAnsi="仿宋_GB2312" w:eastAsia="仿宋_GB2312" w:cs="仿宋_GB2312"/>
          <w:color w:val="auto"/>
          <w:spacing w:val="-5"/>
          <w:kern w:val="2"/>
          <w:sz w:val="32"/>
          <w:szCs w:val="32"/>
          <w:highlight w:val="none"/>
          <w:lang w:val="en-US" w:eastAsia="zh-CN" w:bidi="ar-SA"/>
        </w:rPr>
        <w:t>（一）如甲方迟于合同规定时间付款，除不可抗力因素外，自超过付款期限之日起，每周甲方应付给乙方未付款金额1%的违约金，违约金总计不超过合同总金额的5%，不足一周按一周计算。</w:t>
      </w:r>
    </w:p>
    <w:p w14:paraId="19F18765">
      <w:pPr>
        <w:spacing w:line="560" w:lineRule="exact"/>
        <w:ind w:firstLine="620" w:firstLineChars="200"/>
        <w:rPr>
          <w:rFonts w:hint="eastAsia" w:ascii="仿宋_GB2312" w:hAnsi="仿宋_GB2312" w:eastAsia="仿宋_GB2312" w:cs="仿宋_GB2312"/>
          <w:color w:val="auto"/>
          <w:spacing w:val="-5"/>
          <w:kern w:val="2"/>
          <w:sz w:val="32"/>
          <w:szCs w:val="32"/>
          <w:highlight w:val="none"/>
          <w:lang w:val="en-US" w:eastAsia="zh-CN" w:bidi="ar-SA"/>
        </w:rPr>
      </w:pPr>
      <w:r>
        <w:rPr>
          <w:rFonts w:hint="eastAsia" w:ascii="仿宋_GB2312" w:hAnsi="仿宋_GB2312" w:eastAsia="仿宋_GB2312" w:cs="仿宋_GB2312"/>
          <w:color w:val="auto"/>
          <w:spacing w:val="-5"/>
          <w:kern w:val="2"/>
          <w:sz w:val="32"/>
          <w:szCs w:val="32"/>
          <w:highlight w:val="none"/>
          <w:lang w:val="en-US" w:eastAsia="zh-CN" w:bidi="ar-SA"/>
        </w:rPr>
        <w:t>（二）如果乙方违背了本合同及附件约定的技术和服务的要求或承诺保证，甲方可以要求乙方退还全部款项，并有权要求乙方承担本合同总金额10%的违约金。乙方将以专业化的工作方式向甲方提供合同规定的技术服务，以增加甲方信息化建设能力。</w:t>
      </w:r>
    </w:p>
    <w:p w14:paraId="1ACFB9E0">
      <w:pPr>
        <w:spacing w:line="560" w:lineRule="exact"/>
        <w:ind w:firstLine="620" w:firstLineChars="200"/>
        <w:rPr>
          <w:rFonts w:hint="eastAsia"/>
          <w:color w:val="auto"/>
          <w:highlight w:val="none"/>
          <w:lang w:val="en-US" w:eastAsia="zh-CN"/>
        </w:rPr>
      </w:pPr>
      <w:r>
        <w:rPr>
          <w:rFonts w:hint="eastAsia" w:ascii="仿宋_GB2312" w:hAnsi="仿宋_GB2312" w:eastAsia="仿宋_GB2312" w:cs="仿宋_GB2312"/>
          <w:color w:val="auto"/>
          <w:spacing w:val="-5"/>
          <w:kern w:val="2"/>
          <w:sz w:val="32"/>
          <w:szCs w:val="32"/>
          <w:highlight w:val="none"/>
          <w:lang w:val="en-US" w:eastAsia="zh-CN" w:bidi="ar-SA"/>
        </w:rPr>
        <w:t>（三）在项目期内如果乙方驻场技术人员未按甲方要求考勤管理制度规定时间驻场，在阶段费用支付时，每少1人/天从该阶段应付金额中扣除1000元</w:t>
      </w:r>
      <w:bookmarkStart w:id="3" w:name="_GoBack"/>
      <w:bookmarkEnd w:id="3"/>
      <w:r>
        <w:rPr>
          <w:rFonts w:hint="eastAsia" w:ascii="仿宋_GB2312" w:hAnsi="仿宋_GB2312" w:eastAsia="仿宋_GB2312" w:cs="仿宋_GB2312"/>
          <w:color w:val="auto"/>
          <w:spacing w:val="-5"/>
          <w:kern w:val="2"/>
          <w:sz w:val="32"/>
          <w:szCs w:val="32"/>
          <w:highlight w:val="none"/>
          <w:lang w:val="en-US" w:eastAsia="zh-CN" w:bidi="ar-SA"/>
        </w:rPr>
        <w:t>。</w:t>
      </w:r>
    </w:p>
    <w:p w14:paraId="291A09D0">
      <w:pPr>
        <w:spacing w:line="560" w:lineRule="exact"/>
        <w:ind w:firstLine="620" w:firstLineChars="200"/>
        <w:rPr>
          <w:rFonts w:hint="eastAsia" w:ascii="仿宋_GB2312" w:hAnsi="仿宋_GB2312" w:eastAsia="仿宋_GB2312" w:cs="仿宋_GB2312"/>
          <w:color w:val="auto"/>
          <w:spacing w:val="-5"/>
          <w:kern w:val="2"/>
          <w:sz w:val="32"/>
          <w:szCs w:val="32"/>
          <w:highlight w:val="none"/>
          <w:lang w:val="en-US" w:eastAsia="zh-CN" w:bidi="ar-SA"/>
        </w:rPr>
      </w:pPr>
      <w:r>
        <w:rPr>
          <w:rFonts w:hint="eastAsia" w:ascii="仿宋_GB2312" w:hAnsi="仿宋_GB2312" w:eastAsia="仿宋_GB2312" w:cs="仿宋_GB2312"/>
          <w:color w:val="auto"/>
          <w:spacing w:val="-5"/>
          <w:kern w:val="2"/>
          <w:sz w:val="32"/>
          <w:szCs w:val="32"/>
          <w:highlight w:val="none"/>
          <w:lang w:val="en-US" w:eastAsia="zh-CN" w:bidi="ar-SA"/>
        </w:rPr>
        <w:t>（四）如果由于一方对合同中规定的义务履行失误，或一方没有获得履行本合同必要的政府许可，或一方有侵犯他人权利或违反法律法规行为，由此造成本合同无法正常履行的，由此产生的损失、债务、及一切法律责任将由该方全部承担。守约方可解除合同，并由违约方赔偿全部损失，损失无法计算的，按本合同总金额的10%计算。</w:t>
      </w:r>
    </w:p>
    <w:p w14:paraId="49944B84">
      <w:pPr>
        <w:spacing w:line="560" w:lineRule="exact"/>
        <w:ind w:firstLine="620" w:firstLineChars="200"/>
        <w:rPr>
          <w:rFonts w:hint="eastAsia" w:ascii="仿宋_GB2312" w:hAnsi="仿宋_GB2312" w:eastAsia="仿宋_GB2312" w:cs="仿宋_GB2312"/>
          <w:color w:val="auto"/>
          <w:spacing w:val="-5"/>
          <w:kern w:val="2"/>
          <w:sz w:val="32"/>
          <w:szCs w:val="32"/>
          <w:highlight w:val="none"/>
          <w:lang w:val="en-US" w:eastAsia="zh-CN" w:bidi="ar-SA"/>
        </w:rPr>
      </w:pPr>
      <w:r>
        <w:rPr>
          <w:rFonts w:hint="eastAsia" w:ascii="仿宋_GB2312" w:hAnsi="仿宋_GB2312" w:eastAsia="仿宋_GB2312" w:cs="仿宋_GB2312"/>
          <w:color w:val="auto"/>
          <w:spacing w:val="-5"/>
          <w:kern w:val="2"/>
          <w:sz w:val="32"/>
          <w:szCs w:val="32"/>
          <w:highlight w:val="none"/>
          <w:lang w:val="en-US" w:eastAsia="zh-CN" w:bidi="ar-SA"/>
        </w:rPr>
        <w:t>（五）任何一方违反本合同约定的保密义务给对方造成损失的，应当承担违约责任，造成损失的，应当予以赔偿，损失无法计算的，按本合同总金额的10%计算。</w:t>
      </w:r>
    </w:p>
    <w:p w14:paraId="07020BFD">
      <w:pPr>
        <w:spacing w:line="560" w:lineRule="exact"/>
        <w:ind w:firstLine="640" w:firstLineChars="200"/>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十二、合同变更及解除</w:t>
      </w:r>
    </w:p>
    <w:p w14:paraId="7EAF99EE">
      <w:pPr>
        <w:spacing w:line="560" w:lineRule="exact"/>
        <w:ind w:firstLine="62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5"/>
          <w:kern w:val="2"/>
          <w:sz w:val="32"/>
          <w:szCs w:val="32"/>
          <w:highlight w:val="none"/>
          <w:lang w:val="en-US" w:eastAsia="zh-CN" w:bidi="ar-SA"/>
        </w:rPr>
        <w:t>（一）</w:t>
      </w:r>
      <w:r>
        <w:rPr>
          <w:rFonts w:hint="eastAsia" w:ascii="仿宋_GB2312" w:hAnsi="仿宋_GB2312" w:eastAsia="仿宋_GB2312" w:cs="仿宋_GB2312"/>
          <w:color w:val="auto"/>
          <w:sz w:val="32"/>
          <w:szCs w:val="32"/>
          <w:highlight w:val="none"/>
        </w:rPr>
        <w:t>甲、乙双方协商一致，可以对合同条款进行变更。</w:t>
      </w:r>
    </w:p>
    <w:p w14:paraId="366AC7DB">
      <w:pPr>
        <w:spacing w:line="560" w:lineRule="exact"/>
        <w:ind w:firstLine="62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5"/>
          <w:kern w:val="2"/>
          <w:sz w:val="32"/>
          <w:szCs w:val="32"/>
          <w:highlight w:val="none"/>
          <w:lang w:val="en-US" w:eastAsia="zh-CN" w:bidi="ar-SA"/>
        </w:rPr>
        <w:t>（二）</w:t>
      </w:r>
      <w:r>
        <w:rPr>
          <w:rFonts w:hint="eastAsia" w:ascii="仿宋_GB2312" w:hAnsi="仿宋_GB2312" w:eastAsia="仿宋_GB2312" w:cs="仿宋_GB2312"/>
          <w:color w:val="auto"/>
          <w:sz w:val="32"/>
          <w:szCs w:val="32"/>
          <w:highlight w:val="none"/>
        </w:rPr>
        <w:t>未经合同双方书面同意，任何一方不得提前终止本合同。</w:t>
      </w:r>
    </w:p>
    <w:p w14:paraId="7A26D0D5">
      <w:pPr>
        <w:spacing w:line="560" w:lineRule="exact"/>
        <w:ind w:firstLine="62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5"/>
          <w:kern w:val="2"/>
          <w:sz w:val="32"/>
          <w:szCs w:val="32"/>
          <w:highlight w:val="none"/>
          <w:lang w:val="en-US" w:eastAsia="zh-CN" w:bidi="ar-SA"/>
        </w:rPr>
        <w:t>（三）</w:t>
      </w:r>
      <w:r>
        <w:rPr>
          <w:rFonts w:hint="eastAsia" w:ascii="仿宋_GB2312" w:hAnsi="仿宋_GB2312" w:eastAsia="仿宋_GB2312" w:cs="仿宋_GB2312"/>
          <w:color w:val="auto"/>
          <w:sz w:val="32"/>
          <w:szCs w:val="32"/>
          <w:highlight w:val="none"/>
        </w:rPr>
        <w:t>甲、乙双方协商一致，可以解除合同。任何一方需提前解除本合同的，应提前[7]日通知对方。</w:t>
      </w:r>
    </w:p>
    <w:p w14:paraId="64DA028E">
      <w:pPr>
        <w:spacing w:line="560" w:lineRule="exact"/>
        <w:ind w:firstLine="62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5"/>
          <w:kern w:val="2"/>
          <w:sz w:val="32"/>
          <w:szCs w:val="32"/>
          <w:highlight w:val="none"/>
          <w:lang w:val="en-US" w:eastAsia="zh-CN" w:bidi="ar-SA"/>
        </w:rPr>
        <w:t>（四）</w:t>
      </w:r>
      <w:r>
        <w:rPr>
          <w:rFonts w:hint="eastAsia" w:ascii="仿宋_GB2312" w:hAnsi="仿宋_GB2312" w:eastAsia="仿宋_GB2312" w:cs="仿宋_GB2312"/>
          <w:color w:val="auto"/>
          <w:sz w:val="32"/>
          <w:szCs w:val="32"/>
          <w:highlight w:val="none"/>
        </w:rPr>
        <w:t>有以下情形之一时，任何一方有权单方面解除合同，并要求对方承担违约责任：</w:t>
      </w:r>
    </w:p>
    <w:p w14:paraId="3196E3AF">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因不可抗力致使不能实现合同目的；</w:t>
      </w:r>
    </w:p>
    <w:p w14:paraId="2637907B">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一方明确表示或以自己的行为表明不履行主要义务；</w:t>
      </w:r>
    </w:p>
    <w:p w14:paraId="13BFA72D">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一方迟延履行主要义务，经催告后在合理期限内仍未履行；</w:t>
      </w:r>
    </w:p>
    <w:p w14:paraId="53A8B833">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其他根据法律规定或合同约定可以解除合同的情形；</w:t>
      </w:r>
    </w:p>
    <w:p w14:paraId="5912ECBA">
      <w:pPr>
        <w:spacing w:line="560" w:lineRule="exact"/>
        <w:ind w:firstLine="62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5"/>
          <w:kern w:val="2"/>
          <w:sz w:val="32"/>
          <w:szCs w:val="32"/>
          <w:highlight w:val="none"/>
          <w:lang w:val="en-US" w:eastAsia="zh-CN" w:bidi="ar-SA"/>
        </w:rPr>
        <w:t>（五）</w:t>
      </w:r>
      <w:r>
        <w:rPr>
          <w:rFonts w:hint="eastAsia" w:ascii="仿宋_GB2312" w:hAnsi="仿宋_GB2312" w:eastAsia="仿宋_GB2312" w:cs="仿宋_GB2312"/>
          <w:color w:val="auto"/>
          <w:sz w:val="32"/>
          <w:szCs w:val="32"/>
          <w:highlight w:val="none"/>
        </w:rPr>
        <w:t>合同的解除不影响其他任何合同延伸义务的继续履行。</w:t>
      </w:r>
    </w:p>
    <w:p w14:paraId="3CD853C1">
      <w:pPr>
        <w:spacing w:line="560" w:lineRule="exact"/>
        <w:ind w:firstLine="640" w:firstLineChars="200"/>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十三、</w:t>
      </w:r>
      <w:r>
        <w:rPr>
          <w:rFonts w:hint="eastAsia" w:ascii="黑体" w:hAnsi="黑体" w:eastAsia="黑体" w:cs="黑体"/>
          <w:color w:val="auto"/>
          <w:sz w:val="32"/>
          <w:szCs w:val="32"/>
          <w:highlight w:val="none"/>
        </w:rPr>
        <w:t>保密条款</w:t>
      </w:r>
    </w:p>
    <w:p w14:paraId="276FE972">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ascii="仿宋_GB2312" w:hAnsi="仿宋_GB2312" w:eastAsia="仿宋_GB2312" w:cs="仿宋_GB2312"/>
          <w:color w:val="auto"/>
          <w:sz w:val="32"/>
          <w:szCs w:val="32"/>
          <w:highlight w:val="none"/>
        </w:rPr>
        <w:t>在本合同履行期间，合同任一方就所有与本合同相关的公开声明和其他信息的披露需征得另一方书面同意。本合同任一方应对另一方的保密信息（包括甲方为履行本合同而向乙方提供的所有资料和乙方在本合同项下向甲方提交的工作成果）严格保密，未经信息披露方事先书面许可，不得向合同以外的任何第三方披露，否则，信息披露方有权终止本合同，并要求泄密方支付</w:t>
      </w:r>
      <w:r>
        <w:rPr>
          <w:rFonts w:hint="eastAsia" w:ascii="仿宋_GB2312" w:hAnsi="仿宋_GB2312" w:eastAsia="仿宋_GB2312" w:cs="仿宋_GB2312"/>
          <w:color w:val="auto"/>
          <w:sz w:val="32"/>
          <w:szCs w:val="32"/>
          <w:highlight w:val="none"/>
        </w:rPr>
        <w:t>[5]</w:t>
      </w:r>
      <w:r>
        <w:rPr>
          <w:rFonts w:ascii="仿宋_GB2312" w:hAnsi="仿宋_GB2312" w:eastAsia="仿宋_GB2312" w:cs="仿宋_GB2312"/>
          <w:color w:val="auto"/>
          <w:sz w:val="32"/>
          <w:szCs w:val="32"/>
          <w:highlight w:val="none"/>
        </w:rPr>
        <w:t>万元作为违约金。若该等违约金不足以弥补披露方因此遭受的损失的，泄密方仍需承担全部赔偿责任。上述保密责任不涉及以下领域：</w:t>
      </w:r>
    </w:p>
    <w:p w14:paraId="7288D79D">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ascii="仿宋_GB2312" w:hAnsi="仿宋_GB2312" w:eastAsia="仿宋_GB2312" w:cs="仿宋_GB2312"/>
          <w:color w:val="auto"/>
          <w:sz w:val="32"/>
          <w:szCs w:val="32"/>
          <w:highlight w:val="none"/>
        </w:rPr>
        <w:t>根据法律或有权的行政管理单位、法院或法庭的要求而进行的披露；</w:t>
      </w:r>
    </w:p>
    <w:p w14:paraId="11984595">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ascii="仿宋_GB2312" w:hAnsi="仿宋_GB2312" w:eastAsia="仿宋_GB2312" w:cs="仿宋_GB2312"/>
          <w:color w:val="auto"/>
          <w:sz w:val="32"/>
          <w:szCs w:val="32"/>
          <w:highlight w:val="none"/>
        </w:rPr>
        <w:t>属于公有领域的信息（并非违反本合同而形成的结果）</w:t>
      </w:r>
      <w:r>
        <w:rPr>
          <w:rFonts w:hint="eastAsia" w:ascii="仿宋_GB2312" w:hAnsi="仿宋_GB2312" w:eastAsia="仿宋_GB2312" w:cs="仿宋_GB2312"/>
          <w:color w:val="auto"/>
          <w:sz w:val="32"/>
          <w:szCs w:val="32"/>
          <w:highlight w:val="none"/>
        </w:rPr>
        <w:t>。</w:t>
      </w:r>
    </w:p>
    <w:p w14:paraId="6BFDDD76">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ascii="仿宋_GB2312" w:hAnsi="仿宋_GB2312" w:eastAsia="仿宋_GB2312" w:cs="仿宋_GB2312"/>
          <w:color w:val="auto"/>
          <w:sz w:val="32"/>
          <w:szCs w:val="32"/>
          <w:highlight w:val="none"/>
        </w:rPr>
        <w:t>在讨论、签订、执行本合同的过程中，双方保证对所获悉的属于对方的且无法自公开渠道获得的文件及资料（包括但不限于商业秘密、公司计划、运营活动、财务信息、技术信息、经营信息及其他商业秘密）予以保密。未经该资料和文件的提供方书面同意，另一方不得向任何第三方泄露该商业秘密的全部或部分内容。但</w:t>
      </w:r>
      <w:r>
        <w:rPr>
          <w:rFonts w:hint="eastAsia" w:ascii="仿宋_GB2312" w:hAnsi="仿宋_GB2312" w:eastAsia="仿宋_GB2312" w:cs="仿宋_GB2312"/>
          <w:color w:val="auto"/>
          <w:sz w:val="32"/>
          <w:szCs w:val="32"/>
          <w:highlight w:val="none"/>
        </w:rPr>
        <w:t>法律法规</w:t>
      </w:r>
      <w:r>
        <w:rPr>
          <w:rFonts w:ascii="仿宋_GB2312" w:hAnsi="仿宋_GB2312" w:eastAsia="仿宋_GB2312" w:cs="仿宋_GB2312"/>
          <w:color w:val="auto"/>
          <w:sz w:val="32"/>
          <w:szCs w:val="32"/>
          <w:highlight w:val="none"/>
        </w:rPr>
        <w:t>另有规定或双方另有约定的除外。保密期限直至该等保密信息进入公共领域为止。</w:t>
      </w:r>
    </w:p>
    <w:p w14:paraId="4E2B0FCB">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ascii="仿宋_GB2312" w:hAnsi="仿宋_GB2312" w:eastAsia="仿宋_GB2312" w:cs="仿宋_GB2312"/>
          <w:color w:val="auto"/>
          <w:sz w:val="32"/>
          <w:szCs w:val="32"/>
          <w:highlight w:val="none"/>
        </w:rPr>
        <w:t>保密条款系独立条款，不因本合同未生效、被撤销、变更、解除或终止而无效。</w:t>
      </w:r>
    </w:p>
    <w:p w14:paraId="39C5A557">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乙方及其服务工作人员需与</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lang w:eastAsia="zh-CN"/>
        </w:rPr>
        <w:t>签署服务保密协议，乙方及服务工作人员应遵守国家保密法规和</w:t>
      </w:r>
      <w:r>
        <w:rPr>
          <w:rFonts w:hint="eastAsia" w:ascii="仿宋_GB2312" w:hAnsi="仿宋_GB2312" w:eastAsia="仿宋_GB2312" w:cs="仿宋_GB2312"/>
          <w:color w:val="auto"/>
          <w:sz w:val="32"/>
          <w:szCs w:val="32"/>
          <w:highlight w:val="none"/>
          <w:lang w:val="en-US" w:eastAsia="zh-CN"/>
        </w:rPr>
        <w:t>甲方的</w:t>
      </w:r>
      <w:r>
        <w:rPr>
          <w:rFonts w:hint="eastAsia" w:ascii="仿宋_GB2312" w:hAnsi="仿宋_GB2312" w:eastAsia="仿宋_GB2312" w:cs="仿宋_GB2312"/>
          <w:color w:val="auto"/>
          <w:sz w:val="32"/>
          <w:szCs w:val="32"/>
          <w:highlight w:val="none"/>
          <w:lang w:eastAsia="zh-CN"/>
        </w:rPr>
        <w:t>相关保密规定，认真遵守履行保密义务，采取切实可行的措施保障</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lang w:eastAsia="zh-CN"/>
        </w:rPr>
        <w:t>的业务系统、网络与信息安全。</w:t>
      </w:r>
    </w:p>
    <w:p w14:paraId="05089C48">
      <w:pPr>
        <w:spacing w:line="560" w:lineRule="exact"/>
        <w:ind w:firstLine="640" w:firstLineChars="200"/>
        <w:outlineLvl w:val="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十四、</w:t>
      </w:r>
      <w:r>
        <w:rPr>
          <w:rFonts w:hint="eastAsia" w:ascii="黑体" w:hAnsi="黑体" w:eastAsia="黑体" w:cs="黑体"/>
          <w:color w:val="auto"/>
          <w:sz w:val="32"/>
          <w:szCs w:val="32"/>
          <w:highlight w:val="none"/>
        </w:rPr>
        <w:t>免责条款</w:t>
      </w:r>
    </w:p>
    <w:p w14:paraId="01E23836">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本合同所称不可抗力，是指本合同各方不可预见，而且对其发生和产生的后果不能预防或不可避免且不可克服的客观情况，包括但不限于：战争、严重火灾、洪水、台风、地震、国家政策的重大变化等。</w:t>
      </w:r>
    </w:p>
    <w:p w14:paraId="2CA6064A">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本合同任何一方因不可抗力不能履行或不能完全履行本合同的义务时，应在不可抗力发生之日起[7]日内通知本合同的其他方，并在不可抗力发生之日起[15]日内向其他方提供由有关部门出具的不可抗力证明。</w:t>
      </w:r>
    </w:p>
    <w:p w14:paraId="5D0CCE9D">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因不可抗力不能履行合同的，根据不可抗力的影响，受影响方可免除部分或全部责任，但法律另有规定的除外，延迟履行合同后发生不可抗力的，不能免除责任。</w:t>
      </w:r>
    </w:p>
    <w:p w14:paraId="54274D5F">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如果因不可抗力的影响致使本合同终止履行的，任何一方均有权终止本合同，并书面通知对方。</w:t>
      </w:r>
    </w:p>
    <w:p w14:paraId="5E661497">
      <w:pPr>
        <w:spacing w:line="560" w:lineRule="exact"/>
        <w:ind w:firstLine="640" w:firstLineChars="200"/>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十五、</w:t>
      </w:r>
      <w:r>
        <w:rPr>
          <w:rFonts w:hint="eastAsia" w:ascii="黑体" w:hAnsi="黑体" w:eastAsia="黑体" w:cs="黑体"/>
          <w:color w:val="auto"/>
          <w:sz w:val="32"/>
          <w:szCs w:val="32"/>
          <w:highlight w:val="none"/>
        </w:rPr>
        <w:t>争议解决</w:t>
      </w:r>
    </w:p>
    <w:p w14:paraId="178B5FB0">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凡因本合同引起的或与本合同有关的任何争议，双方均应友好协商；协商不成的，通过下列第[</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]种方式解决：</w:t>
      </w:r>
    </w:p>
    <w:p w14:paraId="03527BFE">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（1）临时仲裁</w:t>
      </w:r>
    </w:p>
    <w:p w14:paraId="0F4882DF">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通过仲裁方式解决，仲裁地位于海南自由贸易港，适用海南省仲裁协会《海南自由贸易港临时仲裁规则》。特别约定：</w:t>
      </w:r>
    </w:p>
    <w:p w14:paraId="03CFD856">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1.1指定机构为【海南省仲裁协会】</w:t>
      </w:r>
    </w:p>
    <w:p w14:paraId="36F77C39">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1.2仲裁员人数为【】</w:t>
      </w:r>
    </w:p>
    <w:p w14:paraId="5717412C">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1.3仲裁语言为【】</w:t>
      </w:r>
    </w:p>
    <w:p w14:paraId="17217BF9">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1.4合同所适用实体法为【】</w:t>
      </w:r>
    </w:p>
    <w:p w14:paraId="5C896620">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（注：当事人可就以上事项作特别约定。仲裁裁决是终局的，对双方均有约束力。）</w:t>
      </w:r>
    </w:p>
    <w:p w14:paraId="61B3F064">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（2）机构仲裁</w:t>
      </w:r>
    </w:p>
    <w:p w14:paraId="3B7AEE84">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提交海南国际仲裁院，按照该机构现行有效仲裁规则进行仲裁。仲裁裁决是终局的，对双方均有约束力。</w:t>
      </w:r>
    </w:p>
    <w:p w14:paraId="17716915">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（3）向[甲方]所在地有管辖权的人民法院提起诉讼。</w:t>
      </w:r>
    </w:p>
    <w:p w14:paraId="1E6DCB72">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合同有关争议解决的条款独立存在，合同的变更、解除、终止、无效或者被撤销均不影响其效力。在诉讼期间，除正在进行诉讼的部分外，合同其它部分应继续执行。</w:t>
      </w:r>
    </w:p>
    <w:p w14:paraId="5C830713">
      <w:pPr>
        <w:spacing w:line="560" w:lineRule="exact"/>
        <w:ind w:firstLine="640" w:firstLineChars="200"/>
        <w:outlineLvl w:val="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十六、</w:t>
      </w:r>
      <w:r>
        <w:rPr>
          <w:rFonts w:hint="eastAsia" w:ascii="黑体" w:hAnsi="黑体" w:eastAsia="黑体" w:cs="黑体"/>
          <w:color w:val="auto"/>
          <w:sz w:val="32"/>
          <w:szCs w:val="32"/>
          <w:highlight w:val="none"/>
        </w:rPr>
        <w:t>通知与送达</w:t>
      </w:r>
    </w:p>
    <w:p w14:paraId="6A6B589C">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甲乙</w:t>
      </w:r>
      <w:r>
        <w:rPr>
          <w:rFonts w:ascii="仿宋_GB2312" w:hAnsi="仿宋_GB2312" w:eastAsia="仿宋_GB2312" w:cs="仿宋_GB2312"/>
          <w:color w:val="auto"/>
          <w:sz w:val="32"/>
          <w:szCs w:val="32"/>
          <w:highlight w:val="none"/>
        </w:rPr>
        <w:t>双方确认各自的合法有效送达地址及联系方式如下（合同履行及争议解决过程中均可按照下列方式进行送达）：</w:t>
      </w:r>
    </w:p>
    <w:p w14:paraId="12B9F344">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val="en-US" w:eastAsia="zh-CN"/>
        </w:rPr>
        <w:t>海口市产业发展投资集团有限公司</w:t>
      </w:r>
    </w:p>
    <w:p w14:paraId="62C63EEF">
      <w:pPr>
        <w:spacing w:line="560" w:lineRule="exact"/>
        <w:ind w:firstLine="640" w:firstLineChars="200"/>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送达地址：</w:t>
      </w:r>
      <w:r>
        <w:rPr>
          <w:rFonts w:hint="eastAsia" w:ascii="仿宋_GB2312" w:hAnsi="仿宋_GB2312" w:eastAsia="仿宋_GB2312" w:cs="仿宋_GB2312"/>
          <w:color w:val="auto"/>
          <w:sz w:val="32"/>
          <w:szCs w:val="32"/>
          <w:highlight w:val="none"/>
        </w:rPr>
        <w:t>海南省海口市江东新区江东大道202号江东大厦B座3层</w:t>
      </w:r>
    </w:p>
    <w:p w14:paraId="0126B2C6">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ascii="仿宋_GB2312" w:hAnsi="仿宋_GB2312" w:eastAsia="仿宋_GB2312" w:cs="仿宋_GB2312"/>
          <w:color w:val="auto"/>
          <w:sz w:val="32"/>
          <w:szCs w:val="32"/>
          <w:highlight w:val="none"/>
        </w:rPr>
        <w:t>收件人：</w:t>
      </w:r>
      <w:r>
        <w:rPr>
          <w:rFonts w:hint="eastAsia" w:ascii="仿宋_GB2312" w:hAnsi="仿宋_GB2312" w:eastAsia="仿宋_GB2312" w:cs="仿宋_GB2312"/>
          <w:color w:val="auto"/>
          <w:sz w:val="32"/>
          <w:szCs w:val="32"/>
          <w:highlight w:val="none"/>
          <w:lang w:val="en-US" w:eastAsia="zh-CN"/>
        </w:rPr>
        <w:t>沈磊</w:t>
      </w:r>
    </w:p>
    <w:p w14:paraId="20D95DA9">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ascii="仿宋_GB2312" w:hAnsi="仿宋_GB2312" w:eastAsia="仿宋_GB2312" w:cs="仿宋_GB2312"/>
          <w:color w:val="auto"/>
          <w:sz w:val="32"/>
          <w:szCs w:val="32"/>
          <w:highlight w:val="none"/>
        </w:rPr>
        <w:t>联系方式：</w:t>
      </w:r>
      <w:r>
        <w:rPr>
          <w:rFonts w:hint="eastAsia" w:ascii="仿宋_GB2312" w:hAnsi="仿宋_GB2312" w:eastAsia="仿宋_GB2312" w:cs="仿宋_GB2312"/>
          <w:color w:val="auto"/>
          <w:sz w:val="32"/>
          <w:szCs w:val="32"/>
          <w:highlight w:val="none"/>
          <w:lang w:val="en-US" w:eastAsia="zh-CN"/>
        </w:rPr>
        <w:t>0898-31908501</w:t>
      </w:r>
    </w:p>
    <w:p w14:paraId="756E62CD">
      <w:pPr>
        <w:spacing w:line="560" w:lineRule="exact"/>
        <w:ind w:firstLine="640" w:firstLineChars="200"/>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乙方：</w:t>
      </w:r>
    </w:p>
    <w:p w14:paraId="7241A608">
      <w:pPr>
        <w:spacing w:line="560" w:lineRule="exact"/>
        <w:ind w:firstLine="640" w:firstLineChars="200"/>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送达地址：</w:t>
      </w:r>
    </w:p>
    <w:p w14:paraId="3EDB0890">
      <w:pPr>
        <w:spacing w:line="560" w:lineRule="exact"/>
        <w:ind w:firstLine="640" w:firstLineChars="200"/>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收件人：</w:t>
      </w:r>
    </w:p>
    <w:p w14:paraId="0E807442">
      <w:pPr>
        <w:spacing w:line="560" w:lineRule="exact"/>
        <w:ind w:firstLine="640" w:firstLineChars="200"/>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联系方式：</w:t>
      </w:r>
    </w:p>
    <w:p w14:paraId="609BF118">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ascii="仿宋_GB2312" w:hAnsi="仿宋_GB2312" w:eastAsia="仿宋_GB2312" w:cs="仿宋_GB2312"/>
          <w:color w:val="auto"/>
          <w:sz w:val="32"/>
          <w:szCs w:val="32"/>
          <w:highlight w:val="none"/>
        </w:rPr>
        <w:t>一方变更名称、地址、联系人或联系方式的，应当在变更后</w:t>
      </w:r>
      <w:r>
        <w:rPr>
          <w:rFonts w:hint="eastAsia" w:ascii="仿宋_GB2312" w:hAnsi="仿宋_GB2312" w:eastAsia="仿宋_GB2312" w:cs="仿宋_GB2312"/>
          <w:color w:val="auto"/>
          <w:sz w:val="32"/>
          <w:szCs w:val="32"/>
          <w:highlight w:val="none"/>
        </w:rPr>
        <w:t>[2]</w:t>
      </w:r>
      <w:r>
        <w:rPr>
          <w:rFonts w:ascii="仿宋_GB2312" w:hAnsi="仿宋_GB2312" w:eastAsia="仿宋_GB2312" w:cs="仿宋_GB2312"/>
          <w:color w:val="auto"/>
          <w:sz w:val="32"/>
          <w:szCs w:val="32"/>
          <w:highlight w:val="none"/>
        </w:rPr>
        <w:t>日内及时书面通知对方当事人，对方当事人实际收到变更通知前的送达仍为有效送达，</w:t>
      </w:r>
      <w:r>
        <w:rPr>
          <w:rFonts w:hint="eastAsia" w:ascii="仿宋_GB2312" w:hAnsi="仿宋_GB2312" w:eastAsia="仿宋_GB2312" w:cs="仿宋_GB2312"/>
          <w:color w:val="auto"/>
          <w:sz w:val="32"/>
          <w:szCs w:val="32"/>
          <w:highlight w:val="none"/>
        </w:rPr>
        <w:t>电子</w:t>
      </w:r>
      <w:r>
        <w:rPr>
          <w:rFonts w:ascii="仿宋_GB2312" w:hAnsi="仿宋_GB2312" w:eastAsia="仿宋_GB2312" w:cs="仿宋_GB2312"/>
          <w:color w:val="auto"/>
          <w:sz w:val="32"/>
          <w:szCs w:val="32"/>
          <w:highlight w:val="none"/>
        </w:rPr>
        <w:t>送达与书面送达具有同等法律效力。变更方未及时通知的，对方当事人按照变更前的信息进行送达的仍视为有效送达，因此产生的不利后果由变更方承担。</w:t>
      </w:r>
    </w:p>
    <w:p w14:paraId="33806F30">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ascii="仿宋_GB2312" w:hAnsi="仿宋_GB2312" w:eastAsia="仿宋_GB2312" w:cs="仿宋_GB2312"/>
          <w:color w:val="auto"/>
          <w:sz w:val="32"/>
          <w:szCs w:val="32"/>
          <w:highlight w:val="none"/>
        </w:rPr>
        <w:t>一方向另一方送达文件，以被送达方的签收日期作为送达日期。通过快递方式送达的，以快递签收日期为送达</w:t>
      </w:r>
      <w:r>
        <w:rPr>
          <w:rFonts w:hint="eastAsia" w:ascii="仿宋_GB2312" w:hAnsi="仿宋_GB2312" w:eastAsia="仿宋_GB2312" w:cs="仿宋_GB2312"/>
          <w:color w:val="auto"/>
          <w:sz w:val="32"/>
          <w:szCs w:val="32"/>
          <w:highlight w:val="none"/>
        </w:rPr>
        <w:t>日期</w:t>
      </w:r>
      <w:r>
        <w:rPr>
          <w:rFonts w:ascii="仿宋_GB2312" w:hAnsi="仿宋_GB2312" w:eastAsia="仿宋_GB2312" w:cs="仿宋_GB2312"/>
          <w:color w:val="auto"/>
          <w:sz w:val="32"/>
          <w:szCs w:val="32"/>
          <w:highlight w:val="none"/>
        </w:rPr>
        <w:t>。被送达方拒收或无法送达的，由交邮后第</w:t>
      </w:r>
      <w:r>
        <w:rPr>
          <w:rFonts w:hint="eastAsia" w:ascii="仿宋_GB2312" w:hAnsi="仿宋_GB2312" w:eastAsia="仿宋_GB2312" w:cs="仿宋_GB2312"/>
          <w:color w:val="auto"/>
          <w:sz w:val="32"/>
          <w:szCs w:val="32"/>
          <w:highlight w:val="none"/>
          <w:u w:val="single"/>
          <w:lang w:val="en-US" w:eastAsia="zh-CN"/>
        </w:rPr>
        <w:t xml:space="preserve">  </w:t>
      </w:r>
      <w:r>
        <w:rPr>
          <w:rFonts w:ascii="仿宋_GB2312" w:hAnsi="仿宋_GB2312" w:eastAsia="仿宋_GB2312" w:cs="仿宋_GB2312"/>
          <w:color w:val="auto"/>
          <w:sz w:val="32"/>
          <w:szCs w:val="32"/>
          <w:highlight w:val="none"/>
        </w:rPr>
        <w:t>日视为已经送达。通过电子文件送达的，自前述电子文件内容在发送方正确填写地址</w:t>
      </w:r>
      <w:r>
        <w:rPr>
          <w:rFonts w:hint="eastAsia" w:ascii="仿宋_GB2312" w:hAnsi="仿宋_GB2312" w:eastAsia="仿宋_GB2312" w:cs="仿宋_GB2312"/>
          <w:color w:val="auto"/>
          <w:sz w:val="32"/>
          <w:szCs w:val="32"/>
          <w:highlight w:val="none"/>
        </w:rPr>
        <w:t>且</w:t>
      </w:r>
      <w:r>
        <w:rPr>
          <w:rFonts w:ascii="仿宋_GB2312" w:hAnsi="仿宋_GB2312" w:eastAsia="仿宋_GB2312" w:cs="仿宋_GB2312"/>
          <w:color w:val="auto"/>
          <w:sz w:val="32"/>
          <w:szCs w:val="32"/>
          <w:highlight w:val="none"/>
        </w:rPr>
        <w:t>被系统退回的情况下，自文件进入对方数据电文接收系统即视为送达，若送达日为非工作日，则在下一个工作日视为已经送达。</w:t>
      </w:r>
    </w:p>
    <w:p w14:paraId="7CCFDE5C">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ascii="仿宋_GB2312" w:hAnsi="仿宋_GB2312" w:eastAsia="仿宋_GB2312" w:cs="仿宋_GB2312"/>
          <w:color w:val="auto"/>
          <w:sz w:val="32"/>
          <w:szCs w:val="32"/>
          <w:highlight w:val="none"/>
        </w:rPr>
        <w:t>本条款为独立系款，不受合同整体或其他</w:t>
      </w:r>
      <w:r>
        <w:rPr>
          <w:rFonts w:hint="eastAsia" w:ascii="仿宋_GB2312" w:hAnsi="仿宋_GB2312" w:eastAsia="仿宋_GB2312" w:cs="仿宋_GB2312"/>
          <w:color w:val="auto"/>
          <w:sz w:val="32"/>
          <w:szCs w:val="32"/>
          <w:highlight w:val="none"/>
        </w:rPr>
        <w:t>条款</w:t>
      </w:r>
      <w:r>
        <w:rPr>
          <w:rFonts w:ascii="仿宋_GB2312" w:hAnsi="仿宋_GB2312" w:eastAsia="仿宋_GB2312" w:cs="仿宋_GB2312"/>
          <w:color w:val="auto"/>
          <w:sz w:val="32"/>
          <w:szCs w:val="32"/>
          <w:highlight w:val="none"/>
        </w:rPr>
        <w:t>的效力的影响，始终有效。</w:t>
      </w:r>
    </w:p>
    <w:p w14:paraId="0774064C">
      <w:pPr>
        <w:spacing w:line="560" w:lineRule="exact"/>
        <w:ind w:firstLine="640" w:firstLineChars="200"/>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十七、</w:t>
      </w:r>
      <w:r>
        <w:rPr>
          <w:rFonts w:hint="eastAsia" w:ascii="黑体" w:hAnsi="黑体" w:eastAsia="黑体" w:cs="黑体"/>
          <w:color w:val="auto"/>
          <w:sz w:val="32"/>
          <w:szCs w:val="32"/>
          <w:highlight w:val="none"/>
        </w:rPr>
        <w:t>本合同的组成文件</w:t>
      </w:r>
    </w:p>
    <w:p w14:paraId="223C9692">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本协议书与下列文件一起构成合同文件：</w:t>
      </w:r>
    </w:p>
    <w:p w14:paraId="64FF411D">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本项目的竞价比选文件</w:t>
      </w:r>
      <w:r>
        <w:rPr>
          <w:rFonts w:hint="eastAsia" w:ascii="仿宋_GB2312" w:hAnsi="仿宋_GB2312" w:eastAsia="仿宋_GB2312" w:cs="仿宋_GB2312"/>
          <w:color w:val="auto"/>
          <w:sz w:val="32"/>
          <w:szCs w:val="32"/>
          <w:highlight w:val="none"/>
          <w:lang w:eastAsia="zh-CN"/>
        </w:rPr>
        <w:t>；</w:t>
      </w:r>
    </w:p>
    <w:p w14:paraId="42D9A585">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二）本项目的投标响应文件</w:t>
      </w:r>
      <w:r>
        <w:rPr>
          <w:rFonts w:hint="eastAsia" w:ascii="仿宋_GB2312" w:hAnsi="仿宋_GB2312" w:eastAsia="仿宋_GB2312" w:cs="仿宋_GB2312"/>
          <w:color w:val="auto"/>
          <w:sz w:val="32"/>
          <w:szCs w:val="32"/>
          <w:highlight w:val="none"/>
          <w:lang w:eastAsia="zh-CN"/>
        </w:rPr>
        <w:t>；</w:t>
      </w:r>
    </w:p>
    <w:p w14:paraId="5B29C12C">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甲乙双方商定的其他必要文件。</w:t>
      </w:r>
    </w:p>
    <w:p w14:paraId="2B100958">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上述合同文件内容互为补充，如有不明确，由甲方负责解释。当</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lang w:eastAsia="zh-CN"/>
        </w:rPr>
        <w:t>因相互之间的文书材料或通讯联络出现冲突、矛盾或不一致时，</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lang w:eastAsia="zh-CN"/>
        </w:rPr>
        <w:t>享有最终解释权及决定权。</w:t>
      </w:r>
    </w:p>
    <w:p w14:paraId="1E28750B">
      <w:pPr>
        <w:spacing w:line="560" w:lineRule="exact"/>
        <w:ind w:firstLine="640" w:firstLineChars="200"/>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十八、</w:t>
      </w:r>
      <w:r>
        <w:rPr>
          <w:rFonts w:hint="eastAsia" w:ascii="黑体" w:hAnsi="黑体" w:eastAsia="黑体" w:cs="黑体"/>
          <w:color w:val="auto"/>
          <w:sz w:val="32"/>
          <w:szCs w:val="32"/>
          <w:highlight w:val="none"/>
        </w:rPr>
        <w:t>其他</w:t>
      </w:r>
    </w:p>
    <w:p w14:paraId="76ECF570">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本合同未尽事宜，双方可另行签订补充协议，补充协议与本合同具有同等法律效力。</w:t>
      </w:r>
    </w:p>
    <w:p w14:paraId="1834DEFF">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本合同自双方法定代表人或授权代表人签字并盖章之日起生效。</w:t>
      </w:r>
    </w:p>
    <w:p w14:paraId="395E874A">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本合同一式陆份，由甲方执肆份，乙方执贰份，具有同等法律效力。</w:t>
      </w:r>
    </w:p>
    <w:p w14:paraId="59355655">
      <w:pPr>
        <w:pStyle w:val="2"/>
        <w:rPr>
          <w:rFonts w:hint="eastAsia" w:ascii="仿宋_GB2312" w:hAnsi="仿宋_GB2312" w:eastAsia="仿宋_GB2312" w:cs="仿宋_GB2312"/>
          <w:color w:val="auto"/>
          <w:sz w:val="32"/>
          <w:szCs w:val="32"/>
          <w:highlight w:val="none"/>
        </w:rPr>
      </w:pPr>
    </w:p>
    <w:p w14:paraId="1048296F">
      <w:pPr>
        <w:pStyle w:val="2"/>
        <w:rPr>
          <w:rFonts w:hint="eastAsia" w:ascii="仿宋_GB2312" w:hAnsi="仿宋_GB2312" w:eastAsia="仿宋_GB2312" w:cs="仿宋_GB2312"/>
          <w:color w:val="auto"/>
          <w:sz w:val="32"/>
          <w:szCs w:val="32"/>
          <w:highlight w:val="none"/>
        </w:rPr>
      </w:pPr>
    </w:p>
    <w:p w14:paraId="650CD338">
      <w:pPr>
        <w:pStyle w:val="2"/>
        <w:rPr>
          <w:rFonts w:hint="eastAsia" w:ascii="仿宋_GB2312" w:hAnsi="仿宋_GB2312" w:eastAsia="仿宋_GB2312" w:cs="仿宋_GB2312"/>
          <w:color w:val="auto"/>
          <w:sz w:val="32"/>
          <w:szCs w:val="32"/>
          <w:highlight w:val="none"/>
        </w:rPr>
      </w:pPr>
    </w:p>
    <w:p w14:paraId="30CEAC23">
      <w:pPr>
        <w:pStyle w:val="2"/>
        <w:rPr>
          <w:rFonts w:hint="eastAsia" w:ascii="仿宋_GB2312" w:hAnsi="仿宋_GB2312" w:eastAsia="仿宋_GB2312" w:cs="仿宋_GB2312"/>
          <w:color w:val="auto"/>
          <w:sz w:val="32"/>
          <w:szCs w:val="32"/>
          <w:highlight w:val="none"/>
        </w:rPr>
      </w:pPr>
    </w:p>
    <w:p w14:paraId="2C004FC4">
      <w:pPr>
        <w:pStyle w:val="2"/>
        <w:rPr>
          <w:rFonts w:hint="eastAsia" w:ascii="仿宋_GB2312" w:hAnsi="仿宋_GB2312" w:eastAsia="仿宋_GB2312" w:cs="仿宋_GB2312"/>
          <w:color w:val="auto"/>
          <w:sz w:val="32"/>
          <w:szCs w:val="32"/>
          <w:highlight w:val="none"/>
        </w:rPr>
      </w:pPr>
    </w:p>
    <w:p w14:paraId="185F3D5C">
      <w:pPr>
        <w:pStyle w:val="7"/>
        <w:keepNext w:val="0"/>
        <w:keepLines w:val="0"/>
        <w:pageBreakBefore w:val="0"/>
        <w:wordWrap/>
        <w:topLinePunct w:val="0"/>
        <w:bidi w:val="0"/>
        <w:spacing w:line="560" w:lineRule="exact"/>
        <w:jc w:val="both"/>
        <w:rPr>
          <w:rFonts w:ascii="仿宋_GB2312" w:hAnsi="仿宋_GB2312" w:eastAsia="仿宋_GB2312" w:cs="仿宋_GB2312"/>
          <w:color w:val="auto"/>
          <w:spacing w:val="-5"/>
          <w:sz w:val="32"/>
          <w:szCs w:val="32"/>
          <w:highlight w:val="none"/>
        </w:rPr>
      </w:pPr>
      <w:r>
        <w:rPr>
          <w:rFonts w:hint="eastAsia" w:ascii="仿宋_GB2312" w:hAnsi="仿宋_GB2312" w:eastAsia="仿宋_GB2312" w:cs="仿宋_GB2312"/>
          <w:color w:val="auto"/>
          <w:spacing w:val="-5"/>
          <w:sz w:val="32"/>
          <w:szCs w:val="32"/>
          <w:highlight w:val="none"/>
        </w:rPr>
        <w:t>（</w:t>
      </w:r>
      <w:r>
        <w:rPr>
          <w:rFonts w:hint="eastAsia" w:ascii="仿宋_GB2312" w:hAnsi="仿宋_GB2312" w:eastAsia="仿宋_GB2312" w:cs="仿宋_GB2312"/>
          <w:color w:val="auto"/>
          <w:spacing w:val="-5"/>
          <w:sz w:val="32"/>
          <w:szCs w:val="32"/>
          <w:highlight w:val="none"/>
          <w:lang w:val="en-US"/>
        </w:rPr>
        <w:t>以下无正文，为签署页</w:t>
      </w:r>
      <w:r>
        <w:rPr>
          <w:rFonts w:hint="eastAsia" w:ascii="仿宋_GB2312" w:hAnsi="仿宋_GB2312" w:eastAsia="仿宋_GB2312" w:cs="仿宋_GB2312"/>
          <w:color w:val="auto"/>
          <w:spacing w:val="-5"/>
          <w:sz w:val="32"/>
          <w:szCs w:val="32"/>
          <w:highlight w:val="none"/>
        </w:rPr>
        <w:t>）</w:t>
      </w:r>
    </w:p>
    <w:p w14:paraId="47F1DA0A">
      <w:pPr>
        <w:pStyle w:val="7"/>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rPr>
      </w:pPr>
    </w:p>
    <w:p w14:paraId="7149B71A">
      <w:pPr>
        <w:pStyle w:val="7"/>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rPr>
      </w:pPr>
    </w:p>
    <w:p w14:paraId="51AE1626">
      <w:pPr>
        <w:pStyle w:val="7"/>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rPr>
      </w:pPr>
    </w:p>
    <w:p w14:paraId="6E048389">
      <w:pPr>
        <w:pStyle w:val="7"/>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rPr>
      </w:pPr>
    </w:p>
    <w:p w14:paraId="4D81E956">
      <w:pPr>
        <w:pStyle w:val="7"/>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rPr>
      </w:pPr>
    </w:p>
    <w:p w14:paraId="5D431640">
      <w:pPr>
        <w:pStyle w:val="7"/>
        <w:keepNext w:val="0"/>
        <w:keepLines w:val="0"/>
        <w:pageBreakBefore w:val="0"/>
        <w:wordWrap/>
        <w:topLinePunct w:val="0"/>
        <w:bidi w:val="0"/>
        <w:spacing w:line="560" w:lineRule="exact"/>
        <w:ind w:firstLine="620" w:firstLineChars="200"/>
        <w:jc w:val="both"/>
        <w:rPr>
          <w:rFonts w:hint="eastAsia" w:ascii="仿宋_GB2312" w:hAnsi="仿宋_GB2312" w:eastAsia="仿宋_GB2312" w:cs="仿宋_GB2312"/>
          <w:color w:val="auto"/>
          <w:spacing w:val="-5"/>
          <w:sz w:val="32"/>
          <w:szCs w:val="32"/>
          <w:highlight w:val="none"/>
          <w:lang w:val="en-US" w:eastAsia="zh-CN"/>
        </w:rPr>
      </w:pPr>
      <w:r>
        <w:rPr>
          <w:rFonts w:hint="eastAsia" w:ascii="仿宋_GB2312" w:hAnsi="仿宋_GB2312" w:eastAsia="仿宋_GB2312" w:cs="仿宋_GB2312"/>
          <w:color w:val="auto"/>
          <w:spacing w:val="-5"/>
          <w:sz w:val="32"/>
          <w:szCs w:val="32"/>
          <w:highlight w:val="none"/>
        </w:rPr>
        <w:t>甲方：</w:t>
      </w:r>
      <w:r>
        <w:rPr>
          <w:rFonts w:hint="eastAsia" w:ascii="仿宋_GB2312" w:hAnsi="仿宋_GB2312" w:eastAsia="仿宋_GB2312" w:cs="仿宋_GB2312"/>
          <w:color w:val="auto"/>
          <w:spacing w:val="-5"/>
          <w:sz w:val="32"/>
          <w:szCs w:val="32"/>
          <w:highlight w:val="none"/>
          <w:lang w:val="en-US" w:eastAsia="zh-CN"/>
        </w:rPr>
        <w:t xml:space="preserve"> </w:t>
      </w:r>
    </w:p>
    <w:p w14:paraId="3C068326">
      <w:pPr>
        <w:pStyle w:val="7"/>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rPr>
      </w:pPr>
      <w:r>
        <w:rPr>
          <w:rFonts w:hint="eastAsia" w:ascii="仿宋_GB2312" w:hAnsi="仿宋_GB2312" w:eastAsia="仿宋_GB2312" w:cs="仿宋_GB2312"/>
          <w:color w:val="auto"/>
          <w:spacing w:val="-5"/>
          <w:sz w:val="32"/>
          <w:szCs w:val="32"/>
          <w:highlight w:val="none"/>
        </w:rPr>
        <w:t>法定代表</w:t>
      </w:r>
      <w:r>
        <w:rPr>
          <w:rFonts w:hint="eastAsia" w:ascii="仿宋_GB2312" w:hAnsi="仿宋_GB2312" w:eastAsia="仿宋_GB2312" w:cs="仿宋_GB2312"/>
          <w:color w:val="auto"/>
          <w:spacing w:val="-5"/>
          <w:sz w:val="32"/>
          <w:szCs w:val="32"/>
          <w:highlight w:val="none"/>
          <w:lang w:val="en-US"/>
        </w:rPr>
        <w:t>人或</w:t>
      </w:r>
      <w:r>
        <w:rPr>
          <w:rFonts w:hint="eastAsia" w:ascii="仿宋_GB2312" w:hAnsi="仿宋_GB2312" w:eastAsia="仿宋_GB2312" w:cs="仿宋_GB2312"/>
          <w:color w:val="auto"/>
          <w:spacing w:val="-5"/>
          <w:sz w:val="32"/>
          <w:szCs w:val="32"/>
          <w:highlight w:val="none"/>
        </w:rPr>
        <w:t>授权委托人：</w:t>
      </w:r>
    </w:p>
    <w:p w14:paraId="603C495C">
      <w:pPr>
        <w:pStyle w:val="7"/>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lang w:val="en-US"/>
        </w:rPr>
      </w:pPr>
      <w:r>
        <w:rPr>
          <w:rFonts w:hint="eastAsia" w:ascii="仿宋_GB2312" w:hAnsi="仿宋_GB2312" w:eastAsia="仿宋_GB2312" w:cs="仿宋_GB2312"/>
          <w:color w:val="auto"/>
          <w:spacing w:val="-5"/>
          <w:sz w:val="32"/>
          <w:szCs w:val="32"/>
          <w:highlight w:val="none"/>
          <w:lang w:val="en-US"/>
        </w:rPr>
        <w:t>经办人：</w:t>
      </w:r>
    </w:p>
    <w:p w14:paraId="39270E2D">
      <w:pPr>
        <w:pStyle w:val="7"/>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rPr>
      </w:pPr>
      <w:r>
        <w:rPr>
          <w:rFonts w:hint="eastAsia" w:ascii="仿宋_GB2312" w:hAnsi="仿宋_GB2312" w:eastAsia="仿宋_GB2312" w:cs="仿宋_GB2312"/>
          <w:color w:val="auto"/>
          <w:spacing w:val="-5"/>
          <w:sz w:val="32"/>
          <w:szCs w:val="32"/>
          <w:highlight w:val="none"/>
        </w:rPr>
        <w:t>签署</w:t>
      </w:r>
      <w:r>
        <w:rPr>
          <w:rFonts w:hint="eastAsia" w:ascii="仿宋_GB2312" w:hAnsi="仿宋_GB2312" w:eastAsia="仿宋_GB2312" w:cs="仿宋_GB2312"/>
          <w:color w:val="auto"/>
          <w:spacing w:val="-5"/>
          <w:sz w:val="32"/>
          <w:szCs w:val="32"/>
          <w:highlight w:val="none"/>
          <w:lang w:val="en-US"/>
        </w:rPr>
        <w:t>日期</w:t>
      </w:r>
      <w:r>
        <w:rPr>
          <w:rFonts w:hint="eastAsia" w:ascii="仿宋_GB2312" w:hAnsi="仿宋_GB2312" w:eastAsia="仿宋_GB2312" w:cs="仿宋_GB2312"/>
          <w:color w:val="auto"/>
          <w:spacing w:val="-5"/>
          <w:sz w:val="32"/>
          <w:szCs w:val="32"/>
          <w:highlight w:val="none"/>
        </w:rPr>
        <w:t>：</w:t>
      </w:r>
      <w:r>
        <w:rPr>
          <w:rFonts w:hint="eastAsia" w:ascii="仿宋_GB2312" w:hAnsi="仿宋_GB2312" w:eastAsia="仿宋_GB2312" w:cs="仿宋_GB2312"/>
          <w:color w:val="auto"/>
          <w:spacing w:val="-5"/>
          <w:sz w:val="32"/>
          <w:szCs w:val="32"/>
          <w:highlight w:val="none"/>
          <w:lang w:val="en-US"/>
        </w:rPr>
        <w:t xml:space="preserve">  </w:t>
      </w:r>
      <w:r>
        <w:rPr>
          <w:rFonts w:hint="eastAsia" w:ascii="仿宋_GB2312" w:hAnsi="仿宋_GB2312" w:eastAsia="仿宋_GB2312" w:cs="仿宋_GB2312"/>
          <w:color w:val="auto"/>
          <w:spacing w:val="-5"/>
          <w:sz w:val="32"/>
          <w:szCs w:val="32"/>
          <w:highlight w:val="none"/>
        </w:rPr>
        <w:t>年</w:t>
      </w:r>
      <w:r>
        <w:rPr>
          <w:rFonts w:hint="eastAsia" w:ascii="仿宋_GB2312" w:hAnsi="仿宋_GB2312" w:eastAsia="仿宋_GB2312" w:cs="仿宋_GB2312"/>
          <w:color w:val="auto"/>
          <w:spacing w:val="-5"/>
          <w:sz w:val="32"/>
          <w:szCs w:val="32"/>
          <w:highlight w:val="none"/>
          <w:lang w:val="en-US"/>
        </w:rPr>
        <w:t xml:space="preserve">  </w:t>
      </w:r>
      <w:r>
        <w:rPr>
          <w:rFonts w:hint="eastAsia" w:ascii="仿宋_GB2312" w:hAnsi="仿宋_GB2312" w:eastAsia="仿宋_GB2312" w:cs="仿宋_GB2312"/>
          <w:color w:val="auto"/>
          <w:spacing w:val="-5"/>
          <w:sz w:val="32"/>
          <w:szCs w:val="32"/>
          <w:highlight w:val="none"/>
        </w:rPr>
        <w:t>月</w:t>
      </w:r>
      <w:r>
        <w:rPr>
          <w:rFonts w:hint="eastAsia" w:ascii="仿宋_GB2312" w:hAnsi="仿宋_GB2312" w:eastAsia="仿宋_GB2312" w:cs="仿宋_GB2312"/>
          <w:color w:val="auto"/>
          <w:spacing w:val="-5"/>
          <w:sz w:val="32"/>
          <w:szCs w:val="32"/>
          <w:highlight w:val="none"/>
          <w:lang w:val="en-US"/>
        </w:rPr>
        <w:t xml:space="preserve">  </w:t>
      </w:r>
      <w:r>
        <w:rPr>
          <w:rFonts w:hint="eastAsia" w:ascii="仿宋_GB2312" w:hAnsi="仿宋_GB2312" w:eastAsia="仿宋_GB2312" w:cs="仿宋_GB2312"/>
          <w:color w:val="auto"/>
          <w:spacing w:val="-5"/>
          <w:sz w:val="32"/>
          <w:szCs w:val="32"/>
          <w:highlight w:val="none"/>
        </w:rPr>
        <w:t>日</w:t>
      </w:r>
    </w:p>
    <w:p w14:paraId="28132703">
      <w:pPr>
        <w:pStyle w:val="7"/>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rPr>
      </w:pPr>
    </w:p>
    <w:p w14:paraId="1B6CA10F">
      <w:pPr>
        <w:pStyle w:val="7"/>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rPr>
      </w:pPr>
      <w:r>
        <w:rPr>
          <w:rFonts w:hint="eastAsia" w:ascii="仿宋_GB2312" w:hAnsi="仿宋_GB2312" w:eastAsia="仿宋_GB2312" w:cs="仿宋_GB2312"/>
          <w:color w:val="auto"/>
          <w:spacing w:val="-5"/>
          <w:sz w:val="32"/>
          <w:szCs w:val="32"/>
          <w:highlight w:val="none"/>
        </w:rPr>
        <w:t>乙方：</w:t>
      </w:r>
    </w:p>
    <w:p w14:paraId="683EC56B">
      <w:pPr>
        <w:pStyle w:val="7"/>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rPr>
      </w:pPr>
      <w:r>
        <w:rPr>
          <w:rFonts w:hint="eastAsia" w:ascii="仿宋_GB2312" w:hAnsi="仿宋_GB2312" w:eastAsia="仿宋_GB2312" w:cs="仿宋_GB2312"/>
          <w:color w:val="auto"/>
          <w:spacing w:val="-5"/>
          <w:sz w:val="32"/>
          <w:szCs w:val="32"/>
          <w:highlight w:val="none"/>
        </w:rPr>
        <w:t>法定代表</w:t>
      </w:r>
      <w:r>
        <w:rPr>
          <w:rFonts w:hint="eastAsia" w:ascii="仿宋_GB2312" w:hAnsi="仿宋_GB2312" w:eastAsia="仿宋_GB2312" w:cs="仿宋_GB2312"/>
          <w:color w:val="auto"/>
          <w:spacing w:val="-5"/>
          <w:sz w:val="32"/>
          <w:szCs w:val="32"/>
          <w:highlight w:val="none"/>
          <w:lang w:val="en-US"/>
        </w:rPr>
        <w:t>人或</w:t>
      </w:r>
      <w:r>
        <w:rPr>
          <w:rFonts w:hint="eastAsia" w:ascii="仿宋_GB2312" w:hAnsi="仿宋_GB2312" w:eastAsia="仿宋_GB2312" w:cs="仿宋_GB2312"/>
          <w:color w:val="auto"/>
          <w:spacing w:val="-5"/>
          <w:sz w:val="32"/>
          <w:szCs w:val="32"/>
          <w:highlight w:val="none"/>
        </w:rPr>
        <w:t>授权委托人：</w:t>
      </w:r>
    </w:p>
    <w:p w14:paraId="59DCBB49">
      <w:pPr>
        <w:pStyle w:val="7"/>
        <w:keepNext w:val="0"/>
        <w:keepLines w:val="0"/>
        <w:pageBreakBefore w:val="0"/>
        <w:wordWrap/>
        <w:topLinePunct w:val="0"/>
        <w:bidi w:val="0"/>
        <w:spacing w:line="560" w:lineRule="exact"/>
        <w:ind w:firstLine="620" w:firstLineChars="200"/>
        <w:jc w:val="both"/>
        <w:rPr>
          <w:rFonts w:hint="eastAsia" w:ascii="仿宋_GB2312" w:hAnsi="仿宋_GB2312" w:eastAsia="仿宋_GB2312" w:cs="仿宋_GB2312"/>
          <w:color w:val="auto"/>
          <w:spacing w:val="-5"/>
          <w:sz w:val="32"/>
          <w:szCs w:val="32"/>
          <w:highlight w:val="none"/>
        </w:rPr>
      </w:pPr>
      <w:r>
        <w:rPr>
          <w:rFonts w:hint="eastAsia" w:ascii="仿宋_GB2312" w:hAnsi="仿宋_GB2312" w:eastAsia="仿宋_GB2312" w:cs="仿宋_GB2312"/>
          <w:color w:val="auto"/>
          <w:spacing w:val="-5"/>
          <w:sz w:val="32"/>
          <w:szCs w:val="32"/>
          <w:highlight w:val="none"/>
          <w:lang w:val="en-US"/>
        </w:rPr>
        <w:t>经办人：</w:t>
      </w:r>
    </w:p>
    <w:p w14:paraId="5D716B61">
      <w:pPr>
        <w:pStyle w:val="7"/>
        <w:keepNext w:val="0"/>
        <w:keepLines w:val="0"/>
        <w:pageBreakBefore w:val="0"/>
        <w:wordWrap/>
        <w:topLinePunct w:val="0"/>
        <w:bidi w:val="0"/>
        <w:spacing w:line="560" w:lineRule="exact"/>
        <w:ind w:firstLine="620" w:firstLineChars="200"/>
        <w:jc w:val="both"/>
        <w:rPr>
          <w:rFonts w:ascii="仿宋_GB2312" w:hAnsi="仿宋_GB2312" w:eastAsia="仿宋_GB2312" w:cs="仿宋_GB2312"/>
          <w:color w:val="auto"/>
          <w:spacing w:val="-5"/>
          <w:sz w:val="32"/>
          <w:szCs w:val="32"/>
          <w:highlight w:val="none"/>
        </w:rPr>
      </w:pPr>
      <w:r>
        <w:rPr>
          <w:rFonts w:hint="eastAsia" w:ascii="仿宋_GB2312" w:hAnsi="仿宋_GB2312" w:eastAsia="仿宋_GB2312" w:cs="仿宋_GB2312"/>
          <w:color w:val="auto"/>
          <w:spacing w:val="-5"/>
          <w:sz w:val="32"/>
          <w:szCs w:val="32"/>
          <w:highlight w:val="none"/>
        </w:rPr>
        <w:t>签署</w:t>
      </w:r>
      <w:r>
        <w:rPr>
          <w:rFonts w:hint="eastAsia" w:ascii="仿宋_GB2312" w:hAnsi="仿宋_GB2312" w:eastAsia="仿宋_GB2312" w:cs="仿宋_GB2312"/>
          <w:color w:val="auto"/>
          <w:spacing w:val="-5"/>
          <w:sz w:val="32"/>
          <w:szCs w:val="32"/>
          <w:highlight w:val="none"/>
          <w:lang w:val="en-US"/>
        </w:rPr>
        <w:t>日期</w:t>
      </w:r>
      <w:r>
        <w:rPr>
          <w:rFonts w:hint="eastAsia" w:ascii="仿宋_GB2312" w:hAnsi="仿宋_GB2312" w:eastAsia="仿宋_GB2312" w:cs="仿宋_GB2312"/>
          <w:color w:val="auto"/>
          <w:spacing w:val="-5"/>
          <w:sz w:val="32"/>
          <w:szCs w:val="32"/>
          <w:highlight w:val="none"/>
        </w:rPr>
        <w:t>：</w:t>
      </w:r>
      <w:r>
        <w:rPr>
          <w:rFonts w:hint="eastAsia" w:ascii="仿宋_GB2312" w:hAnsi="仿宋_GB2312" w:eastAsia="仿宋_GB2312" w:cs="仿宋_GB2312"/>
          <w:color w:val="auto"/>
          <w:spacing w:val="-5"/>
          <w:sz w:val="32"/>
          <w:szCs w:val="32"/>
          <w:highlight w:val="none"/>
          <w:lang w:val="en-US"/>
        </w:rPr>
        <w:t xml:space="preserve">  </w:t>
      </w:r>
      <w:r>
        <w:rPr>
          <w:rFonts w:hint="eastAsia" w:ascii="仿宋_GB2312" w:hAnsi="仿宋_GB2312" w:eastAsia="仿宋_GB2312" w:cs="仿宋_GB2312"/>
          <w:color w:val="auto"/>
          <w:spacing w:val="-5"/>
          <w:sz w:val="32"/>
          <w:szCs w:val="32"/>
          <w:highlight w:val="none"/>
        </w:rPr>
        <w:t>年</w:t>
      </w:r>
      <w:r>
        <w:rPr>
          <w:rFonts w:hint="eastAsia" w:ascii="仿宋_GB2312" w:hAnsi="仿宋_GB2312" w:eastAsia="仿宋_GB2312" w:cs="仿宋_GB2312"/>
          <w:color w:val="auto"/>
          <w:spacing w:val="-5"/>
          <w:sz w:val="32"/>
          <w:szCs w:val="32"/>
          <w:highlight w:val="none"/>
          <w:lang w:val="en-US"/>
        </w:rPr>
        <w:t xml:space="preserve">  </w:t>
      </w:r>
      <w:r>
        <w:rPr>
          <w:rFonts w:hint="eastAsia" w:ascii="仿宋_GB2312" w:hAnsi="仿宋_GB2312" w:eastAsia="仿宋_GB2312" w:cs="仿宋_GB2312"/>
          <w:color w:val="auto"/>
          <w:spacing w:val="-5"/>
          <w:sz w:val="32"/>
          <w:szCs w:val="32"/>
          <w:highlight w:val="none"/>
        </w:rPr>
        <w:t>月</w:t>
      </w:r>
      <w:r>
        <w:rPr>
          <w:rFonts w:hint="eastAsia" w:ascii="仿宋_GB2312" w:hAnsi="仿宋_GB2312" w:eastAsia="仿宋_GB2312" w:cs="仿宋_GB2312"/>
          <w:color w:val="auto"/>
          <w:spacing w:val="-5"/>
          <w:sz w:val="32"/>
          <w:szCs w:val="32"/>
          <w:highlight w:val="none"/>
          <w:lang w:val="en-US"/>
        </w:rPr>
        <w:t xml:space="preserve">  </w:t>
      </w:r>
      <w:r>
        <w:rPr>
          <w:rFonts w:hint="eastAsia" w:ascii="仿宋_GB2312" w:hAnsi="仿宋_GB2312" w:eastAsia="仿宋_GB2312" w:cs="仿宋_GB2312"/>
          <w:color w:val="auto"/>
          <w:spacing w:val="-5"/>
          <w:sz w:val="32"/>
          <w:szCs w:val="32"/>
          <w:highlight w:val="none"/>
        </w:rPr>
        <w:t>日</w:t>
      </w:r>
    </w:p>
    <w:p w14:paraId="3EB16C71">
      <w:pPr>
        <w:pStyle w:val="11"/>
        <w:keepNext w:val="0"/>
        <w:keepLines w:val="0"/>
        <w:pageBreakBefore w:val="0"/>
        <w:wordWrap/>
        <w:topLinePunct w:val="0"/>
        <w:bidi w:val="0"/>
        <w:spacing w:line="560" w:lineRule="exact"/>
        <w:ind w:left="680" w:firstLine="680"/>
        <w:rPr>
          <w:color w:val="auto"/>
          <w:highlight w:val="none"/>
        </w:rPr>
      </w:pPr>
    </w:p>
    <w:p w14:paraId="41FEC5EC">
      <w:pPr>
        <w:pStyle w:val="11"/>
        <w:keepNext w:val="0"/>
        <w:keepLines w:val="0"/>
        <w:pageBreakBefore w:val="0"/>
        <w:wordWrap/>
        <w:topLinePunct w:val="0"/>
        <w:bidi w:val="0"/>
        <w:spacing w:line="560" w:lineRule="exact"/>
        <w:ind w:left="680" w:firstLine="680"/>
        <w:rPr>
          <w:color w:val="auto"/>
          <w:highlight w:val="none"/>
        </w:rPr>
      </w:pPr>
    </w:p>
    <w:p w14:paraId="3E01BEDD">
      <w:pPr>
        <w:spacing w:line="560" w:lineRule="exact"/>
        <w:rPr>
          <w:rFonts w:hint="eastAsia" w:ascii="仿宋_GB2312" w:hAnsi="仿宋_GB2312" w:eastAsia="仿宋_GB2312" w:cs="仿宋_GB2312"/>
          <w:color w:val="auto"/>
          <w:sz w:val="32"/>
          <w:szCs w:val="32"/>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97BA74-2CDF-44DA-A315-369D65ED3C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D30E364-2139-4F96-AFAE-9A50E760879F}"/>
  </w:font>
  <w:font w:name="仿宋_GB2312">
    <w:panose1 w:val="02010609030101010101"/>
    <w:charset w:val="86"/>
    <w:family w:val="modern"/>
    <w:pitch w:val="default"/>
    <w:sig w:usb0="00000001" w:usb1="080E0000" w:usb2="00000000" w:usb3="00000000" w:csb0="00040000" w:csb1="00000000"/>
    <w:embedRegular r:id="rId3" w:fontKey="{8C8956E1-1FBB-480C-A58F-8BABF2CB5009}"/>
  </w:font>
  <w:font w:name="仿宋">
    <w:panose1 w:val="02010609060101010101"/>
    <w:charset w:val="86"/>
    <w:family w:val="modern"/>
    <w:pitch w:val="default"/>
    <w:sig w:usb0="800002BF" w:usb1="38CF7CFA" w:usb2="00000016" w:usb3="00000000" w:csb0="00040001" w:csb1="00000000"/>
    <w:embedRegular r:id="rId4" w:fontKey="{502B8E2A-C433-4C10-BA4D-DB072291C96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FE7C6">
    <w:pPr>
      <w:pStyle w:val="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132CF">
                          <w:pPr>
                            <w:pStyle w:val="9"/>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4A132CF">
                    <w:pPr>
                      <w:pStyle w:val="9"/>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4E5AD"/>
    <w:multiLevelType w:val="singleLevel"/>
    <w:tmpl w:val="C584E5A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YWY5MTJiODE3MzNmZWRmYTgyODAwODZlZTAzMDgifQ=="/>
  </w:docVars>
  <w:rsids>
    <w:rsidRoot w:val="008F5C1E"/>
    <w:rsid w:val="00015F03"/>
    <w:rsid w:val="003B643A"/>
    <w:rsid w:val="00535E7A"/>
    <w:rsid w:val="00757034"/>
    <w:rsid w:val="008F5C1E"/>
    <w:rsid w:val="00997D30"/>
    <w:rsid w:val="00A51E16"/>
    <w:rsid w:val="00B35BC7"/>
    <w:rsid w:val="00E6672D"/>
    <w:rsid w:val="00F752E7"/>
    <w:rsid w:val="016A4222"/>
    <w:rsid w:val="01787946"/>
    <w:rsid w:val="01E274B5"/>
    <w:rsid w:val="01FB40D3"/>
    <w:rsid w:val="02533F0F"/>
    <w:rsid w:val="0287337D"/>
    <w:rsid w:val="029A7D90"/>
    <w:rsid w:val="029E162E"/>
    <w:rsid w:val="02A1111E"/>
    <w:rsid w:val="02C34963"/>
    <w:rsid w:val="031C2553"/>
    <w:rsid w:val="034026E5"/>
    <w:rsid w:val="035148F2"/>
    <w:rsid w:val="03667C72"/>
    <w:rsid w:val="03CF5817"/>
    <w:rsid w:val="045424EF"/>
    <w:rsid w:val="046E6DDE"/>
    <w:rsid w:val="04B2532F"/>
    <w:rsid w:val="051A51B8"/>
    <w:rsid w:val="055661F0"/>
    <w:rsid w:val="05883ED0"/>
    <w:rsid w:val="05A625A8"/>
    <w:rsid w:val="05CA173E"/>
    <w:rsid w:val="05F529B2"/>
    <w:rsid w:val="06616D0F"/>
    <w:rsid w:val="06BE12C0"/>
    <w:rsid w:val="06F53E3D"/>
    <w:rsid w:val="07224A6C"/>
    <w:rsid w:val="0730481F"/>
    <w:rsid w:val="07350FCA"/>
    <w:rsid w:val="07571DAC"/>
    <w:rsid w:val="07CC279A"/>
    <w:rsid w:val="07F65A68"/>
    <w:rsid w:val="080C0DE8"/>
    <w:rsid w:val="08670714"/>
    <w:rsid w:val="08A54D99"/>
    <w:rsid w:val="08BD20E2"/>
    <w:rsid w:val="094B5940"/>
    <w:rsid w:val="09727371"/>
    <w:rsid w:val="09970B85"/>
    <w:rsid w:val="09B96D4E"/>
    <w:rsid w:val="09C676BC"/>
    <w:rsid w:val="09D75426"/>
    <w:rsid w:val="09F7266F"/>
    <w:rsid w:val="0A103E73"/>
    <w:rsid w:val="0A5B1BB3"/>
    <w:rsid w:val="0AAA48E8"/>
    <w:rsid w:val="0AB70F58"/>
    <w:rsid w:val="0AD96F7B"/>
    <w:rsid w:val="0AF12517"/>
    <w:rsid w:val="0B106E41"/>
    <w:rsid w:val="0B554854"/>
    <w:rsid w:val="0B7A42BB"/>
    <w:rsid w:val="0BB53545"/>
    <w:rsid w:val="0BBE064B"/>
    <w:rsid w:val="0BD04822"/>
    <w:rsid w:val="0C191D25"/>
    <w:rsid w:val="0C300E1D"/>
    <w:rsid w:val="0CBB102F"/>
    <w:rsid w:val="0CC46135"/>
    <w:rsid w:val="0D110FA6"/>
    <w:rsid w:val="0D9E6CB9"/>
    <w:rsid w:val="0DA1776A"/>
    <w:rsid w:val="0DAB4BFF"/>
    <w:rsid w:val="0DBC0BBA"/>
    <w:rsid w:val="0DC91529"/>
    <w:rsid w:val="0DCD1E20"/>
    <w:rsid w:val="0E26697C"/>
    <w:rsid w:val="0E7019A5"/>
    <w:rsid w:val="0EC35F79"/>
    <w:rsid w:val="0EDC703A"/>
    <w:rsid w:val="0EEA79A9"/>
    <w:rsid w:val="0F2D40E1"/>
    <w:rsid w:val="0FCC70AF"/>
    <w:rsid w:val="101A42BE"/>
    <w:rsid w:val="101E5B5C"/>
    <w:rsid w:val="106D2640"/>
    <w:rsid w:val="107C5177"/>
    <w:rsid w:val="1122167C"/>
    <w:rsid w:val="112A6877"/>
    <w:rsid w:val="11B06C88"/>
    <w:rsid w:val="11C91AF8"/>
    <w:rsid w:val="11D230A2"/>
    <w:rsid w:val="11D34725"/>
    <w:rsid w:val="11FA7F03"/>
    <w:rsid w:val="122E5DFF"/>
    <w:rsid w:val="126E269F"/>
    <w:rsid w:val="12906AB9"/>
    <w:rsid w:val="131E5E73"/>
    <w:rsid w:val="13497394"/>
    <w:rsid w:val="13916645"/>
    <w:rsid w:val="146B50E8"/>
    <w:rsid w:val="14B7657F"/>
    <w:rsid w:val="14C60571"/>
    <w:rsid w:val="14F52C04"/>
    <w:rsid w:val="1534372C"/>
    <w:rsid w:val="15D17E5A"/>
    <w:rsid w:val="160475A2"/>
    <w:rsid w:val="161F43DC"/>
    <w:rsid w:val="16315EBE"/>
    <w:rsid w:val="16353C00"/>
    <w:rsid w:val="16A86474"/>
    <w:rsid w:val="174F484D"/>
    <w:rsid w:val="17AE3C6A"/>
    <w:rsid w:val="18187335"/>
    <w:rsid w:val="183D6D9C"/>
    <w:rsid w:val="1853036D"/>
    <w:rsid w:val="18785E4F"/>
    <w:rsid w:val="187D363C"/>
    <w:rsid w:val="18826EA4"/>
    <w:rsid w:val="18DA45EA"/>
    <w:rsid w:val="18F4211C"/>
    <w:rsid w:val="194B54E8"/>
    <w:rsid w:val="1991776B"/>
    <w:rsid w:val="1A07140F"/>
    <w:rsid w:val="1A3411EE"/>
    <w:rsid w:val="1A4E5290"/>
    <w:rsid w:val="1A6A7BF0"/>
    <w:rsid w:val="1A8567D8"/>
    <w:rsid w:val="1A911621"/>
    <w:rsid w:val="1A98650B"/>
    <w:rsid w:val="1AC612CA"/>
    <w:rsid w:val="1B2D759B"/>
    <w:rsid w:val="1B3C158C"/>
    <w:rsid w:val="1B6A434C"/>
    <w:rsid w:val="1B8B6070"/>
    <w:rsid w:val="1BBB0703"/>
    <w:rsid w:val="1BBD091F"/>
    <w:rsid w:val="1BC33A5C"/>
    <w:rsid w:val="1BE22134"/>
    <w:rsid w:val="1C3F65F4"/>
    <w:rsid w:val="1C4E5A1B"/>
    <w:rsid w:val="1C542906"/>
    <w:rsid w:val="1C6849B0"/>
    <w:rsid w:val="1C752FA8"/>
    <w:rsid w:val="1C84143D"/>
    <w:rsid w:val="1C9D605B"/>
    <w:rsid w:val="1CA218C3"/>
    <w:rsid w:val="1CD83537"/>
    <w:rsid w:val="1CF85987"/>
    <w:rsid w:val="1D2247B2"/>
    <w:rsid w:val="1D3764AF"/>
    <w:rsid w:val="1D525097"/>
    <w:rsid w:val="1D7B6F1C"/>
    <w:rsid w:val="1DBC69B5"/>
    <w:rsid w:val="1DE101C9"/>
    <w:rsid w:val="1E220F0E"/>
    <w:rsid w:val="1E432C32"/>
    <w:rsid w:val="1E592455"/>
    <w:rsid w:val="1E83287F"/>
    <w:rsid w:val="1E937715"/>
    <w:rsid w:val="1F3C7DAD"/>
    <w:rsid w:val="1F501AAA"/>
    <w:rsid w:val="1F51312D"/>
    <w:rsid w:val="1F6B41EE"/>
    <w:rsid w:val="1F901EA7"/>
    <w:rsid w:val="1F903C55"/>
    <w:rsid w:val="1FB14601"/>
    <w:rsid w:val="201C198C"/>
    <w:rsid w:val="2031368A"/>
    <w:rsid w:val="20B120D5"/>
    <w:rsid w:val="20C52024"/>
    <w:rsid w:val="20D504B9"/>
    <w:rsid w:val="20E57FD0"/>
    <w:rsid w:val="21380A48"/>
    <w:rsid w:val="217F0425"/>
    <w:rsid w:val="21D267A7"/>
    <w:rsid w:val="22360017"/>
    <w:rsid w:val="22D90EF9"/>
    <w:rsid w:val="2302273A"/>
    <w:rsid w:val="23102747"/>
    <w:rsid w:val="238B1EDE"/>
    <w:rsid w:val="23AB3753"/>
    <w:rsid w:val="23CE11F0"/>
    <w:rsid w:val="23E97DD8"/>
    <w:rsid w:val="23F23130"/>
    <w:rsid w:val="24015121"/>
    <w:rsid w:val="24170DE9"/>
    <w:rsid w:val="2474786C"/>
    <w:rsid w:val="24855D52"/>
    <w:rsid w:val="24C12E9B"/>
    <w:rsid w:val="24C534D7"/>
    <w:rsid w:val="24D82326"/>
    <w:rsid w:val="24F353B2"/>
    <w:rsid w:val="24FA6740"/>
    <w:rsid w:val="25113A8A"/>
    <w:rsid w:val="252E1F46"/>
    <w:rsid w:val="252E63EA"/>
    <w:rsid w:val="25545725"/>
    <w:rsid w:val="257D4C7B"/>
    <w:rsid w:val="25B61F3B"/>
    <w:rsid w:val="25B763DF"/>
    <w:rsid w:val="25D46F8A"/>
    <w:rsid w:val="261A4BC0"/>
    <w:rsid w:val="26ED7BDF"/>
    <w:rsid w:val="26EE2542"/>
    <w:rsid w:val="2751016E"/>
    <w:rsid w:val="276F6846"/>
    <w:rsid w:val="27870033"/>
    <w:rsid w:val="27A27758"/>
    <w:rsid w:val="28457D54"/>
    <w:rsid w:val="284952E9"/>
    <w:rsid w:val="28A95D87"/>
    <w:rsid w:val="29E654E5"/>
    <w:rsid w:val="2A863051"/>
    <w:rsid w:val="2A930A9D"/>
    <w:rsid w:val="2AAB228B"/>
    <w:rsid w:val="2AC11AAE"/>
    <w:rsid w:val="2AD27817"/>
    <w:rsid w:val="2AF66D70"/>
    <w:rsid w:val="2B033E75"/>
    <w:rsid w:val="2B2838DB"/>
    <w:rsid w:val="2B2F6A18"/>
    <w:rsid w:val="2B326508"/>
    <w:rsid w:val="2B3B716B"/>
    <w:rsid w:val="2B612949"/>
    <w:rsid w:val="2BC817F9"/>
    <w:rsid w:val="2BC96E6C"/>
    <w:rsid w:val="2BE63388"/>
    <w:rsid w:val="2C047EA4"/>
    <w:rsid w:val="2C4B5AD3"/>
    <w:rsid w:val="2CA376BD"/>
    <w:rsid w:val="2D1C7470"/>
    <w:rsid w:val="2D48401F"/>
    <w:rsid w:val="2D796670"/>
    <w:rsid w:val="2D8D5C78"/>
    <w:rsid w:val="2D943575"/>
    <w:rsid w:val="2DBB4593"/>
    <w:rsid w:val="2DD218DC"/>
    <w:rsid w:val="2DF301D1"/>
    <w:rsid w:val="2E2A34C6"/>
    <w:rsid w:val="2E5642BC"/>
    <w:rsid w:val="2E6609A2"/>
    <w:rsid w:val="2EBA0CEE"/>
    <w:rsid w:val="2F2148C9"/>
    <w:rsid w:val="2F45680A"/>
    <w:rsid w:val="2F4709AA"/>
    <w:rsid w:val="2F4800A8"/>
    <w:rsid w:val="2FAE299B"/>
    <w:rsid w:val="2FED0C50"/>
    <w:rsid w:val="30071D11"/>
    <w:rsid w:val="30201025"/>
    <w:rsid w:val="30DC4F4C"/>
    <w:rsid w:val="31085D41"/>
    <w:rsid w:val="31191585"/>
    <w:rsid w:val="311D7D22"/>
    <w:rsid w:val="316B4522"/>
    <w:rsid w:val="31C205E6"/>
    <w:rsid w:val="31C81974"/>
    <w:rsid w:val="31FE6654"/>
    <w:rsid w:val="3278114F"/>
    <w:rsid w:val="32F64990"/>
    <w:rsid w:val="34064F33"/>
    <w:rsid w:val="352D221A"/>
    <w:rsid w:val="352F7CE5"/>
    <w:rsid w:val="354E3F3E"/>
    <w:rsid w:val="373D24BC"/>
    <w:rsid w:val="37441A9D"/>
    <w:rsid w:val="376712E7"/>
    <w:rsid w:val="37BF7375"/>
    <w:rsid w:val="38305B7D"/>
    <w:rsid w:val="388A34DF"/>
    <w:rsid w:val="391568E0"/>
    <w:rsid w:val="39211C6F"/>
    <w:rsid w:val="39365415"/>
    <w:rsid w:val="39D569DC"/>
    <w:rsid w:val="3A43428E"/>
    <w:rsid w:val="3A726921"/>
    <w:rsid w:val="3ACF5B21"/>
    <w:rsid w:val="3BF03FA1"/>
    <w:rsid w:val="3C0C16CC"/>
    <w:rsid w:val="3C101F4E"/>
    <w:rsid w:val="3C4334ED"/>
    <w:rsid w:val="3C8B06D9"/>
    <w:rsid w:val="3CBE7BFC"/>
    <w:rsid w:val="3CE753A4"/>
    <w:rsid w:val="3CF03B2D"/>
    <w:rsid w:val="3CF11D7F"/>
    <w:rsid w:val="3D6F0EF6"/>
    <w:rsid w:val="3D840E45"/>
    <w:rsid w:val="3DB334D8"/>
    <w:rsid w:val="3DFE7955"/>
    <w:rsid w:val="3E104487"/>
    <w:rsid w:val="3E4203B8"/>
    <w:rsid w:val="3E8804C1"/>
    <w:rsid w:val="3EE020AB"/>
    <w:rsid w:val="3EEB0A50"/>
    <w:rsid w:val="3EFE0783"/>
    <w:rsid w:val="3F4B4988"/>
    <w:rsid w:val="3F710F55"/>
    <w:rsid w:val="3F7946B9"/>
    <w:rsid w:val="4034469A"/>
    <w:rsid w:val="403C5A07"/>
    <w:rsid w:val="40561B91"/>
    <w:rsid w:val="40866C82"/>
    <w:rsid w:val="41456B3D"/>
    <w:rsid w:val="41654AEA"/>
    <w:rsid w:val="418D5DEE"/>
    <w:rsid w:val="4193706D"/>
    <w:rsid w:val="41B17D2F"/>
    <w:rsid w:val="41C95079"/>
    <w:rsid w:val="41CA2B9F"/>
    <w:rsid w:val="41CC6917"/>
    <w:rsid w:val="41D91034"/>
    <w:rsid w:val="41FB71FC"/>
    <w:rsid w:val="425262D3"/>
    <w:rsid w:val="4260302C"/>
    <w:rsid w:val="426E3E72"/>
    <w:rsid w:val="426E51C1"/>
    <w:rsid w:val="428C60A6"/>
    <w:rsid w:val="43100A85"/>
    <w:rsid w:val="43882D11"/>
    <w:rsid w:val="43A63197"/>
    <w:rsid w:val="43B27D8E"/>
    <w:rsid w:val="43BB30E7"/>
    <w:rsid w:val="43C210B4"/>
    <w:rsid w:val="43EE526A"/>
    <w:rsid w:val="441445A5"/>
    <w:rsid w:val="449C4CC6"/>
    <w:rsid w:val="451A5BEB"/>
    <w:rsid w:val="451C1963"/>
    <w:rsid w:val="45570BED"/>
    <w:rsid w:val="4577128F"/>
    <w:rsid w:val="458F482B"/>
    <w:rsid w:val="45A2455E"/>
    <w:rsid w:val="45A81449"/>
    <w:rsid w:val="45B55914"/>
    <w:rsid w:val="45F428E0"/>
    <w:rsid w:val="462A4554"/>
    <w:rsid w:val="464434B8"/>
    <w:rsid w:val="468E063F"/>
    <w:rsid w:val="47F4015C"/>
    <w:rsid w:val="48474F49"/>
    <w:rsid w:val="4884364A"/>
    <w:rsid w:val="48E704DA"/>
    <w:rsid w:val="492D2391"/>
    <w:rsid w:val="49583186"/>
    <w:rsid w:val="495913D8"/>
    <w:rsid w:val="49CD38B4"/>
    <w:rsid w:val="4A361719"/>
    <w:rsid w:val="4A6C0C97"/>
    <w:rsid w:val="4AFA62A3"/>
    <w:rsid w:val="4B306168"/>
    <w:rsid w:val="4B475260"/>
    <w:rsid w:val="4B4B2FA2"/>
    <w:rsid w:val="4B531E57"/>
    <w:rsid w:val="4BA426B2"/>
    <w:rsid w:val="4BAE52DF"/>
    <w:rsid w:val="4BDA60D4"/>
    <w:rsid w:val="4C215AB1"/>
    <w:rsid w:val="4C285091"/>
    <w:rsid w:val="4C324162"/>
    <w:rsid w:val="4C5824A2"/>
    <w:rsid w:val="4C8449BE"/>
    <w:rsid w:val="4C8A18A8"/>
    <w:rsid w:val="4C8F3363"/>
    <w:rsid w:val="4CA97040"/>
    <w:rsid w:val="4CE7168F"/>
    <w:rsid w:val="4CE865CF"/>
    <w:rsid w:val="4D203FBB"/>
    <w:rsid w:val="4D5048A0"/>
    <w:rsid w:val="4D5F0F87"/>
    <w:rsid w:val="4D9657D1"/>
    <w:rsid w:val="4DE33966"/>
    <w:rsid w:val="4E1D1D7E"/>
    <w:rsid w:val="4E2875CB"/>
    <w:rsid w:val="4E2B0E69"/>
    <w:rsid w:val="4E510A1B"/>
    <w:rsid w:val="4E93713A"/>
    <w:rsid w:val="4EF83441"/>
    <w:rsid w:val="4F132029"/>
    <w:rsid w:val="4F552641"/>
    <w:rsid w:val="4F6E3703"/>
    <w:rsid w:val="4F7F321A"/>
    <w:rsid w:val="4F9D7B44"/>
    <w:rsid w:val="4FA964E9"/>
    <w:rsid w:val="50025BF9"/>
    <w:rsid w:val="501871CB"/>
    <w:rsid w:val="50210776"/>
    <w:rsid w:val="502838B2"/>
    <w:rsid w:val="50472F2F"/>
    <w:rsid w:val="50616DC4"/>
    <w:rsid w:val="508F1B83"/>
    <w:rsid w:val="509337E9"/>
    <w:rsid w:val="50B26B55"/>
    <w:rsid w:val="50B415EA"/>
    <w:rsid w:val="50E53551"/>
    <w:rsid w:val="51220188"/>
    <w:rsid w:val="519136D9"/>
    <w:rsid w:val="51E25CE3"/>
    <w:rsid w:val="51EB2DE9"/>
    <w:rsid w:val="527252B8"/>
    <w:rsid w:val="52880638"/>
    <w:rsid w:val="530323B4"/>
    <w:rsid w:val="5393418D"/>
    <w:rsid w:val="53A70F92"/>
    <w:rsid w:val="53B35B89"/>
    <w:rsid w:val="53DD0E57"/>
    <w:rsid w:val="542B7302"/>
    <w:rsid w:val="547075D6"/>
    <w:rsid w:val="549A0AF6"/>
    <w:rsid w:val="54BC0A6D"/>
    <w:rsid w:val="54F46459"/>
    <w:rsid w:val="555B64D8"/>
    <w:rsid w:val="559B0682"/>
    <w:rsid w:val="55F3507C"/>
    <w:rsid w:val="56660C90"/>
    <w:rsid w:val="568D26C1"/>
    <w:rsid w:val="56C65BD3"/>
    <w:rsid w:val="57004F32"/>
    <w:rsid w:val="573E7E5F"/>
    <w:rsid w:val="576D24F2"/>
    <w:rsid w:val="578E4942"/>
    <w:rsid w:val="57AA72A2"/>
    <w:rsid w:val="57C03F27"/>
    <w:rsid w:val="57F16C7F"/>
    <w:rsid w:val="58584F50"/>
    <w:rsid w:val="58BF6D7E"/>
    <w:rsid w:val="58D75E75"/>
    <w:rsid w:val="591D4426"/>
    <w:rsid w:val="59A71CEC"/>
    <w:rsid w:val="5A2055FA"/>
    <w:rsid w:val="5A5D684E"/>
    <w:rsid w:val="5A6738F6"/>
    <w:rsid w:val="5A9304C2"/>
    <w:rsid w:val="5A9A061F"/>
    <w:rsid w:val="5AA601F5"/>
    <w:rsid w:val="5ACB4E94"/>
    <w:rsid w:val="5B101B12"/>
    <w:rsid w:val="5B6559BA"/>
    <w:rsid w:val="5B7200D7"/>
    <w:rsid w:val="5BA1276A"/>
    <w:rsid w:val="5BD82630"/>
    <w:rsid w:val="5C140AA0"/>
    <w:rsid w:val="5C296192"/>
    <w:rsid w:val="5C2F7D76"/>
    <w:rsid w:val="5C6815EF"/>
    <w:rsid w:val="5CA16EC6"/>
    <w:rsid w:val="5CD86660"/>
    <w:rsid w:val="5CF76AE6"/>
    <w:rsid w:val="5D040D13"/>
    <w:rsid w:val="5D101956"/>
    <w:rsid w:val="5D6B3030"/>
    <w:rsid w:val="5DB42C29"/>
    <w:rsid w:val="5DB76275"/>
    <w:rsid w:val="5DE30E18"/>
    <w:rsid w:val="5DF254FF"/>
    <w:rsid w:val="5E826883"/>
    <w:rsid w:val="5ED13367"/>
    <w:rsid w:val="5ED74E21"/>
    <w:rsid w:val="5F291AC5"/>
    <w:rsid w:val="5F2931A3"/>
    <w:rsid w:val="5FAD7930"/>
    <w:rsid w:val="5FB213EA"/>
    <w:rsid w:val="5FB54A36"/>
    <w:rsid w:val="5FBE4837"/>
    <w:rsid w:val="5FE07D05"/>
    <w:rsid w:val="60340051"/>
    <w:rsid w:val="6037544B"/>
    <w:rsid w:val="608A7C71"/>
    <w:rsid w:val="60D73774"/>
    <w:rsid w:val="61120392"/>
    <w:rsid w:val="6142054C"/>
    <w:rsid w:val="61446072"/>
    <w:rsid w:val="62277716"/>
    <w:rsid w:val="626B762E"/>
    <w:rsid w:val="62AC3ECF"/>
    <w:rsid w:val="62C27B96"/>
    <w:rsid w:val="63C74D38"/>
    <w:rsid w:val="63FA510E"/>
    <w:rsid w:val="642D54E3"/>
    <w:rsid w:val="64306D81"/>
    <w:rsid w:val="648570CD"/>
    <w:rsid w:val="64925346"/>
    <w:rsid w:val="64F34037"/>
    <w:rsid w:val="65155A27"/>
    <w:rsid w:val="65342925"/>
    <w:rsid w:val="659375C8"/>
    <w:rsid w:val="65AE7F5E"/>
    <w:rsid w:val="65BA2DA7"/>
    <w:rsid w:val="660404C6"/>
    <w:rsid w:val="6618187B"/>
    <w:rsid w:val="66644AC0"/>
    <w:rsid w:val="67087B42"/>
    <w:rsid w:val="67CB6C90"/>
    <w:rsid w:val="67E1461B"/>
    <w:rsid w:val="67E4410B"/>
    <w:rsid w:val="683C7AA3"/>
    <w:rsid w:val="68460921"/>
    <w:rsid w:val="6889198F"/>
    <w:rsid w:val="68D377CF"/>
    <w:rsid w:val="696F5C56"/>
    <w:rsid w:val="699E02E9"/>
    <w:rsid w:val="69F64E6A"/>
    <w:rsid w:val="69FB4103"/>
    <w:rsid w:val="6A2904FB"/>
    <w:rsid w:val="6A366774"/>
    <w:rsid w:val="6A711A96"/>
    <w:rsid w:val="6AA10091"/>
    <w:rsid w:val="6AB9362D"/>
    <w:rsid w:val="6ABA55F7"/>
    <w:rsid w:val="6B030D4C"/>
    <w:rsid w:val="6B054AC4"/>
    <w:rsid w:val="6B0A3E88"/>
    <w:rsid w:val="6B8B7DA8"/>
    <w:rsid w:val="6B961BC0"/>
    <w:rsid w:val="6B9D6AAA"/>
    <w:rsid w:val="6C3513D9"/>
    <w:rsid w:val="6C501D6F"/>
    <w:rsid w:val="6CF748E0"/>
    <w:rsid w:val="6D401DE3"/>
    <w:rsid w:val="6D8C327A"/>
    <w:rsid w:val="6DB30807"/>
    <w:rsid w:val="6DD15131"/>
    <w:rsid w:val="6DDD3AD6"/>
    <w:rsid w:val="6E14501E"/>
    <w:rsid w:val="6E2C05BA"/>
    <w:rsid w:val="6E4C52A9"/>
    <w:rsid w:val="6EAD34A8"/>
    <w:rsid w:val="6F2A2D4B"/>
    <w:rsid w:val="6F3E2352"/>
    <w:rsid w:val="6F651FD5"/>
    <w:rsid w:val="6FCC795E"/>
    <w:rsid w:val="6FD74555"/>
    <w:rsid w:val="704F233D"/>
    <w:rsid w:val="70622071"/>
    <w:rsid w:val="707A1AB0"/>
    <w:rsid w:val="70A703CB"/>
    <w:rsid w:val="70B910E7"/>
    <w:rsid w:val="70D0347E"/>
    <w:rsid w:val="70F52EE5"/>
    <w:rsid w:val="7100515F"/>
    <w:rsid w:val="711C66C3"/>
    <w:rsid w:val="7128150C"/>
    <w:rsid w:val="712D5033"/>
    <w:rsid w:val="714E0847"/>
    <w:rsid w:val="71BC7EA6"/>
    <w:rsid w:val="720D425E"/>
    <w:rsid w:val="72444124"/>
    <w:rsid w:val="73045661"/>
    <w:rsid w:val="730833A3"/>
    <w:rsid w:val="737A1DC7"/>
    <w:rsid w:val="7423420D"/>
    <w:rsid w:val="74485A21"/>
    <w:rsid w:val="74FA4F6E"/>
    <w:rsid w:val="75134281"/>
    <w:rsid w:val="7581230B"/>
    <w:rsid w:val="75DA6B4D"/>
    <w:rsid w:val="76045978"/>
    <w:rsid w:val="763D0F9D"/>
    <w:rsid w:val="7682521B"/>
    <w:rsid w:val="76A21419"/>
    <w:rsid w:val="76D51F02"/>
    <w:rsid w:val="76E01F41"/>
    <w:rsid w:val="772269FE"/>
    <w:rsid w:val="777A1FCC"/>
    <w:rsid w:val="777D59E2"/>
    <w:rsid w:val="781C51FB"/>
    <w:rsid w:val="789F4482"/>
    <w:rsid w:val="78EA5247"/>
    <w:rsid w:val="790A7749"/>
    <w:rsid w:val="794762A8"/>
    <w:rsid w:val="795F2F71"/>
    <w:rsid w:val="797409AF"/>
    <w:rsid w:val="798412AA"/>
    <w:rsid w:val="798415CC"/>
    <w:rsid w:val="7A6A4943"/>
    <w:rsid w:val="7AAC4F5C"/>
    <w:rsid w:val="7AFD7566"/>
    <w:rsid w:val="7B1D3764"/>
    <w:rsid w:val="7B1FE33F"/>
    <w:rsid w:val="7B5551A9"/>
    <w:rsid w:val="7B5F5B2A"/>
    <w:rsid w:val="7B607AF4"/>
    <w:rsid w:val="7B672C31"/>
    <w:rsid w:val="7BB57E40"/>
    <w:rsid w:val="7C050BE5"/>
    <w:rsid w:val="7C077F70"/>
    <w:rsid w:val="7C183F2B"/>
    <w:rsid w:val="7C4E477F"/>
    <w:rsid w:val="7C9E08D4"/>
    <w:rsid w:val="7CEC5AE4"/>
    <w:rsid w:val="7D0163B1"/>
    <w:rsid w:val="7D126BCC"/>
    <w:rsid w:val="7D1E37C3"/>
    <w:rsid w:val="7D2A660C"/>
    <w:rsid w:val="7DB06B11"/>
    <w:rsid w:val="7DCE04D8"/>
    <w:rsid w:val="7E9E696A"/>
    <w:rsid w:val="7EB02B41"/>
    <w:rsid w:val="7EE578C5"/>
    <w:rsid w:val="7F080287"/>
    <w:rsid w:val="7F0864D9"/>
    <w:rsid w:val="7F166BC2"/>
    <w:rsid w:val="7F1B620C"/>
    <w:rsid w:val="7F4D0390"/>
    <w:rsid w:val="7F7EAA4E"/>
    <w:rsid w:val="7F932118"/>
    <w:rsid w:val="7F9935D5"/>
    <w:rsid w:val="7FBB79EF"/>
    <w:rsid w:val="7FBD3767"/>
    <w:rsid w:val="9FDF95D4"/>
    <w:rsid w:val="BFAC4BFC"/>
    <w:rsid w:val="BFFF7820"/>
    <w:rsid w:val="CFFE4A15"/>
    <w:rsid w:val="FEF97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40" w:beforeLines="0" w:after="40" w:afterLines="0"/>
      <w:jc w:val="center"/>
      <w:outlineLvl w:val="0"/>
    </w:pPr>
    <w:rPr>
      <w:b/>
      <w:bCs/>
      <w:kern w:val="44"/>
      <w:sz w:val="36"/>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qFormat/>
    <w:uiPriority w:val="0"/>
    <w:pPr>
      <w:spacing w:before="25" w:beforeLines="0" w:after="25" w:afterLines="0"/>
      <w:jc w:val="left"/>
    </w:pPr>
    <w:rPr>
      <w:bCs/>
      <w:spacing w:val="10"/>
      <w:kern w:val="0"/>
      <w:sz w:val="24"/>
      <w:szCs w:val="20"/>
    </w:rPr>
  </w:style>
  <w:style w:type="paragraph" w:customStyle="1" w:styleId="3">
    <w:name w:val="正文 New New New New New New New New New New New New New New New New New New New New New New New New New New New New New New New New New New New New"/>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qFormat/>
    <w:uiPriority w:val="0"/>
    <w:pPr>
      <w:ind w:firstLine="964" w:firstLineChars="200"/>
    </w:pPr>
    <w:rPr>
      <w:rFonts w:ascii="Calibri" w:hAnsi="Calibri" w:cs="宋体"/>
      <w:szCs w:val="22"/>
    </w:rPr>
  </w:style>
  <w:style w:type="paragraph" w:styleId="6">
    <w:name w:val="annotation text"/>
    <w:basedOn w:val="1"/>
    <w:qFormat/>
    <w:uiPriority w:val="0"/>
    <w:pPr>
      <w:jc w:val="left"/>
    </w:pPr>
  </w:style>
  <w:style w:type="paragraph" w:styleId="7">
    <w:name w:val="Body Text"/>
    <w:basedOn w:val="1"/>
    <w:qFormat/>
    <w:uiPriority w:val="0"/>
    <w:pPr>
      <w:widowControl/>
      <w:spacing w:after="120"/>
      <w:jc w:val="left"/>
    </w:pPr>
    <w:rPr>
      <w:sz w:val="20"/>
      <w:lang w:val="zh-CN"/>
    </w:rPr>
  </w:style>
  <w:style w:type="paragraph" w:styleId="8">
    <w:name w:val="Body Text Indent"/>
    <w:basedOn w:val="1"/>
    <w:unhideWhenUsed/>
    <w:qFormat/>
    <w:uiPriority w:val="99"/>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First Indent 2"/>
    <w:basedOn w:val="8"/>
    <w:unhideWhenUsed/>
    <w:qFormat/>
    <w:uiPriority w:val="99"/>
    <w:pPr>
      <w:ind w:firstLine="420" w:firstLineChars="200"/>
    </w:pPr>
  </w:style>
  <w:style w:type="paragraph" w:customStyle="1" w:styleId="1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6569</Words>
  <Characters>6754</Characters>
  <Lines>34</Lines>
  <Paragraphs>9</Paragraphs>
  <TotalTime>2</TotalTime>
  <ScaleCrop>false</ScaleCrop>
  <LinksUpToDate>false</LinksUpToDate>
  <CharactersWithSpaces>6962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2024-08-13T09:20:00Z</dcterms:created>
  <dc:creator>陈青</dc:creator>
  <cp:lastModifiedBy>羲~</cp:lastModifiedBy>
  <cp:lastPrinted>2024-11-01T03:51:00Z</cp:lastPrinted>
  <dcterms:modified xsi:type="dcterms:W3CDTF">2024-12-17T09:23:40Z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B82ABF2DD5D647E088B0A477EA62685A_13</vt:lpwstr>
  </property>
</Properties>
</file>