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C9A642D">
      <w:pPr>
        <w:jc w:val="center"/>
        <w:rPr>
          <w:rFonts w:hint="eastAsia" w:ascii="宋体" w:hAnsi="宋体"/>
          <w:b/>
          <w:sz w:val="36"/>
          <w:szCs w:val="36"/>
        </w:rPr>
      </w:pPr>
      <w:r>
        <w:rPr>
          <w:rFonts w:hint="eastAsia" w:ascii="宋体" w:hAnsi="宋体"/>
          <w:b/>
          <w:sz w:val="36"/>
          <w:szCs w:val="36"/>
        </w:rPr>
        <w:t>清</w:t>
      </w:r>
      <w:r>
        <w:rPr>
          <w:rFonts w:hint="eastAsia" w:ascii="宋体" w:hAnsi="宋体"/>
          <w:b/>
          <w:sz w:val="36"/>
          <w:szCs w:val="36"/>
          <w:lang w:val="en-US" w:eastAsia="zh-CN"/>
        </w:rPr>
        <w:t xml:space="preserve"> </w:t>
      </w:r>
      <w:r>
        <w:rPr>
          <w:rFonts w:hint="eastAsia" w:ascii="宋体" w:hAnsi="宋体"/>
          <w:b/>
          <w:sz w:val="36"/>
          <w:szCs w:val="36"/>
        </w:rPr>
        <w:t>单</w:t>
      </w:r>
      <w:r>
        <w:rPr>
          <w:rFonts w:hint="eastAsia" w:ascii="宋体" w:hAnsi="宋体"/>
          <w:b/>
          <w:sz w:val="36"/>
          <w:szCs w:val="36"/>
          <w:lang w:val="en-US" w:eastAsia="zh-CN"/>
        </w:rPr>
        <w:t xml:space="preserve"> </w:t>
      </w:r>
      <w:r>
        <w:rPr>
          <w:rFonts w:hint="eastAsia" w:ascii="宋体" w:hAnsi="宋体"/>
          <w:b/>
          <w:sz w:val="36"/>
          <w:szCs w:val="36"/>
        </w:rPr>
        <w:t>编</w:t>
      </w:r>
      <w:r>
        <w:rPr>
          <w:rFonts w:hint="eastAsia" w:ascii="宋体" w:hAnsi="宋体"/>
          <w:b/>
          <w:sz w:val="36"/>
          <w:szCs w:val="36"/>
          <w:lang w:val="en-US" w:eastAsia="zh-CN"/>
        </w:rPr>
        <w:t xml:space="preserve"> </w:t>
      </w:r>
      <w:r>
        <w:rPr>
          <w:rFonts w:hint="eastAsia" w:ascii="宋体" w:hAnsi="宋体"/>
          <w:b/>
          <w:sz w:val="36"/>
          <w:szCs w:val="36"/>
        </w:rPr>
        <w:t>制</w:t>
      </w:r>
      <w:r>
        <w:rPr>
          <w:rFonts w:hint="eastAsia" w:ascii="宋体" w:hAnsi="宋体"/>
          <w:b/>
          <w:sz w:val="36"/>
          <w:szCs w:val="36"/>
          <w:lang w:val="en-US" w:eastAsia="zh-CN"/>
        </w:rPr>
        <w:t xml:space="preserve"> </w:t>
      </w:r>
      <w:r>
        <w:rPr>
          <w:rFonts w:hint="eastAsia" w:ascii="宋体" w:hAnsi="宋体"/>
          <w:b/>
          <w:sz w:val="36"/>
          <w:szCs w:val="36"/>
        </w:rPr>
        <w:t>说</w:t>
      </w:r>
      <w:r>
        <w:rPr>
          <w:rFonts w:hint="eastAsia" w:ascii="宋体" w:hAnsi="宋体"/>
          <w:b/>
          <w:sz w:val="36"/>
          <w:szCs w:val="36"/>
          <w:lang w:val="en-US" w:eastAsia="zh-CN"/>
        </w:rPr>
        <w:t xml:space="preserve"> </w:t>
      </w:r>
      <w:r>
        <w:rPr>
          <w:rFonts w:hint="eastAsia" w:ascii="宋体" w:hAnsi="宋体"/>
          <w:b/>
          <w:sz w:val="36"/>
          <w:szCs w:val="36"/>
        </w:rPr>
        <w:t>明</w:t>
      </w:r>
    </w:p>
    <w:p w14:paraId="0F43E8DB">
      <w:pPr>
        <w:pStyle w:val="7"/>
        <w:keepNext w:val="0"/>
        <w:keepLines w:val="0"/>
        <w:widowControl/>
        <w:suppressLineNumbers w:val="0"/>
        <w:spacing w:before="0" w:beforeAutospacing="0" w:after="0" w:afterAutospacing="0"/>
        <w:ind w:left="0" w:right="0" w:firstLine="0"/>
        <w:jc w:val="center"/>
        <w:rPr>
          <w:rFonts w:asciiTheme="minorEastAsia" w:hAnsiTheme="minorEastAsia" w:eastAsiaTheme="minorEastAsia"/>
          <w:b/>
          <w:bCs/>
          <w:color w:val="000000"/>
          <w:sz w:val="24"/>
          <w:szCs w:val="24"/>
        </w:rPr>
      </w:pPr>
    </w:p>
    <w:p w14:paraId="1FD25404">
      <w:pPr>
        <w:pStyle w:val="7"/>
        <w:keepNext w:val="0"/>
        <w:keepLines w:val="0"/>
        <w:widowControl/>
        <w:suppressLineNumbers w:val="0"/>
        <w:spacing w:before="0" w:beforeAutospacing="0" w:after="0" w:afterAutospacing="0"/>
        <w:ind w:left="0" w:right="0" w:firstLine="0"/>
        <w:rPr>
          <w:sz w:val="24"/>
          <w:szCs w:val="24"/>
        </w:rPr>
      </w:pPr>
      <w:r>
        <w:rPr>
          <w:rFonts w:asciiTheme="minorEastAsia" w:hAnsiTheme="minorEastAsia" w:eastAsiaTheme="minorEastAsia"/>
          <w:b/>
          <w:bCs/>
          <w:color w:val="000000"/>
          <w:sz w:val="24"/>
          <w:szCs w:val="24"/>
        </w:rPr>
        <w:t>工程名称</w:t>
      </w:r>
      <w:r>
        <w:rPr>
          <w:rFonts w:hint="eastAsia" w:asciiTheme="minorEastAsia" w:hAnsiTheme="minorEastAsia" w:eastAsiaTheme="minorEastAsia"/>
          <w:b/>
          <w:bCs/>
          <w:color w:val="000000"/>
          <w:sz w:val="24"/>
          <w:szCs w:val="24"/>
          <w:lang w:eastAsia="zh-CN"/>
        </w:rPr>
        <w:t>：</w:t>
      </w:r>
      <w:r>
        <w:rPr>
          <w:sz w:val="24"/>
          <w:szCs w:val="24"/>
        </w:rPr>
        <w:t>江东天地分布式光伏</w:t>
      </w:r>
      <w:r>
        <w:rPr>
          <w:rFonts w:hint="eastAsia"/>
          <w:sz w:val="24"/>
          <w:szCs w:val="24"/>
          <w:lang w:val="en-US" w:eastAsia="zh-CN"/>
        </w:rPr>
        <w:t>发电</w:t>
      </w:r>
      <w:r>
        <w:rPr>
          <w:sz w:val="24"/>
          <w:szCs w:val="24"/>
        </w:rPr>
        <w:t>项目</w:t>
      </w:r>
    </w:p>
    <w:p w14:paraId="449484AD">
      <w:pPr>
        <w:pStyle w:val="7"/>
        <w:keepNext w:val="0"/>
        <w:keepLines w:val="0"/>
        <w:widowControl/>
        <w:suppressLineNumbers w:val="0"/>
        <w:spacing w:before="0" w:beforeAutospacing="0" w:after="0" w:afterAutospacing="0"/>
        <w:ind w:left="0" w:right="0" w:firstLine="0"/>
        <w:jc w:val="center"/>
        <w:rPr>
          <w:rFonts w:hint="eastAsia" w:asciiTheme="minorEastAsia" w:hAnsiTheme="minorEastAsia" w:eastAsiaTheme="minorEastAsia"/>
          <w:b/>
          <w:bCs/>
          <w:color w:val="000000"/>
          <w:sz w:val="24"/>
          <w:szCs w:val="24"/>
          <w:lang w:val="en-US" w:eastAsia="zh-CN"/>
        </w:rPr>
      </w:pPr>
    </w:p>
    <w:p w14:paraId="256DBBD7">
      <w:pPr>
        <w:jc w:val="center"/>
        <w:rPr>
          <w:rFonts w:hint="eastAsia" w:asciiTheme="minorEastAsia" w:hAnsiTheme="minorEastAsia" w:eastAsiaTheme="minorEastAsia"/>
          <w:b/>
          <w:sz w:val="24"/>
          <w:szCs w:val="24"/>
          <w:lang w:val="en-US" w:eastAsia="zh-CN"/>
        </w:rPr>
      </w:pPr>
    </w:p>
    <w:tbl>
      <w:tblPr>
        <w:tblStyle w:val="8"/>
        <w:tblW w:w="9907" w:type="dxa"/>
        <w:tblInd w:w="-58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07"/>
      </w:tblGrid>
      <w:tr w14:paraId="123A77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97" w:hRule="atLeast"/>
        </w:trPr>
        <w:tc>
          <w:tcPr>
            <w:tcW w:w="9907" w:type="dxa"/>
          </w:tcPr>
          <w:p w14:paraId="6D14472F">
            <w:pPr>
              <w:numPr>
                <w:ilvl w:val="0"/>
                <w:numId w:val="1"/>
              </w:numPr>
              <w:spacing w:line="540" w:lineRule="exact"/>
              <w:ind w:firstLine="482" w:firstLineChars="200"/>
              <w:rPr>
                <w:b/>
                <w:bCs/>
                <w:sz w:val="24"/>
              </w:rPr>
            </w:pPr>
            <w:r>
              <w:rPr>
                <w:rFonts w:hint="eastAsia"/>
                <w:b/>
                <w:bCs/>
                <w:sz w:val="24"/>
              </w:rPr>
              <w:t>工程概况：</w:t>
            </w:r>
          </w:p>
          <w:p w14:paraId="5D2AA0D5">
            <w:pPr>
              <w:spacing w:line="540" w:lineRule="exact"/>
              <w:ind w:firstLine="470" w:firstLineChars="196"/>
              <w:rPr>
                <w:rFonts w:hint="eastAsia" w:ascii="宋体" w:hAnsi="宋体" w:cs="宋体"/>
                <w:sz w:val="24"/>
                <w:lang w:val="en-US" w:eastAsia="zh-CN"/>
              </w:rPr>
            </w:pPr>
            <w:r>
              <w:rPr>
                <w:rFonts w:hint="eastAsia" w:ascii="宋体" w:hAnsi="宋体" w:cs="宋体"/>
                <w:sz w:val="24"/>
                <w:lang w:val="en-US" w:eastAsia="zh-CN"/>
              </w:rPr>
              <w:t>项目名称：</w:t>
            </w:r>
            <w:r>
              <w:rPr>
                <w:sz w:val="24"/>
                <w:szCs w:val="24"/>
              </w:rPr>
              <w:t>江东天地分布式光伏</w:t>
            </w:r>
            <w:r>
              <w:rPr>
                <w:rFonts w:hint="eastAsia"/>
                <w:sz w:val="24"/>
                <w:szCs w:val="24"/>
                <w:lang w:val="en-US" w:eastAsia="zh-CN"/>
              </w:rPr>
              <w:t>发电</w:t>
            </w:r>
            <w:r>
              <w:rPr>
                <w:sz w:val="24"/>
                <w:szCs w:val="24"/>
              </w:rPr>
              <w:t>项目</w:t>
            </w:r>
          </w:p>
          <w:p w14:paraId="01ECEF04">
            <w:pPr>
              <w:spacing w:line="540" w:lineRule="exact"/>
              <w:ind w:firstLine="470" w:firstLineChars="196"/>
              <w:rPr>
                <w:rFonts w:hint="eastAsia" w:ascii="宋体" w:hAnsi="宋体" w:cs="宋体"/>
                <w:sz w:val="24"/>
                <w:lang w:val="en-US" w:eastAsia="zh-CN"/>
              </w:rPr>
            </w:pPr>
            <w:r>
              <w:rPr>
                <w:rFonts w:hint="eastAsia" w:ascii="宋体" w:hAnsi="宋体" w:cs="宋体"/>
                <w:sz w:val="24"/>
                <w:lang w:val="en-US" w:eastAsia="zh-CN"/>
              </w:rPr>
              <w:t>项目地点：海南。</w:t>
            </w:r>
          </w:p>
          <w:p w14:paraId="18240D23">
            <w:pPr>
              <w:spacing w:line="540" w:lineRule="exact"/>
              <w:ind w:firstLine="470" w:firstLineChars="196"/>
              <w:rPr>
                <w:rFonts w:hint="eastAsia" w:ascii="宋体" w:hAnsi="宋体" w:cs="宋体"/>
                <w:sz w:val="24"/>
                <w:lang w:val="en-US" w:eastAsia="zh-CN"/>
              </w:rPr>
            </w:pPr>
            <w:r>
              <w:rPr>
                <w:rFonts w:hint="eastAsia" w:ascii="宋体" w:hAnsi="宋体" w:cs="宋体"/>
                <w:sz w:val="24"/>
                <w:lang w:val="en-US" w:eastAsia="zh-CN"/>
              </w:rPr>
              <w:t>安装角度：10°</w:t>
            </w:r>
          </w:p>
          <w:p w14:paraId="44756F79">
            <w:pPr>
              <w:spacing w:line="540" w:lineRule="exact"/>
              <w:ind w:firstLine="470" w:firstLineChars="196"/>
              <w:rPr>
                <w:rFonts w:hint="eastAsia" w:ascii="宋体" w:hAnsi="宋体" w:cs="宋体"/>
                <w:sz w:val="24"/>
                <w:lang w:val="en-US" w:eastAsia="zh-CN"/>
              </w:rPr>
            </w:pPr>
            <w:r>
              <w:rPr>
                <w:rFonts w:hint="eastAsia" w:ascii="宋体" w:hAnsi="宋体" w:cs="宋体"/>
                <w:sz w:val="24"/>
                <w:lang w:val="en-US" w:eastAsia="zh-CN"/>
              </w:rPr>
              <w:t>并网电压：380V.</w:t>
            </w:r>
          </w:p>
          <w:p w14:paraId="6AB66E90">
            <w:pPr>
              <w:spacing w:line="540" w:lineRule="exact"/>
              <w:ind w:firstLine="470" w:firstLineChars="196"/>
              <w:rPr>
                <w:rFonts w:hint="eastAsia" w:ascii="宋体" w:hAnsi="宋体" w:cs="宋体"/>
                <w:sz w:val="24"/>
                <w:lang w:val="en-US" w:eastAsia="zh-CN"/>
              </w:rPr>
            </w:pPr>
            <w:r>
              <w:rPr>
                <w:rFonts w:hint="eastAsia" w:ascii="宋体" w:hAnsi="宋体" w:cs="宋体"/>
                <w:sz w:val="24"/>
                <w:lang w:val="en-US" w:eastAsia="zh-CN"/>
              </w:rPr>
              <w:t>并网模式："自发自用．模式．</w:t>
            </w:r>
          </w:p>
          <w:p w14:paraId="351BA851">
            <w:pPr>
              <w:spacing w:line="540" w:lineRule="exact"/>
              <w:ind w:firstLine="470" w:firstLineChars="196"/>
              <w:rPr>
                <w:rFonts w:hint="eastAsia" w:ascii="宋体" w:hAnsi="宋体" w:cs="宋体"/>
                <w:sz w:val="24"/>
                <w:lang w:val="en-US" w:eastAsia="zh-CN"/>
              </w:rPr>
            </w:pPr>
            <w:r>
              <w:rPr>
                <w:rFonts w:hint="eastAsia" w:ascii="宋体" w:hAnsi="宋体" w:cs="宋体"/>
                <w:sz w:val="24"/>
                <w:lang w:val="en-US" w:eastAsia="zh-CN"/>
              </w:rPr>
              <w:t>设计范围：(1）以380V并网箱出口为界；(2）含本项目的电气专业以下内容，电气设计说明、光伏系统电气主接线、光伏组件布置图、低压电缆敷设图、组串内部接线、逆变器接线、防雷接地布置图、电缆桥架布置图、电缆桥架防火封堵、逆变器和并网箱接地、接地零件、垂直接地极安装、电缆埋管断面图。</w:t>
            </w:r>
          </w:p>
          <w:p w14:paraId="481C89B1">
            <w:pPr>
              <w:spacing w:line="540" w:lineRule="exact"/>
              <w:ind w:firstLine="470" w:firstLineChars="196"/>
              <w:rPr>
                <w:rFonts w:hint="eastAsia" w:ascii="宋体" w:hAnsi="宋体" w:cs="宋体"/>
                <w:sz w:val="24"/>
                <w:lang w:val="en-US" w:eastAsia="zh-CN"/>
              </w:rPr>
            </w:pPr>
            <w:r>
              <w:rPr>
                <w:rFonts w:hint="eastAsia" w:ascii="宋体" w:hAnsi="宋体" w:cs="宋体"/>
                <w:sz w:val="24"/>
                <w:lang w:val="en-US" w:eastAsia="zh-CN"/>
              </w:rPr>
              <w:t>并网点处功率因素和电压调节能力应满足以下要求：应具备保证并网点处功率因素应在0.98（超前)0.98（滞后）范围内连续可调的能力，有特殊要求时，可做适当调整以稳定电压水平。</w:t>
            </w:r>
          </w:p>
          <w:p w14:paraId="72FC2418">
            <w:pPr>
              <w:spacing w:line="540" w:lineRule="exact"/>
              <w:ind w:firstLine="472" w:firstLineChars="196"/>
              <w:rPr>
                <w:rFonts w:ascii="华文楷体" w:hAnsi="华文楷体" w:eastAsia="华文楷体"/>
                <w:sz w:val="24"/>
              </w:rPr>
            </w:pPr>
            <w:r>
              <w:rPr>
                <w:rFonts w:hint="eastAsia"/>
                <w:b/>
                <w:bCs/>
                <w:sz w:val="24"/>
              </w:rPr>
              <w:t>二、工程量清单编制范围</w:t>
            </w:r>
            <w:r>
              <w:rPr>
                <w:rFonts w:hint="eastAsia" w:ascii="华文楷体" w:hAnsi="华文楷体" w:eastAsia="华文楷体"/>
                <w:sz w:val="24"/>
              </w:rPr>
              <w:t>：</w:t>
            </w:r>
          </w:p>
          <w:p w14:paraId="676FF890">
            <w:pPr>
              <w:pStyle w:val="17"/>
              <w:spacing w:line="420" w:lineRule="exact"/>
              <w:ind w:firstLineChars="0"/>
              <w:rPr>
                <w:rFonts w:hint="eastAsia" w:ascii="宋体" w:hAnsi="宋体" w:eastAsia="宋体" w:cs="Times New Roman"/>
                <w:kern w:val="2"/>
                <w:sz w:val="24"/>
                <w:szCs w:val="24"/>
                <w:lang w:val="en-US" w:eastAsia="zh-CN" w:bidi="ar-SA"/>
              </w:rPr>
            </w:pPr>
            <w:r>
              <w:rPr>
                <w:rFonts w:hint="eastAsia" w:ascii="宋体" w:hAnsi="宋体" w:eastAsia="宋体" w:cs="Times New Roman"/>
                <w:kern w:val="2"/>
                <w:sz w:val="24"/>
                <w:szCs w:val="24"/>
                <w:lang w:val="en-US" w:eastAsia="zh-CN" w:bidi="ar-SA"/>
              </w:rPr>
              <w:t>本次编制</w:t>
            </w:r>
            <w:r>
              <w:rPr>
                <w:rFonts w:hint="eastAsia" w:ascii="宋体" w:hAnsi="宋体" w:cs="Times New Roman"/>
                <w:kern w:val="2"/>
                <w:sz w:val="24"/>
                <w:szCs w:val="24"/>
                <w:lang w:val="en-US" w:eastAsia="zh-CN" w:bidi="ar-SA"/>
              </w:rPr>
              <w:t>为</w:t>
            </w:r>
            <w:r>
              <w:rPr>
                <w:rFonts w:hint="eastAsia" w:ascii="宋体" w:hAnsi="宋体" w:eastAsia="宋体" w:cs="Times New Roman"/>
                <w:kern w:val="2"/>
                <w:sz w:val="24"/>
                <w:szCs w:val="24"/>
                <w:lang w:val="en-US" w:eastAsia="zh-CN" w:bidi="ar-SA"/>
              </w:rPr>
              <w:t>施工图工作内容（具体详见工程量清单）。</w:t>
            </w:r>
          </w:p>
          <w:p w14:paraId="41E9A4A2">
            <w:pPr>
              <w:spacing w:line="540" w:lineRule="exact"/>
              <w:ind w:firstLine="482" w:firstLineChars="200"/>
              <w:rPr>
                <w:b/>
                <w:bCs/>
                <w:sz w:val="24"/>
              </w:rPr>
            </w:pPr>
            <w:r>
              <w:rPr>
                <w:rFonts w:hint="eastAsia"/>
                <w:b/>
                <w:bCs/>
                <w:sz w:val="24"/>
              </w:rPr>
              <w:t>三、工程量清单编制依据：</w:t>
            </w:r>
          </w:p>
          <w:p w14:paraId="2400E5DE">
            <w:pPr>
              <w:spacing w:line="540" w:lineRule="exact"/>
              <w:ind w:firstLine="480" w:firstLineChars="200"/>
              <w:rPr>
                <w:rFonts w:ascii="华文楷体" w:hAnsi="华文楷体" w:eastAsia="华文楷体"/>
                <w:sz w:val="24"/>
              </w:rPr>
            </w:pPr>
            <w:r>
              <w:rPr>
                <w:rFonts w:hint="eastAsia" w:ascii="华文楷体" w:hAnsi="华文楷体" w:eastAsia="华文楷体"/>
                <w:sz w:val="24"/>
                <w:szCs w:val="24"/>
              </w:rPr>
              <w:t>1、</w:t>
            </w:r>
            <w:r>
              <w:rPr>
                <w:sz w:val="24"/>
                <w:szCs w:val="24"/>
              </w:rPr>
              <w:t>江东天地分布式光伏</w:t>
            </w:r>
            <w:r>
              <w:rPr>
                <w:rFonts w:hint="eastAsia"/>
                <w:sz w:val="24"/>
                <w:szCs w:val="24"/>
                <w:lang w:val="en-US" w:eastAsia="zh-CN"/>
              </w:rPr>
              <w:t>发电</w:t>
            </w:r>
            <w:r>
              <w:rPr>
                <w:sz w:val="24"/>
                <w:szCs w:val="24"/>
              </w:rPr>
              <w:t>项</w:t>
            </w:r>
            <w:r>
              <w:t>目</w:t>
            </w:r>
            <w:r>
              <w:rPr>
                <w:rFonts w:hint="eastAsia" w:asciiTheme="minorEastAsia" w:hAnsiTheme="minorEastAsia" w:eastAsiaTheme="minorEastAsia" w:cstheme="minorEastAsia"/>
                <w:sz w:val="24"/>
                <w:szCs w:val="24"/>
              </w:rPr>
              <w:t>招标图纸；</w:t>
            </w:r>
          </w:p>
          <w:p w14:paraId="34110991">
            <w:pPr>
              <w:spacing w:line="540" w:lineRule="exact"/>
              <w:ind w:firstLine="480"/>
              <w:rPr>
                <w:rFonts w:hint="eastAsia" w:asciiTheme="minorEastAsia" w:hAnsiTheme="minorEastAsia" w:eastAsiaTheme="minorEastAsia"/>
                <w:sz w:val="24"/>
              </w:rPr>
            </w:pPr>
            <w:r>
              <w:rPr>
                <w:rFonts w:hint="eastAsia" w:asciiTheme="minorEastAsia" w:hAnsiTheme="minorEastAsia" w:eastAsiaTheme="minorEastAsia"/>
                <w:sz w:val="24"/>
              </w:rPr>
              <w:t>2、《建设工程工程量清单计价规范》GB50500-2013、《</w:t>
            </w:r>
            <w:r>
              <w:rPr>
                <w:rFonts w:hint="eastAsia" w:asciiTheme="minorEastAsia" w:hAnsiTheme="minorEastAsia" w:eastAsiaTheme="minorEastAsia"/>
                <w:sz w:val="24"/>
                <w:lang w:eastAsia="zh-CN"/>
              </w:rPr>
              <w:t>房屋建筑与装饰</w:t>
            </w:r>
            <w:r>
              <w:rPr>
                <w:rFonts w:hint="eastAsia" w:asciiTheme="minorEastAsia" w:hAnsiTheme="minorEastAsia" w:eastAsiaTheme="minorEastAsia"/>
                <w:sz w:val="24"/>
              </w:rPr>
              <w:t>工程工程量计算规范》GB5085</w:t>
            </w:r>
            <w:r>
              <w:rPr>
                <w:rFonts w:hint="eastAsia" w:asciiTheme="minorEastAsia" w:hAnsiTheme="minorEastAsia" w:eastAsiaTheme="minorEastAsia"/>
                <w:sz w:val="24"/>
                <w:lang w:val="en-US" w:eastAsia="zh-CN"/>
              </w:rPr>
              <w:t>4</w:t>
            </w:r>
            <w:r>
              <w:rPr>
                <w:rFonts w:hint="eastAsia" w:asciiTheme="minorEastAsia" w:hAnsiTheme="minorEastAsia" w:eastAsiaTheme="minorEastAsia"/>
                <w:sz w:val="24"/>
              </w:rPr>
              <w:t>-2013</w:t>
            </w:r>
            <w:r>
              <w:rPr>
                <w:rFonts w:hint="eastAsia" w:asciiTheme="minorEastAsia" w:hAnsiTheme="minorEastAsia" w:eastAsiaTheme="minorEastAsia"/>
                <w:sz w:val="24"/>
                <w:lang w:eastAsia="zh-CN"/>
              </w:rPr>
              <w:t>、</w:t>
            </w:r>
            <w:r>
              <w:rPr>
                <w:rFonts w:hint="eastAsia" w:asciiTheme="minorEastAsia" w:hAnsiTheme="minorEastAsia" w:eastAsiaTheme="minorEastAsia"/>
                <w:sz w:val="24"/>
              </w:rPr>
              <w:t>《</w:t>
            </w:r>
            <w:r>
              <w:rPr>
                <w:rFonts w:hint="eastAsia" w:asciiTheme="minorEastAsia" w:hAnsiTheme="minorEastAsia" w:eastAsiaTheme="minorEastAsia"/>
                <w:sz w:val="24"/>
                <w:lang w:eastAsia="zh-CN"/>
              </w:rPr>
              <w:t>市政</w:t>
            </w:r>
            <w:r>
              <w:rPr>
                <w:rFonts w:hint="eastAsia" w:asciiTheme="minorEastAsia" w:hAnsiTheme="minorEastAsia" w:eastAsiaTheme="minorEastAsia"/>
                <w:sz w:val="24"/>
              </w:rPr>
              <w:t>工程工程量计算规范》GB5085</w:t>
            </w:r>
            <w:r>
              <w:rPr>
                <w:rFonts w:hint="eastAsia" w:asciiTheme="minorEastAsia" w:hAnsiTheme="minorEastAsia" w:eastAsiaTheme="minorEastAsia"/>
                <w:sz w:val="24"/>
                <w:lang w:val="en-US" w:eastAsia="zh-CN"/>
              </w:rPr>
              <w:t>7</w:t>
            </w:r>
            <w:r>
              <w:rPr>
                <w:rFonts w:hint="eastAsia" w:asciiTheme="minorEastAsia" w:hAnsiTheme="minorEastAsia" w:eastAsiaTheme="minorEastAsia"/>
                <w:sz w:val="24"/>
              </w:rPr>
              <w:t>-2013等；</w:t>
            </w:r>
          </w:p>
          <w:p w14:paraId="665ECAC3">
            <w:pPr>
              <w:spacing w:line="540" w:lineRule="exact"/>
              <w:ind w:firstLine="480"/>
              <w:rPr>
                <w:rFonts w:hint="default" w:asciiTheme="minorEastAsia" w:hAnsiTheme="minorEastAsia" w:eastAsiaTheme="minorEastAsia"/>
                <w:sz w:val="24"/>
                <w:lang w:val="en-US" w:eastAsia="zh-CN"/>
              </w:rPr>
            </w:pPr>
            <w:r>
              <w:rPr>
                <w:rFonts w:hint="eastAsia" w:asciiTheme="minorEastAsia" w:hAnsiTheme="minorEastAsia" w:eastAsiaTheme="minorEastAsia"/>
                <w:sz w:val="24"/>
                <w:lang w:val="en-US" w:eastAsia="zh-CN"/>
              </w:rPr>
              <w:t>3、海南省建设工程计价依据；</w:t>
            </w:r>
          </w:p>
          <w:p w14:paraId="2E56D7B0">
            <w:pPr>
              <w:spacing w:line="540" w:lineRule="exact"/>
              <w:rPr>
                <w:rFonts w:asciiTheme="minorEastAsia" w:hAnsiTheme="minorEastAsia" w:eastAsiaTheme="minorEastAsia"/>
                <w:sz w:val="24"/>
              </w:rPr>
            </w:pPr>
            <w:r>
              <w:rPr>
                <w:rFonts w:hint="eastAsia" w:ascii="华文楷体" w:hAnsi="华文楷体" w:eastAsia="华文楷体"/>
                <w:sz w:val="24"/>
              </w:rPr>
              <w:t xml:space="preserve">  </w:t>
            </w:r>
            <w:r>
              <w:rPr>
                <w:rFonts w:hint="eastAsia" w:asciiTheme="minorEastAsia" w:hAnsiTheme="minorEastAsia" w:eastAsiaTheme="minorEastAsia"/>
                <w:sz w:val="24"/>
              </w:rPr>
              <w:t xml:space="preserve">  </w:t>
            </w:r>
            <w:r>
              <w:rPr>
                <w:rFonts w:hint="eastAsia" w:asciiTheme="minorEastAsia" w:hAnsiTheme="minorEastAsia" w:eastAsiaTheme="minorEastAsia"/>
                <w:sz w:val="24"/>
                <w:lang w:val="en-US" w:eastAsia="zh-CN"/>
              </w:rPr>
              <w:t>4</w:t>
            </w:r>
            <w:r>
              <w:rPr>
                <w:rFonts w:hint="eastAsia" w:asciiTheme="minorEastAsia" w:hAnsiTheme="minorEastAsia" w:eastAsiaTheme="minorEastAsia"/>
                <w:sz w:val="24"/>
              </w:rPr>
              <w:t>、</w:t>
            </w:r>
            <w:r>
              <w:rPr>
                <w:rFonts w:hint="eastAsia" w:asciiTheme="minorEastAsia" w:hAnsiTheme="minorEastAsia" w:eastAsiaTheme="minorEastAsia"/>
                <w:sz w:val="24"/>
                <w:lang w:val="en-US" w:eastAsia="zh-CN"/>
              </w:rPr>
              <w:t>海南</w:t>
            </w:r>
            <w:r>
              <w:rPr>
                <w:rFonts w:hint="eastAsia" w:asciiTheme="minorEastAsia" w:hAnsiTheme="minorEastAsia" w:eastAsiaTheme="minorEastAsia"/>
                <w:sz w:val="24"/>
              </w:rPr>
              <w:t>省及</w:t>
            </w:r>
            <w:r>
              <w:rPr>
                <w:rFonts w:hint="eastAsia" w:asciiTheme="minorEastAsia" w:hAnsiTheme="minorEastAsia" w:eastAsiaTheme="minorEastAsia"/>
                <w:sz w:val="24"/>
                <w:lang w:val="en-US" w:eastAsia="zh-CN"/>
              </w:rPr>
              <w:t>海口市</w:t>
            </w:r>
            <w:r>
              <w:rPr>
                <w:rFonts w:hint="eastAsia" w:asciiTheme="minorEastAsia" w:hAnsiTheme="minorEastAsia" w:eastAsiaTheme="minorEastAsia"/>
                <w:sz w:val="24"/>
              </w:rPr>
              <w:t>关于工程造价的相关文件及规定；</w:t>
            </w:r>
          </w:p>
          <w:p w14:paraId="67D6BAC2">
            <w:pPr>
              <w:spacing w:line="540" w:lineRule="exact"/>
              <w:ind w:firstLine="480"/>
              <w:rPr>
                <w:rFonts w:asciiTheme="minorEastAsia" w:hAnsiTheme="minorEastAsia" w:eastAsiaTheme="minorEastAsia"/>
                <w:sz w:val="24"/>
              </w:rPr>
            </w:pPr>
            <w:r>
              <w:rPr>
                <w:rFonts w:hint="eastAsia" w:asciiTheme="minorEastAsia" w:hAnsiTheme="minorEastAsia" w:eastAsiaTheme="minorEastAsia"/>
                <w:sz w:val="24"/>
                <w:lang w:val="en-US" w:eastAsia="zh-CN"/>
              </w:rPr>
              <w:t>5</w:t>
            </w:r>
            <w:r>
              <w:rPr>
                <w:rFonts w:hint="eastAsia" w:asciiTheme="minorEastAsia" w:hAnsiTheme="minorEastAsia" w:eastAsiaTheme="minorEastAsia"/>
                <w:sz w:val="24"/>
              </w:rPr>
              <w:t>、与建设工程项目有关的标准、规范、技术资料；</w:t>
            </w:r>
          </w:p>
          <w:p w14:paraId="7DA49939">
            <w:pPr>
              <w:spacing w:line="540" w:lineRule="exact"/>
              <w:ind w:firstLine="480"/>
              <w:rPr>
                <w:rFonts w:asciiTheme="minorEastAsia" w:hAnsiTheme="minorEastAsia" w:eastAsiaTheme="minorEastAsia"/>
                <w:sz w:val="24"/>
              </w:rPr>
            </w:pPr>
            <w:r>
              <w:rPr>
                <w:rFonts w:hint="eastAsia" w:asciiTheme="minorEastAsia" w:hAnsiTheme="minorEastAsia" w:eastAsiaTheme="minorEastAsia"/>
                <w:sz w:val="24"/>
                <w:lang w:val="en-US" w:eastAsia="zh-CN"/>
              </w:rPr>
              <w:t>6</w:t>
            </w:r>
            <w:r>
              <w:rPr>
                <w:rFonts w:hint="eastAsia" w:asciiTheme="minorEastAsia" w:hAnsiTheme="minorEastAsia" w:eastAsiaTheme="minorEastAsia"/>
                <w:sz w:val="24"/>
              </w:rPr>
              <w:t>、施工现场实际情况、工程特点；</w:t>
            </w:r>
          </w:p>
          <w:p w14:paraId="086235DA">
            <w:pPr>
              <w:spacing w:line="540" w:lineRule="exact"/>
              <w:ind w:firstLine="360" w:firstLineChars="150"/>
              <w:rPr>
                <w:rFonts w:asciiTheme="minorEastAsia" w:hAnsiTheme="minorEastAsia" w:eastAsiaTheme="minorEastAsia"/>
                <w:sz w:val="24"/>
              </w:rPr>
            </w:pPr>
            <w:r>
              <w:rPr>
                <w:rFonts w:hint="eastAsia" w:asciiTheme="minorEastAsia" w:hAnsiTheme="minorEastAsia" w:eastAsiaTheme="minorEastAsia"/>
                <w:sz w:val="24"/>
              </w:rPr>
              <w:t xml:space="preserve"> </w:t>
            </w:r>
            <w:r>
              <w:rPr>
                <w:rFonts w:hint="eastAsia" w:asciiTheme="minorEastAsia" w:hAnsiTheme="minorEastAsia" w:eastAsiaTheme="minorEastAsia"/>
                <w:sz w:val="24"/>
                <w:lang w:val="en-US" w:eastAsia="zh-CN"/>
              </w:rPr>
              <w:t>7</w:t>
            </w:r>
            <w:r>
              <w:rPr>
                <w:rFonts w:hint="eastAsia" w:asciiTheme="minorEastAsia" w:hAnsiTheme="minorEastAsia" w:eastAsiaTheme="minorEastAsia"/>
                <w:sz w:val="24"/>
              </w:rPr>
              <w:t>、工程量清单应与招标文件、招标项目图纸、清单编制答疑等文件结合起来查阅与理解，工程量清单中所描述的项目特征仅为招标人对该分部分项工程特征的概述，而非是工程特征的全面描述，计价时必须包含满足国家规范质量要求的所有费用。</w:t>
            </w:r>
          </w:p>
          <w:p w14:paraId="22FE0E52">
            <w:pPr>
              <w:spacing w:line="540" w:lineRule="exact"/>
              <w:ind w:firstLine="361" w:firstLineChars="150"/>
              <w:rPr>
                <w:b/>
                <w:bCs/>
                <w:sz w:val="24"/>
              </w:rPr>
            </w:pPr>
            <w:r>
              <w:rPr>
                <w:rFonts w:hint="eastAsia"/>
                <w:b/>
                <w:bCs/>
                <w:sz w:val="24"/>
              </w:rPr>
              <w:t>四、清单编制中需要说明的事项</w:t>
            </w:r>
          </w:p>
          <w:p w14:paraId="00E9079E">
            <w:pPr>
              <w:spacing w:line="540" w:lineRule="exact"/>
              <w:ind w:firstLine="361" w:firstLineChars="150"/>
              <w:rPr>
                <w:rFonts w:asciiTheme="minorEastAsia" w:hAnsiTheme="minorEastAsia" w:eastAsiaTheme="minorEastAsia"/>
                <w:b/>
                <w:sz w:val="24"/>
              </w:rPr>
            </w:pPr>
            <w:r>
              <w:rPr>
                <w:rFonts w:hint="eastAsia" w:asciiTheme="minorEastAsia" w:hAnsiTheme="minorEastAsia" w:eastAsiaTheme="minorEastAsia"/>
                <w:b/>
                <w:sz w:val="24"/>
              </w:rPr>
              <w:t>（一）总说明</w:t>
            </w:r>
          </w:p>
          <w:p w14:paraId="2F19412E">
            <w:pPr>
              <w:spacing w:line="540" w:lineRule="exact"/>
              <w:ind w:firstLine="595" w:firstLineChars="248"/>
              <w:rPr>
                <w:rFonts w:asciiTheme="minorEastAsia" w:hAnsiTheme="minorEastAsia" w:eastAsiaTheme="minorEastAsia"/>
                <w:sz w:val="24"/>
              </w:rPr>
            </w:pPr>
            <w:r>
              <w:rPr>
                <w:rFonts w:hint="eastAsia" w:asciiTheme="minorEastAsia" w:hAnsiTheme="minorEastAsia" w:eastAsiaTheme="minorEastAsia"/>
                <w:sz w:val="24"/>
              </w:rPr>
              <w:t>1、</w:t>
            </w:r>
            <w:r>
              <w:rPr>
                <w:rFonts w:asciiTheme="minorEastAsia" w:hAnsiTheme="minorEastAsia" w:eastAsiaTheme="minorEastAsia"/>
                <w:sz w:val="24"/>
              </w:rPr>
              <w:t>工程量清单的工程量（除特殊说明外）是按GB50500-2013计算规则进行计算编制的, 清单项目的计价原则是以实体安装就位的尺寸计算。工程项目编码是按GB50500-2013相应章次编号的,因此工程量清单各项目编码的范围、计量方式应与GB50500-2013的各条款相对应结合起来理解和解释。为了便于工程计量与结算,</w:t>
            </w:r>
            <w:r>
              <w:rPr>
                <w:rFonts w:hint="eastAsia" w:asciiTheme="minorEastAsia" w:hAnsiTheme="minorEastAsia" w:eastAsiaTheme="minorEastAsia"/>
                <w:sz w:val="24"/>
                <w:lang w:val="en-US" w:eastAsia="zh-CN"/>
              </w:rPr>
              <w:t>若</w:t>
            </w:r>
            <w:r>
              <w:rPr>
                <w:rFonts w:asciiTheme="minorEastAsia" w:hAnsiTheme="minorEastAsia" w:eastAsiaTheme="minorEastAsia"/>
                <w:sz w:val="24"/>
              </w:rPr>
              <w:t>工程量清单中个别项目改变了计量“单位”及“项目名称”,请投标人注意工程量清单中的计量“单位”及“项目名称”,必须按工程量清单所列的单位及项目名称进行报价</w:t>
            </w:r>
            <w:r>
              <w:rPr>
                <w:rFonts w:hint="eastAsia" w:asciiTheme="minorEastAsia" w:hAnsiTheme="minorEastAsia" w:eastAsiaTheme="minorEastAsia"/>
                <w:sz w:val="24"/>
              </w:rPr>
              <w:t>；</w:t>
            </w:r>
          </w:p>
          <w:p w14:paraId="0184433E">
            <w:pPr>
              <w:spacing w:line="540" w:lineRule="exact"/>
              <w:ind w:firstLine="595" w:firstLineChars="248"/>
              <w:rPr>
                <w:rFonts w:asciiTheme="minorEastAsia" w:hAnsiTheme="minorEastAsia" w:eastAsiaTheme="minorEastAsia"/>
                <w:sz w:val="24"/>
              </w:rPr>
            </w:pPr>
            <w:r>
              <w:rPr>
                <w:rFonts w:hint="eastAsia" w:asciiTheme="minorEastAsia" w:hAnsiTheme="minorEastAsia" w:eastAsiaTheme="minorEastAsia"/>
                <w:sz w:val="24"/>
              </w:rPr>
              <w:t>2、</w:t>
            </w:r>
            <w:r>
              <w:rPr>
                <w:rFonts w:asciiTheme="minorEastAsia" w:hAnsiTheme="minorEastAsia" w:eastAsiaTheme="minorEastAsia"/>
                <w:sz w:val="24"/>
              </w:rPr>
              <w:t>工程量清单应与招标文件中的投标人须知、合同条款、技术标准和要求及图纸等一起阅读和理解，互为补充</w:t>
            </w:r>
            <w:r>
              <w:rPr>
                <w:rFonts w:hint="eastAsia" w:asciiTheme="minorEastAsia" w:hAnsiTheme="minorEastAsia" w:eastAsiaTheme="minorEastAsia"/>
                <w:sz w:val="24"/>
              </w:rPr>
              <w:t>。</w:t>
            </w:r>
          </w:p>
          <w:p w14:paraId="00952F8F">
            <w:pPr>
              <w:spacing w:line="540" w:lineRule="exact"/>
              <w:ind w:firstLine="598" w:firstLineChars="248"/>
              <w:rPr>
                <w:rFonts w:asciiTheme="minorEastAsia" w:hAnsiTheme="minorEastAsia" w:eastAsiaTheme="minorEastAsia"/>
                <w:b/>
                <w:sz w:val="24"/>
              </w:rPr>
            </w:pPr>
            <w:r>
              <w:rPr>
                <w:rFonts w:hint="eastAsia" w:asciiTheme="minorEastAsia" w:hAnsiTheme="minorEastAsia" w:eastAsiaTheme="minorEastAsia"/>
                <w:b/>
                <w:sz w:val="24"/>
              </w:rPr>
              <w:t>（二）专业说明</w:t>
            </w:r>
          </w:p>
          <w:p w14:paraId="7770AFC3">
            <w:pPr>
              <w:spacing w:line="480" w:lineRule="exact"/>
              <w:ind w:firstLine="480" w:firstLineChars="200"/>
              <w:rPr>
                <w:rFonts w:asciiTheme="minorEastAsia" w:hAnsiTheme="minorEastAsia" w:eastAsiaTheme="minorEastAsia"/>
                <w:sz w:val="24"/>
              </w:rPr>
            </w:pPr>
            <w:r>
              <w:rPr>
                <w:rFonts w:hint="eastAsia" w:asciiTheme="minorEastAsia" w:hAnsiTheme="minorEastAsia" w:eastAsiaTheme="minorEastAsia"/>
                <w:sz w:val="24"/>
              </w:rPr>
              <w:t>1、工程量清单中单价均应包括人工费、材料费、机械费、管理费、利润</w:t>
            </w:r>
            <w:r>
              <w:rPr>
                <w:rFonts w:hint="eastAsia" w:asciiTheme="minorEastAsia" w:hAnsiTheme="minorEastAsia" w:eastAsiaTheme="minorEastAsia"/>
                <w:sz w:val="24"/>
                <w:lang w:eastAsia="zh-CN"/>
              </w:rPr>
              <w:t>、</w:t>
            </w:r>
            <w:r>
              <w:rPr>
                <w:rFonts w:hint="eastAsia" w:asciiTheme="minorEastAsia" w:hAnsiTheme="minorEastAsia" w:eastAsiaTheme="minorEastAsia"/>
                <w:sz w:val="24"/>
                <w:lang w:val="en-US" w:eastAsia="zh-CN"/>
              </w:rPr>
              <w:t>规费、税金</w:t>
            </w:r>
            <w:r>
              <w:rPr>
                <w:rFonts w:hint="eastAsia" w:asciiTheme="minorEastAsia" w:hAnsiTheme="minorEastAsia" w:eastAsiaTheme="minorEastAsia"/>
                <w:sz w:val="24"/>
              </w:rPr>
              <w:t xml:space="preserve">以及现行取费中的有关费用、有关文件规定的调价以及根据本招标文件要求的风险金等全部费用； </w:t>
            </w:r>
          </w:p>
          <w:p w14:paraId="47F69F64">
            <w:pPr>
              <w:pStyle w:val="17"/>
              <w:spacing w:line="440" w:lineRule="exact"/>
              <w:rPr>
                <w:rFonts w:hint="default" w:asciiTheme="minorEastAsia" w:hAnsiTheme="minorEastAsia" w:eastAsiaTheme="minorEastAsia"/>
                <w:sz w:val="24"/>
                <w:lang w:val="en-US" w:eastAsia="zh-CN"/>
              </w:rPr>
            </w:pPr>
            <w:r>
              <w:rPr>
                <w:rFonts w:hint="eastAsia" w:asciiTheme="minorEastAsia" w:hAnsiTheme="minorEastAsia" w:eastAsiaTheme="minorEastAsia"/>
                <w:sz w:val="24"/>
                <w:lang w:val="en-US" w:eastAsia="zh-CN"/>
              </w:rPr>
              <w:t>2、甲、乙供材料区分</w:t>
            </w:r>
            <w:bookmarkStart w:id="0" w:name="_GoBack"/>
            <w:bookmarkEnd w:id="0"/>
          </w:p>
          <w:p w14:paraId="082F1E8E">
            <w:pPr>
              <w:pStyle w:val="17"/>
              <w:spacing w:line="440" w:lineRule="exact"/>
              <w:rPr>
                <w:rFonts w:hint="default" w:asciiTheme="minorEastAsia" w:hAnsiTheme="minorEastAsia" w:eastAsiaTheme="minorEastAsia"/>
                <w:sz w:val="24"/>
                <w:lang w:val="en-US" w:eastAsia="zh-CN"/>
              </w:rPr>
            </w:pPr>
            <w:r>
              <w:rPr>
                <w:rFonts w:hint="eastAsia" w:asciiTheme="minorEastAsia" w:hAnsiTheme="minorEastAsia" w:eastAsiaTheme="minorEastAsia"/>
                <w:sz w:val="24"/>
                <w:lang w:val="en-US" w:eastAsia="zh-CN"/>
              </w:rPr>
              <w:t>甲供材料：光伏组件、逆变器、混凝土配重块；</w:t>
            </w:r>
          </w:p>
          <w:p w14:paraId="716DD7A4">
            <w:pPr>
              <w:pStyle w:val="17"/>
              <w:spacing w:line="440" w:lineRule="exact"/>
              <w:rPr>
                <w:rFonts w:hint="default" w:ascii="宋体" w:hAnsi="宋体" w:eastAsia="宋体" w:cs="宋体"/>
                <w:color w:val="auto"/>
                <w:sz w:val="24"/>
                <w:szCs w:val="24"/>
                <w:highlight w:val="none"/>
                <w:lang w:val="en-US" w:eastAsia="zh-CN"/>
              </w:rPr>
            </w:pPr>
            <w:r>
              <w:rPr>
                <w:rFonts w:hint="eastAsia" w:asciiTheme="minorEastAsia" w:hAnsiTheme="minorEastAsia" w:eastAsiaTheme="minorEastAsia"/>
                <w:sz w:val="24"/>
              </w:rPr>
              <w:t>乙供材料：除甲供材料以外的其它</w:t>
            </w:r>
            <w:r>
              <w:rPr>
                <w:rFonts w:hint="eastAsia" w:asciiTheme="minorEastAsia" w:hAnsiTheme="minorEastAsia" w:eastAsiaTheme="minorEastAsia"/>
                <w:sz w:val="24"/>
                <w:lang w:val="en-US" w:eastAsia="zh-CN"/>
              </w:rPr>
              <w:t>各类材料</w:t>
            </w:r>
            <w:r>
              <w:rPr>
                <w:rFonts w:hint="eastAsia" w:asciiTheme="minorEastAsia" w:hAnsiTheme="minorEastAsia" w:eastAsiaTheme="minorEastAsia"/>
                <w:sz w:val="24"/>
              </w:rPr>
              <w:t>。</w:t>
            </w:r>
          </w:p>
          <w:p w14:paraId="6AF4E213">
            <w:pPr>
              <w:pStyle w:val="17"/>
              <w:spacing w:line="440" w:lineRule="exact"/>
              <w:ind w:firstLine="240" w:firstLineChars="100"/>
              <w:rPr>
                <w:rFonts w:hint="default" w:ascii="宋体" w:hAnsi="宋体" w:cs="宋体"/>
                <w:color w:val="auto"/>
                <w:sz w:val="24"/>
                <w:szCs w:val="24"/>
                <w:highlight w:val="none"/>
                <w:lang w:val="en-US" w:eastAsia="zh-CN"/>
              </w:rPr>
            </w:pPr>
          </w:p>
        </w:tc>
      </w:tr>
    </w:tbl>
    <w:p w14:paraId="7C74D220">
      <w:pPr>
        <w:bidi w:val="0"/>
        <w:jc w:val="left"/>
        <w:rPr>
          <w:lang w:val="en-US" w:eastAsia="zh-CN"/>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楷体">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6ADB09F">
    <w:pPr>
      <w:pStyle w:val="5"/>
      <w:jc w:val="center"/>
    </w:pPr>
    <w:r>
      <w:rPr>
        <w:rFonts w:hint="eastAsia"/>
      </w:rPr>
      <w:t>第</w:t>
    </w: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r>
      <w:rPr>
        <w:rFonts w:hint="eastAsia"/>
      </w:rPr>
      <w:t>页共</w:t>
    </w:r>
    <w:r>
      <w:fldChar w:fldCharType="begin"/>
    </w:r>
    <w:r>
      <w:instrText xml:space="preserve"> NUMPAGES  \* MERGEFORMAT </w:instrText>
    </w:r>
    <w:r>
      <w:fldChar w:fldCharType="separate"/>
    </w:r>
    <w:r>
      <w:t>1</w:t>
    </w:r>
    <w:r>
      <w:fldChar w:fldCharType="end"/>
    </w:r>
    <w:r>
      <w:rPr>
        <w:rFonts w:hint="eastAsia"/>
      </w:rPr>
      <w:t>页</w: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7EF0DBC"/>
    <w:multiLevelType w:val="singleLevel"/>
    <w:tmpl w:val="57EF0DBC"/>
    <w:lvl w:ilvl="0" w:tentative="0">
      <w:start w:val="1"/>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YzNjBkOTgyNWQ1YTMxYzM3MzMwNWFiODNmOWIzYWMifQ=="/>
  </w:docVars>
  <w:rsids>
    <w:rsidRoot w:val="00061CA1"/>
    <w:rsid w:val="0001126E"/>
    <w:rsid w:val="000145DF"/>
    <w:rsid w:val="00014C5F"/>
    <w:rsid w:val="000241B0"/>
    <w:rsid w:val="0003285E"/>
    <w:rsid w:val="00057767"/>
    <w:rsid w:val="0006116A"/>
    <w:rsid w:val="00061CA1"/>
    <w:rsid w:val="000622F0"/>
    <w:rsid w:val="000673A5"/>
    <w:rsid w:val="0007142A"/>
    <w:rsid w:val="0008376F"/>
    <w:rsid w:val="000902AD"/>
    <w:rsid w:val="000D04EE"/>
    <w:rsid w:val="000E2236"/>
    <w:rsid w:val="000F0C61"/>
    <w:rsid w:val="00102590"/>
    <w:rsid w:val="00112043"/>
    <w:rsid w:val="00125182"/>
    <w:rsid w:val="00135590"/>
    <w:rsid w:val="00141392"/>
    <w:rsid w:val="00173999"/>
    <w:rsid w:val="00180609"/>
    <w:rsid w:val="00193544"/>
    <w:rsid w:val="001A14B1"/>
    <w:rsid w:val="001B76E1"/>
    <w:rsid w:val="001B7DCE"/>
    <w:rsid w:val="001C11C5"/>
    <w:rsid w:val="001C1AC5"/>
    <w:rsid w:val="001C2A38"/>
    <w:rsid w:val="001E60E7"/>
    <w:rsid w:val="00224ABC"/>
    <w:rsid w:val="00234A7B"/>
    <w:rsid w:val="00240048"/>
    <w:rsid w:val="00250C3D"/>
    <w:rsid w:val="00270C1F"/>
    <w:rsid w:val="002A3630"/>
    <w:rsid w:val="002C263F"/>
    <w:rsid w:val="002F3A3F"/>
    <w:rsid w:val="003113AA"/>
    <w:rsid w:val="00322A90"/>
    <w:rsid w:val="00342507"/>
    <w:rsid w:val="00342DA1"/>
    <w:rsid w:val="00344A14"/>
    <w:rsid w:val="00367F0D"/>
    <w:rsid w:val="003736F3"/>
    <w:rsid w:val="003844D7"/>
    <w:rsid w:val="003A2B41"/>
    <w:rsid w:val="003B5A3D"/>
    <w:rsid w:val="003D0F51"/>
    <w:rsid w:val="003F085B"/>
    <w:rsid w:val="003F67E3"/>
    <w:rsid w:val="004013DF"/>
    <w:rsid w:val="00412DB6"/>
    <w:rsid w:val="0041540B"/>
    <w:rsid w:val="00452544"/>
    <w:rsid w:val="00484C7C"/>
    <w:rsid w:val="004A66E3"/>
    <w:rsid w:val="004C79C4"/>
    <w:rsid w:val="004D02AD"/>
    <w:rsid w:val="004D7FA4"/>
    <w:rsid w:val="004E07E9"/>
    <w:rsid w:val="004F77D2"/>
    <w:rsid w:val="00526909"/>
    <w:rsid w:val="00543BA4"/>
    <w:rsid w:val="00551BD7"/>
    <w:rsid w:val="00556B62"/>
    <w:rsid w:val="00576A47"/>
    <w:rsid w:val="00583774"/>
    <w:rsid w:val="005971DA"/>
    <w:rsid w:val="005A4C56"/>
    <w:rsid w:val="005B6984"/>
    <w:rsid w:val="005C3CEC"/>
    <w:rsid w:val="005E7D2B"/>
    <w:rsid w:val="005F5BAF"/>
    <w:rsid w:val="00607C57"/>
    <w:rsid w:val="006125A2"/>
    <w:rsid w:val="00626174"/>
    <w:rsid w:val="00635D50"/>
    <w:rsid w:val="0064202F"/>
    <w:rsid w:val="0066634C"/>
    <w:rsid w:val="00674B0F"/>
    <w:rsid w:val="00693CB7"/>
    <w:rsid w:val="006A3D1F"/>
    <w:rsid w:val="006B0AC6"/>
    <w:rsid w:val="006B34C0"/>
    <w:rsid w:val="006B6141"/>
    <w:rsid w:val="006D147A"/>
    <w:rsid w:val="006E2D7A"/>
    <w:rsid w:val="006E64C9"/>
    <w:rsid w:val="00704EC9"/>
    <w:rsid w:val="00713E17"/>
    <w:rsid w:val="00735031"/>
    <w:rsid w:val="007600BA"/>
    <w:rsid w:val="00760516"/>
    <w:rsid w:val="007629F4"/>
    <w:rsid w:val="00796622"/>
    <w:rsid w:val="007A1263"/>
    <w:rsid w:val="007B6650"/>
    <w:rsid w:val="007D2044"/>
    <w:rsid w:val="007D4A7A"/>
    <w:rsid w:val="007F540F"/>
    <w:rsid w:val="008054D2"/>
    <w:rsid w:val="0083702C"/>
    <w:rsid w:val="00851196"/>
    <w:rsid w:val="00863F28"/>
    <w:rsid w:val="00864DA2"/>
    <w:rsid w:val="00866208"/>
    <w:rsid w:val="00866C96"/>
    <w:rsid w:val="008805A3"/>
    <w:rsid w:val="00894731"/>
    <w:rsid w:val="008A74A2"/>
    <w:rsid w:val="00910317"/>
    <w:rsid w:val="009246B2"/>
    <w:rsid w:val="00960589"/>
    <w:rsid w:val="00963181"/>
    <w:rsid w:val="00972DC1"/>
    <w:rsid w:val="0099516F"/>
    <w:rsid w:val="009A3C9B"/>
    <w:rsid w:val="009B0B20"/>
    <w:rsid w:val="009B573D"/>
    <w:rsid w:val="009D4F3D"/>
    <w:rsid w:val="009E032C"/>
    <w:rsid w:val="00A04799"/>
    <w:rsid w:val="00A977E8"/>
    <w:rsid w:val="00AA3E20"/>
    <w:rsid w:val="00AA6F37"/>
    <w:rsid w:val="00AB56F6"/>
    <w:rsid w:val="00AC49C5"/>
    <w:rsid w:val="00AC61A8"/>
    <w:rsid w:val="00AD49EE"/>
    <w:rsid w:val="00AE3C7D"/>
    <w:rsid w:val="00AE79B0"/>
    <w:rsid w:val="00AF16C1"/>
    <w:rsid w:val="00B03B04"/>
    <w:rsid w:val="00B0436E"/>
    <w:rsid w:val="00B135DF"/>
    <w:rsid w:val="00B32376"/>
    <w:rsid w:val="00B35B14"/>
    <w:rsid w:val="00B407CC"/>
    <w:rsid w:val="00B46BDC"/>
    <w:rsid w:val="00B6381E"/>
    <w:rsid w:val="00B85817"/>
    <w:rsid w:val="00B871A1"/>
    <w:rsid w:val="00BB0303"/>
    <w:rsid w:val="00BF45D9"/>
    <w:rsid w:val="00BF60D7"/>
    <w:rsid w:val="00C30114"/>
    <w:rsid w:val="00C30164"/>
    <w:rsid w:val="00C3084C"/>
    <w:rsid w:val="00C349F8"/>
    <w:rsid w:val="00C424ED"/>
    <w:rsid w:val="00C56E53"/>
    <w:rsid w:val="00C6228B"/>
    <w:rsid w:val="00CA7340"/>
    <w:rsid w:val="00CF08ED"/>
    <w:rsid w:val="00CF5C7D"/>
    <w:rsid w:val="00D00F03"/>
    <w:rsid w:val="00D02444"/>
    <w:rsid w:val="00D02EE9"/>
    <w:rsid w:val="00D169AB"/>
    <w:rsid w:val="00D177A5"/>
    <w:rsid w:val="00D3268C"/>
    <w:rsid w:val="00D3333F"/>
    <w:rsid w:val="00D43176"/>
    <w:rsid w:val="00D451EF"/>
    <w:rsid w:val="00D45E51"/>
    <w:rsid w:val="00D833E1"/>
    <w:rsid w:val="00D94FB7"/>
    <w:rsid w:val="00DA15D8"/>
    <w:rsid w:val="00DA4434"/>
    <w:rsid w:val="00DC0735"/>
    <w:rsid w:val="00DD0461"/>
    <w:rsid w:val="00DE6341"/>
    <w:rsid w:val="00DF3EE8"/>
    <w:rsid w:val="00E0487A"/>
    <w:rsid w:val="00E1508D"/>
    <w:rsid w:val="00E24858"/>
    <w:rsid w:val="00E27D2C"/>
    <w:rsid w:val="00E30313"/>
    <w:rsid w:val="00E335AB"/>
    <w:rsid w:val="00E558B6"/>
    <w:rsid w:val="00E645B6"/>
    <w:rsid w:val="00E65864"/>
    <w:rsid w:val="00E677F3"/>
    <w:rsid w:val="00E763DB"/>
    <w:rsid w:val="00E81642"/>
    <w:rsid w:val="00EA2535"/>
    <w:rsid w:val="00EC7320"/>
    <w:rsid w:val="00ED52B7"/>
    <w:rsid w:val="00ED60CE"/>
    <w:rsid w:val="00EE2719"/>
    <w:rsid w:val="00F0780C"/>
    <w:rsid w:val="00F309E7"/>
    <w:rsid w:val="00F30F8D"/>
    <w:rsid w:val="00F448D8"/>
    <w:rsid w:val="00F63E46"/>
    <w:rsid w:val="00F64F37"/>
    <w:rsid w:val="00F77B60"/>
    <w:rsid w:val="00FA5FED"/>
    <w:rsid w:val="00FB3AF2"/>
    <w:rsid w:val="00FD323A"/>
    <w:rsid w:val="00FE219E"/>
    <w:rsid w:val="012E4E4D"/>
    <w:rsid w:val="01641217"/>
    <w:rsid w:val="017104B7"/>
    <w:rsid w:val="01870FA3"/>
    <w:rsid w:val="02732297"/>
    <w:rsid w:val="02B0753F"/>
    <w:rsid w:val="02C9618E"/>
    <w:rsid w:val="035230DF"/>
    <w:rsid w:val="044B2F80"/>
    <w:rsid w:val="04D626CB"/>
    <w:rsid w:val="05483C57"/>
    <w:rsid w:val="058F647E"/>
    <w:rsid w:val="059E6B6D"/>
    <w:rsid w:val="05AD365D"/>
    <w:rsid w:val="061E03DB"/>
    <w:rsid w:val="06222F86"/>
    <w:rsid w:val="0722234E"/>
    <w:rsid w:val="07223C4D"/>
    <w:rsid w:val="07411D1E"/>
    <w:rsid w:val="082555E3"/>
    <w:rsid w:val="08632896"/>
    <w:rsid w:val="086B3E4C"/>
    <w:rsid w:val="09B92928"/>
    <w:rsid w:val="0A464F91"/>
    <w:rsid w:val="0A503A46"/>
    <w:rsid w:val="0ADE5C39"/>
    <w:rsid w:val="0B1D1462"/>
    <w:rsid w:val="0B4C12C9"/>
    <w:rsid w:val="0B74713E"/>
    <w:rsid w:val="0B8050FE"/>
    <w:rsid w:val="0BF32652"/>
    <w:rsid w:val="0C277376"/>
    <w:rsid w:val="0C6038A0"/>
    <w:rsid w:val="0C7258D2"/>
    <w:rsid w:val="0C990B3B"/>
    <w:rsid w:val="0CDA05EF"/>
    <w:rsid w:val="0CF70FF0"/>
    <w:rsid w:val="0D0904C7"/>
    <w:rsid w:val="0D843F58"/>
    <w:rsid w:val="0F6F1EDA"/>
    <w:rsid w:val="0F7E6E0B"/>
    <w:rsid w:val="0FEF25FB"/>
    <w:rsid w:val="104A7F8A"/>
    <w:rsid w:val="10DE3E5F"/>
    <w:rsid w:val="10FB77D5"/>
    <w:rsid w:val="11871075"/>
    <w:rsid w:val="11C00242"/>
    <w:rsid w:val="121B358B"/>
    <w:rsid w:val="12C64D9E"/>
    <w:rsid w:val="14373479"/>
    <w:rsid w:val="145B18C3"/>
    <w:rsid w:val="148815EA"/>
    <w:rsid w:val="14A478A4"/>
    <w:rsid w:val="14D34EF9"/>
    <w:rsid w:val="15E30845"/>
    <w:rsid w:val="163B75A5"/>
    <w:rsid w:val="16636C4C"/>
    <w:rsid w:val="166C20E1"/>
    <w:rsid w:val="16E13BE4"/>
    <w:rsid w:val="16E42ED7"/>
    <w:rsid w:val="16FB64ED"/>
    <w:rsid w:val="172E6767"/>
    <w:rsid w:val="1755094C"/>
    <w:rsid w:val="17814D36"/>
    <w:rsid w:val="17E00C40"/>
    <w:rsid w:val="193B76D0"/>
    <w:rsid w:val="19D11E91"/>
    <w:rsid w:val="1A0A6548"/>
    <w:rsid w:val="1B5576F0"/>
    <w:rsid w:val="1BBA568C"/>
    <w:rsid w:val="1C2A2B43"/>
    <w:rsid w:val="1C767680"/>
    <w:rsid w:val="1C7F7E6B"/>
    <w:rsid w:val="1CF40186"/>
    <w:rsid w:val="1D611EE6"/>
    <w:rsid w:val="1DA93C78"/>
    <w:rsid w:val="1DC16F17"/>
    <w:rsid w:val="1F66166E"/>
    <w:rsid w:val="1F6B34FD"/>
    <w:rsid w:val="1F83451D"/>
    <w:rsid w:val="1FD63D68"/>
    <w:rsid w:val="1FFF7B04"/>
    <w:rsid w:val="201672A5"/>
    <w:rsid w:val="2100256C"/>
    <w:rsid w:val="21662949"/>
    <w:rsid w:val="222439F9"/>
    <w:rsid w:val="2257533C"/>
    <w:rsid w:val="22D45D3A"/>
    <w:rsid w:val="235C4BA2"/>
    <w:rsid w:val="23BD0CDC"/>
    <w:rsid w:val="23FF5084"/>
    <w:rsid w:val="24045E7D"/>
    <w:rsid w:val="24094909"/>
    <w:rsid w:val="244C5986"/>
    <w:rsid w:val="244E5E7B"/>
    <w:rsid w:val="24550BDD"/>
    <w:rsid w:val="248A4E91"/>
    <w:rsid w:val="24AB4909"/>
    <w:rsid w:val="24D37E91"/>
    <w:rsid w:val="24EC122B"/>
    <w:rsid w:val="25647390"/>
    <w:rsid w:val="258F66DE"/>
    <w:rsid w:val="259708A3"/>
    <w:rsid w:val="261D6EA6"/>
    <w:rsid w:val="26A0158C"/>
    <w:rsid w:val="270427BF"/>
    <w:rsid w:val="27085286"/>
    <w:rsid w:val="27555C33"/>
    <w:rsid w:val="275F68F8"/>
    <w:rsid w:val="27BF5C49"/>
    <w:rsid w:val="28AC5D20"/>
    <w:rsid w:val="28C93B3B"/>
    <w:rsid w:val="28DE1C10"/>
    <w:rsid w:val="29001EE9"/>
    <w:rsid w:val="292E31D5"/>
    <w:rsid w:val="2A154657"/>
    <w:rsid w:val="2A1770AC"/>
    <w:rsid w:val="2B616593"/>
    <w:rsid w:val="2D1C76B9"/>
    <w:rsid w:val="2DDB34CB"/>
    <w:rsid w:val="2E9B230F"/>
    <w:rsid w:val="2ED03C80"/>
    <w:rsid w:val="2F282CC4"/>
    <w:rsid w:val="2F2F20D7"/>
    <w:rsid w:val="301010F7"/>
    <w:rsid w:val="307079F4"/>
    <w:rsid w:val="307A545E"/>
    <w:rsid w:val="30B5507D"/>
    <w:rsid w:val="31375BB3"/>
    <w:rsid w:val="322743F6"/>
    <w:rsid w:val="323171F9"/>
    <w:rsid w:val="330F5C4B"/>
    <w:rsid w:val="333A7F31"/>
    <w:rsid w:val="334F59D3"/>
    <w:rsid w:val="34A9547E"/>
    <w:rsid w:val="3574154C"/>
    <w:rsid w:val="357D7ED6"/>
    <w:rsid w:val="36871DDB"/>
    <w:rsid w:val="3769110E"/>
    <w:rsid w:val="37BE13E2"/>
    <w:rsid w:val="38273256"/>
    <w:rsid w:val="388B3816"/>
    <w:rsid w:val="389648DD"/>
    <w:rsid w:val="396C7022"/>
    <w:rsid w:val="396E1009"/>
    <w:rsid w:val="3A7775C3"/>
    <w:rsid w:val="3BAE54D4"/>
    <w:rsid w:val="3BB71A8C"/>
    <w:rsid w:val="3BFD526D"/>
    <w:rsid w:val="3CF05AEF"/>
    <w:rsid w:val="3D6D6064"/>
    <w:rsid w:val="3D7F7FD0"/>
    <w:rsid w:val="3E280455"/>
    <w:rsid w:val="3F0D63D3"/>
    <w:rsid w:val="3F5900B0"/>
    <w:rsid w:val="3F5B76C7"/>
    <w:rsid w:val="3F9C775E"/>
    <w:rsid w:val="40F61802"/>
    <w:rsid w:val="413004B4"/>
    <w:rsid w:val="413B6994"/>
    <w:rsid w:val="41AB00E2"/>
    <w:rsid w:val="42191829"/>
    <w:rsid w:val="425271D9"/>
    <w:rsid w:val="42797393"/>
    <w:rsid w:val="42A83897"/>
    <w:rsid w:val="432C60D6"/>
    <w:rsid w:val="44BA08B6"/>
    <w:rsid w:val="452B5095"/>
    <w:rsid w:val="45401D40"/>
    <w:rsid w:val="45505621"/>
    <w:rsid w:val="463D1FE3"/>
    <w:rsid w:val="464C5E80"/>
    <w:rsid w:val="467A21BC"/>
    <w:rsid w:val="47130D12"/>
    <w:rsid w:val="474779D3"/>
    <w:rsid w:val="47AC7CA1"/>
    <w:rsid w:val="47FE4C23"/>
    <w:rsid w:val="483571D3"/>
    <w:rsid w:val="486C3B91"/>
    <w:rsid w:val="488634E0"/>
    <w:rsid w:val="49BE4AEF"/>
    <w:rsid w:val="49D06AE3"/>
    <w:rsid w:val="49DC4922"/>
    <w:rsid w:val="4A13286B"/>
    <w:rsid w:val="4A317384"/>
    <w:rsid w:val="4A5B7B26"/>
    <w:rsid w:val="4AC107EB"/>
    <w:rsid w:val="4B364751"/>
    <w:rsid w:val="4B4B739F"/>
    <w:rsid w:val="4B9444AE"/>
    <w:rsid w:val="4C485042"/>
    <w:rsid w:val="4C8C2963"/>
    <w:rsid w:val="4C914332"/>
    <w:rsid w:val="4CA60E9C"/>
    <w:rsid w:val="4DB2110E"/>
    <w:rsid w:val="4E5F615D"/>
    <w:rsid w:val="4F19357C"/>
    <w:rsid w:val="4F4D5BFD"/>
    <w:rsid w:val="4FDF35AC"/>
    <w:rsid w:val="50461DF2"/>
    <w:rsid w:val="51B165C3"/>
    <w:rsid w:val="51CA5F9A"/>
    <w:rsid w:val="521A14F5"/>
    <w:rsid w:val="522125EC"/>
    <w:rsid w:val="526452B0"/>
    <w:rsid w:val="527B27AC"/>
    <w:rsid w:val="53114D04"/>
    <w:rsid w:val="534721F7"/>
    <w:rsid w:val="539018DD"/>
    <w:rsid w:val="53AD56CC"/>
    <w:rsid w:val="53B74C3B"/>
    <w:rsid w:val="53DD5AE6"/>
    <w:rsid w:val="543B60D3"/>
    <w:rsid w:val="55541150"/>
    <w:rsid w:val="556B1B0D"/>
    <w:rsid w:val="561A086F"/>
    <w:rsid w:val="56780489"/>
    <w:rsid w:val="56E41E4D"/>
    <w:rsid w:val="572370DA"/>
    <w:rsid w:val="57B804D9"/>
    <w:rsid w:val="57E24CDC"/>
    <w:rsid w:val="58A03C49"/>
    <w:rsid w:val="59223D09"/>
    <w:rsid w:val="59430F4C"/>
    <w:rsid w:val="5AC0448B"/>
    <w:rsid w:val="5B8F47E5"/>
    <w:rsid w:val="5C46098E"/>
    <w:rsid w:val="5CB41EB5"/>
    <w:rsid w:val="5CCA7612"/>
    <w:rsid w:val="5D1B1FA1"/>
    <w:rsid w:val="5D2F1ED0"/>
    <w:rsid w:val="5D6F3F0F"/>
    <w:rsid w:val="5DCC398C"/>
    <w:rsid w:val="5E7A42DE"/>
    <w:rsid w:val="5F230743"/>
    <w:rsid w:val="5F5C66FD"/>
    <w:rsid w:val="5FA870CA"/>
    <w:rsid w:val="5FD06E0D"/>
    <w:rsid w:val="5FF05CD8"/>
    <w:rsid w:val="602D3FE7"/>
    <w:rsid w:val="605B581F"/>
    <w:rsid w:val="609166D1"/>
    <w:rsid w:val="60D70268"/>
    <w:rsid w:val="60F22233"/>
    <w:rsid w:val="61265E7C"/>
    <w:rsid w:val="61577FD1"/>
    <w:rsid w:val="618C50A3"/>
    <w:rsid w:val="61D075ED"/>
    <w:rsid w:val="626E1E40"/>
    <w:rsid w:val="62913205"/>
    <w:rsid w:val="62C95A9C"/>
    <w:rsid w:val="634E3098"/>
    <w:rsid w:val="63A31B30"/>
    <w:rsid w:val="63AB293B"/>
    <w:rsid w:val="64334224"/>
    <w:rsid w:val="64EF5510"/>
    <w:rsid w:val="655E0D90"/>
    <w:rsid w:val="65A92455"/>
    <w:rsid w:val="65D061EE"/>
    <w:rsid w:val="672E7903"/>
    <w:rsid w:val="673B2B82"/>
    <w:rsid w:val="674D64A4"/>
    <w:rsid w:val="67D90E6D"/>
    <w:rsid w:val="68467527"/>
    <w:rsid w:val="686A12EB"/>
    <w:rsid w:val="68914293"/>
    <w:rsid w:val="68CE7E23"/>
    <w:rsid w:val="68DA0C54"/>
    <w:rsid w:val="693C7480"/>
    <w:rsid w:val="696D6440"/>
    <w:rsid w:val="69701746"/>
    <w:rsid w:val="6A2C2051"/>
    <w:rsid w:val="6B0648C0"/>
    <w:rsid w:val="6B1157C7"/>
    <w:rsid w:val="6B3E25B8"/>
    <w:rsid w:val="6BA81F1C"/>
    <w:rsid w:val="6C8A26F7"/>
    <w:rsid w:val="6DD13A27"/>
    <w:rsid w:val="6E200130"/>
    <w:rsid w:val="6E69433E"/>
    <w:rsid w:val="6F0D3739"/>
    <w:rsid w:val="6F3701FE"/>
    <w:rsid w:val="6F4670E8"/>
    <w:rsid w:val="704E667F"/>
    <w:rsid w:val="7084756D"/>
    <w:rsid w:val="70E255B9"/>
    <w:rsid w:val="70FC59A6"/>
    <w:rsid w:val="71067927"/>
    <w:rsid w:val="71294217"/>
    <w:rsid w:val="71795618"/>
    <w:rsid w:val="71EA688B"/>
    <w:rsid w:val="71F13B76"/>
    <w:rsid w:val="724A379F"/>
    <w:rsid w:val="724B7834"/>
    <w:rsid w:val="72677CB1"/>
    <w:rsid w:val="72686823"/>
    <w:rsid w:val="730463D0"/>
    <w:rsid w:val="731560E4"/>
    <w:rsid w:val="738C109C"/>
    <w:rsid w:val="738C1375"/>
    <w:rsid w:val="74315803"/>
    <w:rsid w:val="74491AAC"/>
    <w:rsid w:val="745365F9"/>
    <w:rsid w:val="74BA44C8"/>
    <w:rsid w:val="74E86D0F"/>
    <w:rsid w:val="7562599C"/>
    <w:rsid w:val="76344344"/>
    <w:rsid w:val="767E673B"/>
    <w:rsid w:val="76904621"/>
    <w:rsid w:val="769A5AF9"/>
    <w:rsid w:val="77031800"/>
    <w:rsid w:val="776C2CCA"/>
    <w:rsid w:val="77CA3ABC"/>
    <w:rsid w:val="78BD5DCA"/>
    <w:rsid w:val="7936285C"/>
    <w:rsid w:val="797F0515"/>
    <w:rsid w:val="79980D82"/>
    <w:rsid w:val="79C571C7"/>
    <w:rsid w:val="7B192956"/>
    <w:rsid w:val="7B6C1459"/>
    <w:rsid w:val="7BAB3E9B"/>
    <w:rsid w:val="7BD95EE7"/>
    <w:rsid w:val="7BDC5D6E"/>
    <w:rsid w:val="7C944260"/>
    <w:rsid w:val="7C9961E2"/>
    <w:rsid w:val="7DD6095F"/>
    <w:rsid w:val="7E0D106F"/>
    <w:rsid w:val="7E2D25F7"/>
    <w:rsid w:val="7EA50BBC"/>
    <w:rsid w:val="7EC01C92"/>
    <w:rsid w:val="7EC2404C"/>
    <w:rsid w:val="7EC6267E"/>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22"/>
    <w:unhideWhenUsed/>
    <w:qFormat/>
    <w:uiPriority w:val="99"/>
    <w:pPr>
      <w:jc w:val="left"/>
    </w:pPr>
    <w:rPr>
      <w:rFonts w:asciiTheme="minorHAnsi" w:hAnsiTheme="minorHAnsi" w:eastAsiaTheme="minorEastAsia" w:cstheme="minorBidi"/>
      <w:szCs w:val="22"/>
    </w:rPr>
  </w:style>
  <w:style w:type="paragraph" w:styleId="3">
    <w:name w:val="Plain Text"/>
    <w:basedOn w:val="1"/>
    <w:link w:val="23"/>
    <w:qFormat/>
    <w:uiPriority w:val="0"/>
    <w:rPr>
      <w:rFonts w:hint="eastAsia" w:ascii="宋体" w:hAnsi="Courier New"/>
      <w:szCs w:val="21"/>
    </w:rPr>
  </w:style>
  <w:style w:type="paragraph" w:styleId="4">
    <w:name w:val="Balloon Text"/>
    <w:basedOn w:val="1"/>
    <w:link w:val="16"/>
    <w:unhideWhenUsed/>
    <w:qFormat/>
    <w:uiPriority w:val="99"/>
    <w:rPr>
      <w:sz w:val="18"/>
      <w:szCs w:val="18"/>
    </w:rPr>
  </w:style>
  <w:style w:type="paragraph" w:styleId="5">
    <w:name w:val="footer"/>
    <w:basedOn w:val="1"/>
    <w:link w:val="14"/>
    <w:unhideWhenUsed/>
    <w:qFormat/>
    <w:uiPriority w:val="99"/>
    <w:pPr>
      <w:tabs>
        <w:tab w:val="center" w:pos="4153"/>
        <w:tab w:val="right" w:pos="8306"/>
      </w:tabs>
      <w:snapToGrid w:val="0"/>
      <w:jc w:val="left"/>
    </w:pPr>
    <w:rPr>
      <w:sz w:val="18"/>
      <w:szCs w:val="18"/>
    </w:rPr>
  </w:style>
  <w:style w:type="paragraph" w:styleId="6">
    <w:name w:val="header"/>
    <w:basedOn w:val="1"/>
    <w:link w:val="13"/>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table" w:styleId="9">
    <w:name w:val="Table Grid"/>
    <w:basedOn w:val="8"/>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page number"/>
    <w:basedOn w:val="10"/>
    <w:qFormat/>
    <w:uiPriority w:val="0"/>
  </w:style>
  <w:style w:type="character" w:styleId="12">
    <w:name w:val="annotation reference"/>
    <w:basedOn w:val="10"/>
    <w:semiHidden/>
    <w:unhideWhenUsed/>
    <w:qFormat/>
    <w:uiPriority w:val="99"/>
    <w:rPr>
      <w:sz w:val="21"/>
      <w:szCs w:val="21"/>
    </w:rPr>
  </w:style>
  <w:style w:type="character" w:customStyle="1" w:styleId="13">
    <w:name w:val="页眉 Char"/>
    <w:basedOn w:val="10"/>
    <w:link w:val="6"/>
    <w:qFormat/>
    <w:uiPriority w:val="99"/>
    <w:rPr>
      <w:sz w:val="18"/>
      <w:szCs w:val="18"/>
    </w:rPr>
  </w:style>
  <w:style w:type="character" w:customStyle="1" w:styleId="14">
    <w:name w:val="页脚 Char"/>
    <w:basedOn w:val="10"/>
    <w:link w:val="5"/>
    <w:qFormat/>
    <w:uiPriority w:val="99"/>
    <w:rPr>
      <w:sz w:val="18"/>
      <w:szCs w:val="18"/>
    </w:rPr>
  </w:style>
  <w:style w:type="paragraph" w:customStyle="1" w:styleId="15">
    <w:name w:val="列出段落1"/>
    <w:basedOn w:val="1"/>
    <w:qFormat/>
    <w:uiPriority w:val="34"/>
    <w:pPr>
      <w:ind w:firstLine="420" w:firstLineChars="200"/>
    </w:pPr>
    <w:rPr>
      <w:rFonts w:ascii="Calibri" w:hAnsi="Calibri"/>
      <w:szCs w:val="22"/>
    </w:rPr>
  </w:style>
  <w:style w:type="character" w:customStyle="1" w:styleId="16">
    <w:name w:val="批注框文本 Char"/>
    <w:basedOn w:val="10"/>
    <w:link w:val="4"/>
    <w:semiHidden/>
    <w:qFormat/>
    <w:uiPriority w:val="99"/>
    <w:rPr>
      <w:rFonts w:ascii="Times New Roman" w:hAnsi="Times New Roman" w:eastAsia="宋体" w:cs="Times New Roman"/>
      <w:sz w:val="18"/>
      <w:szCs w:val="18"/>
    </w:rPr>
  </w:style>
  <w:style w:type="paragraph" w:styleId="17">
    <w:name w:val="List Paragraph"/>
    <w:basedOn w:val="1"/>
    <w:qFormat/>
    <w:uiPriority w:val="34"/>
    <w:pPr>
      <w:ind w:firstLine="420" w:firstLineChars="200"/>
    </w:pPr>
  </w:style>
  <w:style w:type="paragraph" w:customStyle="1" w:styleId="18">
    <w:name w:val="Default"/>
    <w:qFormat/>
    <w:uiPriority w:val="0"/>
    <w:pPr>
      <w:widowControl w:val="0"/>
      <w:autoSpaceDE w:val="0"/>
      <w:autoSpaceDN w:val="0"/>
      <w:adjustRightInd w:val="0"/>
    </w:pPr>
    <w:rPr>
      <w:rFonts w:ascii="宋体" w:hAnsi="宋体" w:eastAsia="宋体" w:cs="宋体"/>
      <w:color w:val="000000"/>
      <w:sz w:val="24"/>
      <w:szCs w:val="24"/>
      <w:lang w:val="en-US" w:eastAsia="zh-CN" w:bidi="ar-SA"/>
    </w:rPr>
  </w:style>
  <w:style w:type="character" w:customStyle="1" w:styleId="19">
    <w:name w:val="font41"/>
    <w:basedOn w:val="10"/>
    <w:qFormat/>
    <w:uiPriority w:val="0"/>
    <w:rPr>
      <w:rFonts w:hint="eastAsia" w:ascii="宋体" w:hAnsi="宋体" w:eastAsia="宋体" w:cs="宋体"/>
      <w:color w:val="FF0000"/>
      <w:sz w:val="18"/>
      <w:szCs w:val="18"/>
      <w:u w:val="none"/>
    </w:rPr>
  </w:style>
  <w:style w:type="character" w:customStyle="1" w:styleId="20">
    <w:name w:val="font11"/>
    <w:basedOn w:val="10"/>
    <w:qFormat/>
    <w:uiPriority w:val="0"/>
    <w:rPr>
      <w:rFonts w:hint="eastAsia" w:ascii="宋体" w:hAnsi="宋体" w:eastAsia="宋体" w:cs="宋体"/>
      <w:color w:val="000000"/>
      <w:sz w:val="18"/>
      <w:szCs w:val="18"/>
      <w:u w:val="none"/>
    </w:rPr>
  </w:style>
  <w:style w:type="paragraph" w:customStyle="1" w:styleId="21">
    <w:name w:val="_Style 10"/>
    <w:basedOn w:val="1"/>
    <w:next w:val="17"/>
    <w:qFormat/>
    <w:uiPriority w:val="34"/>
    <w:pPr>
      <w:ind w:firstLine="420" w:firstLineChars="200"/>
    </w:pPr>
  </w:style>
  <w:style w:type="character" w:customStyle="1" w:styleId="22">
    <w:name w:val="批注文字 Char"/>
    <w:basedOn w:val="10"/>
    <w:link w:val="2"/>
    <w:qFormat/>
    <w:uiPriority w:val="99"/>
    <w:rPr>
      <w:kern w:val="2"/>
      <w:sz w:val="21"/>
      <w:szCs w:val="22"/>
    </w:rPr>
  </w:style>
  <w:style w:type="character" w:customStyle="1" w:styleId="23">
    <w:name w:val="纯文本 Char"/>
    <w:basedOn w:val="10"/>
    <w:link w:val="3"/>
    <w:qFormat/>
    <w:uiPriority w:val="0"/>
    <w:rPr>
      <w:rFonts w:ascii="宋体" w:hAnsi="Courier New" w:eastAsia="宋体" w:cs="Times New Roman"/>
      <w:kern w:val="2"/>
      <w:sz w:val="21"/>
      <w:szCs w:val="21"/>
    </w:rPr>
  </w:style>
  <w:style w:type="paragraph" w:customStyle="1" w:styleId="24">
    <w:name w:val="_Style 1"/>
    <w:basedOn w:val="1"/>
    <w:qFormat/>
    <w:uiPriority w:val="99"/>
    <w:pPr>
      <w:ind w:firstLine="420" w:firstLineChars="200"/>
    </w:pPr>
    <w:rPr>
      <w:rFonts w:ascii="Calibri" w:hAnsi="Calibri"/>
      <w:szCs w:val="2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2</Pages>
  <Words>1012</Words>
  <Characters>1095</Characters>
  <Lines>12</Lines>
  <Paragraphs>3</Paragraphs>
  <TotalTime>13</TotalTime>
  <ScaleCrop>false</ScaleCrop>
  <LinksUpToDate>false</LinksUpToDate>
  <CharactersWithSpaces>1107</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2020-04-23T07:26:00Z</dcterms:created>
  <dc:creator>李彤</dc:creator>
  <cp:lastModifiedBy>彖</cp:lastModifiedBy>
  <dcterms:modified xsi:type="dcterms:W3CDTF">2025-07-02T02:13:32Z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8255B37441194F8393698B3FD20FAB10_13</vt:lpwstr>
  </property>
  <property fmtid="{D5CDD505-2E9C-101B-9397-08002B2CF9AE}" pid="4" name="KSOTemplateDocerSaveRecord">
    <vt:lpwstr>eyJoZGlkIjoiODg2MmM0OWVjNWZjN2Y2YzIzMjhiMTYwNTQ5NDM3NmUiLCJ1c2VySWQiOiI1NjY1Mzc0NzMifQ==</vt:lpwstr>
  </property>
</Properties>
</file>