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D77A86">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eastAsia" w:ascii="方正小标宋简体" w:hAnsi="方正小标宋简体" w:eastAsia="方正小标宋简体" w:cs="方正小标宋简体"/>
          <w:b w:val="0"/>
          <w:bCs/>
          <w:color w:val="auto"/>
          <w:sz w:val="44"/>
          <w:szCs w:val="44"/>
          <w:highlight w:val="none"/>
          <w:lang w:val="en-US" w:eastAsia="zh-CN"/>
        </w:rPr>
      </w:pPr>
      <w:permStart w:id="0" w:edGrp="everyone"/>
      <w:permEnd w:id="0"/>
      <w:r>
        <w:rPr>
          <w:rFonts w:hint="eastAsia" w:ascii="黑体" w:hAnsi="黑体" w:eastAsia="黑体" w:cs="黑体"/>
          <w:sz w:val="32"/>
          <w:szCs w:val="32"/>
          <w:lang w:val="en-US" w:eastAsia="zh-CN"/>
        </w:rPr>
        <w:t>附件2</w:t>
      </w:r>
    </w:p>
    <w:p w14:paraId="03A4D30C">
      <w:pPr>
        <w:spacing w:line="360" w:lineRule="auto"/>
        <w:jc w:val="center"/>
        <w:rPr>
          <w:rFonts w:hint="eastAsia" w:ascii="仿宋" w:hAnsi="仿宋" w:eastAsia="仿宋" w:cs="仿宋"/>
          <w:b/>
          <w:color w:val="auto"/>
          <w:sz w:val="72"/>
          <w:szCs w:val="52"/>
          <w:highlight w:val="none"/>
          <w:lang w:eastAsia="zh-CN"/>
        </w:rPr>
      </w:pPr>
      <w:r>
        <w:rPr>
          <w:rFonts w:hint="eastAsia" w:ascii="方正小标宋简体" w:hAnsi="方正小标宋简体" w:eastAsia="方正小标宋简体" w:cs="方正小标宋简体"/>
          <w:b w:val="0"/>
          <w:bCs/>
          <w:color w:val="auto"/>
          <w:sz w:val="44"/>
          <w:szCs w:val="44"/>
          <w:highlight w:val="none"/>
          <w:lang w:val="en-US" w:eastAsia="zh-CN"/>
        </w:rPr>
        <w:t>电力</w:t>
      </w:r>
      <w:r>
        <w:rPr>
          <w:rFonts w:hint="eastAsia" w:ascii="方正小标宋简体" w:hAnsi="方正小标宋简体" w:eastAsia="方正小标宋简体" w:cs="方正小标宋简体"/>
          <w:b w:val="0"/>
          <w:bCs/>
          <w:color w:val="auto"/>
          <w:sz w:val="44"/>
          <w:szCs w:val="44"/>
          <w:highlight w:val="none"/>
        </w:rPr>
        <w:t>工程施工合同</w:t>
      </w:r>
    </w:p>
    <w:p w14:paraId="3B381CD0">
      <w:pPr>
        <w:tabs>
          <w:tab w:val="left" w:pos="6192"/>
        </w:tabs>
        <w:rPr>
          <w:rFonts w:hint="eastAsia" w:ascii="仿宋" w:hAnsi="仿宋" w:eastAsia="仿宋" w:cs="仿宋"/>
          <w:b/>
          <w:color w:val="auto"/>
          <w:sz w:val="72"/>
          <w:szCs w:val="52"/>
          <w:highlight w:val="none"/>
          <w:lang w:eastAsia="zh-CN"/>
        </w:rPr>
      </w:pPr>
    </w:p>
    <w:p w14:paraId="51805D48">
      <w:pPr>
        <w:wordWrap w:val="0"/>
        <w:jc w:val="right"/>
        <w:rPr>
          <w:rFonts w:hint="eastAsia" w:ascii="仿宋_GB2312" w:hAnsi="仿宋_GB2312" w:eastAsia="仿宋_GB2312" w:cs="仿宋_GB2312"/>
          <w:b/>
          <w:color w:val="auto"/>
          <w:sz w:val="32"/>
          <w:szCs w:val="32"/>
          <w:highlight w:val="none"/>
        </w:rPr>
      </w:pPr>
      <w:r>
        <w:rPr>
          <w:rFonts w:hint="eastAsia" w:ascii="仿宋_GB2312" w:hAnsi="仿宋_GB2312" w:eastAsia="仿宋_GB2312" w:cs="仿宋_GB2312"/>
          <w:color w:val="auto"/>
          <w:sz w:val="32"/>
          <w:szCs w:val="32"/>
          <w:highlight w:val="none"/>
        </w:rPr>
        <w:t>合同编号</w:t>
      </w:r>
      <w:r>
        <w:rPr>
          <w:rFonts w:hint="eastAsia" w:ascii="仿宋_GB2312" w:hAnsi="仿宋_GB2312" w:eastAsia="仿宋_GB2312" w:cs="仿宋_GB2312"/>
          <w:color w:val="auto"/>
          <w:sz w:val="32"/>
          <w:szCs w:val="32"/>
          <w:highlight w:val="none"/>
          <w:u w:val="none"/>
        </w:rPr>
        <w:t>：</w:t>
      </w:r>
      <w:permStart w:id="1" w:edGrp="everyone"/>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u w:val="single"/>
          <w:lang w:val="en-US" w:eastAsia="zh-CN"/>
        </w:rPr>
        <w:t xml:space="preserve"> </w:t>
      </w:r>
      <w:r>
        <w:rPr>
          <w:rFonts w:hint="eastAsia" w:ascii="仿宋_GB2312" w:hAnsi="仿宋_GB2312" w:eastAsia="仿宋_GB2312" w:cs="仿宋_GB2312"/>
          <w:color w:val="auto"/>
          <w:sz w:val="32"/>
          <w:szCs w:val="32"/>
          <w:highlight w:val="none"/>
          <w:u w:val="single"/>
        </w:rPr>
        <w:t xml:space="preserve">  </w:t>
      </w:r>
      <w:permEnd w:id="1"/>
    </w:p>
    <w:p w14:paraId="23DB9CAD">
      <w:pPr>
        <w:rPr>
          <w:rFonts w:ascii="仿宋" w:hAnsi="仿宋" w:eastAsia="仿宋" w:cs="仿宋"/>
          <w:b/>
          <w:color w:val="auto"/>
          <w:sz w:val="72"/>
          <w:szCs w:val="52"/>
          <w:highlight w:val="none"/>
        </w:rPr>
      </w:pPr>
    </w:p>
    <w:p w14:paraId="7BADAA6C">
      <w:pPr>
        <w:rPr>
          <w:rFonts w:ascii="仿宋" w:hAnsi="仿宋" w:eastAsia="仿宋" w:cs="仿宋"/>
          <w:b/>
          <w:color w:val="auto"/>
          <w:sz w:val="72"/>
          <w:szCs w:val="52"/>
          <w:highlight w:val="none"/>
        </w:rPr>
      </w:pPr>
    </w:p>
    <w:p w14:paraId="08503C15">
      <w:pPr>
        <w:pStyle w:val="3"/>
        <w:rPr>
          <w:color w:val="auto"/>
          <w:highlight w:val="none"/>
        </w:rPr>
      </w:pPr>
    </w:p>
    <w:p w14:paraId="16B769E5">
      <w:pPr>
        <w:spacing w:line="480" w:lineRule="auto"/>
        <w:ind w:firstLine="640" w:firstLineChars="200"/>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rPr>
        <w:t>工程名称</w:t>
      </w:r>
      <w:r>
        <w:rPr>
          <w:rFonts w:hint="eastAsia" w:ascii="仿宋_GB2312" w:hAnsi="仿宋_GB2312" w:eastAsia="仿宋_GB2312" w:cs="仿宋_GB2312"/>
          <w:b w:val="0"/>
          <w:bCs w:val="0"/>
          <w:color w:val="auto"/>
          <w:sz w:val="32"/>
          <w:szCs w:val="32"/>
          <w:highlight w:val="none"/>
          <w:lang w:eastAsia="zh-CN"/>
        </w:rPr>
        <w:t>：</w:t>
      </w:r>
      <w:permStart w:id="2" w:edGrp="everyone"/>
      <w:r>
        <w:rPr>
          <w:rFonts w:hint="eastAsia" w:ascii="仿宋_GB2312" w:hAnsi="仿宋_GB2312" w:eastAsia="仿宋_GB2312" w:cs="仿宋_GB2312"/>
          <w:b w:val="0"/>
          <w:bCs w:val="0"/>
          <w:color w:val="auto"/>
          <w:sz w:val="32"/>
          <w:szCs w:val="32"/>
          <w:highlight w:val="none"/>
          <w:u w:val="single"/>
        </w:rPr>
        <w:t xml:space="preserve">    </w:t>
      </w:r>
      <w:r>
        <w:rPr>
          <w:rFonts w:hint="eastAsia" w:ascii="仿宋_GB2312" w:hAnsi="仿宋_GB2312" w:eastAsia="仿宋_GB2312" w:cs="仿宋_GB2312"/>
          <w:b w:val="0"/>
          <w:bCs w:val="0"/>
          <w:color w:val="auto"/>
          <w:sz w:val="32"/>
          <w:szCs w:val="32"/>
          <w:highlight w:val="none"/>
          <w:u w:val="single"/>
          <w:lang w:val="en-US" w:eastAsia="zh-CN"/>
        </w:rPr>
        <w:t xml:space="preserve">      </w:t>
      </w:r>
      <w:r>
        <w:rPr>
          <w:rFonts w:hint="eastAsia" w:ascii="仿宋_GB2312" w:hAnsi="仿宋_GB2312" w:eastAsia="仿宋_GB2312" w:cs="仿宋_GB2312"/>
          <w:b w:val="0"/>
          <w:bCs w:val="0"/>
          <w:color w:val="auto"/>
          <w:sz w:val="32"/>
          <w:szCs w:val="32"/>
          <w:highlight w:val="none"/>
          <w:u w:val="single"/>
        </w:rPr>
        <w:t xml:space="preserve">      </w:t>
      </w:r>
      <w:permEnd w:id="2"/>
    </w:p>
    <w:p w14:paraId="0E8E2409">
      <w:pPr>
        <w:spacing w:line="480" w:lineRule="auto"/>
        <w:ind w:firstLine="640" w:firstLineChars="200"/>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rPr>
        <w:t>发</w:t>
      </w:r>
      <w:r>
        <w:rPr>
          <w:rFonts w:hint="eastAsia" w:ascii="仿宋_GB2312" w:hAnsi="仿宋_GB2312" w:eastAsia="仿宋_GB2312" w:cs="仿宋_GB2312"/>
          <w:b w:val="0"/>
          <w:bCs w:val="0"/>
          <w:color w:val="auto"/>
          <w:sz w:val="32"/>
          <w:szCs w:val="32"/>
          <w:highlight w:val="none"/>
          <w:lang w:val="en-US" w:eastAsia="zh-CN"/>
        </w:rPr>
        <w:t xml:space="preserve"> </w:t>
      </w:r>
      <w:r>
        <w:rPr>
          <w:rFonts w:hint="eastAsia" w:ascii="仿宋_GB2312" w:hAnsi="仿宋_GB2312" w:eastAsia="仿宋_GB2312" w:cs="仿宋_GB2312"/>
          <w:b w:val="0"/>
          <w:bCs w:val="0"/>
          <w:color w:val="auto"/>
          <w:sz w:val="32"/>
          <w:szCs w:val="32"/>
          <w:highlight w:val="none"/>
        </w:rPr>
        <w:t>包</w:t>
      </w:r>
      <w:r>
        <w:rPr>
          <w:rFonts w:hint="eastAsia" w:ascii="仿宋_GB2312" w:hAnsi="仿宋_GB2312" w:eastAsia="仿宋_GB2312" w:cs="仿宋_GB2312"/>
          <w:b w:val="0"/>
          <w:bCs w:val="0"/>
          <w:color w:val="auto"/>
          <w:sz w:val="32"/>
          <w:szCs w:val="32"/>
          <w:highlight w:val="none"/>
          <w:lang w:val="en-US" w:eastAsia="zh-CN"/>
        </w:rPr>
        <w:t xml:space="preserve"> </w:t>
      </w:r>
      <w:r>
        <w:rPr>
          <w:rFonts w:hint="eastAsia" w:ascii="仿宋_GB2312" w:hAnsi="仿宋_GB2312" w:eastAsia="仿宋_GB2312" w:cs="仿宋_GB2312"/>
          <w:b w:val="0"/>
          <w:bCs w:val="0"/>
          <w:color w:val="auto"/>
          <w:sz w:val="32"/>
          <w:szCs w:val="32"/>
          <w:highlight w:val="none"/>
        </w:rPr>
        <w:t>人</w:t>
      </w:r>
      <w:r>
        <w:rPr>
          <w:rFonts w:hint="eastAsia" w:ascii="仿宋_GB2312" w:hAnsi="仿宋_GB2312" w:eastAsia="仿宋_GB2312" w:cs="仿宋_GB2312"/>
          <w:b w:val="0"/>
          <w:bCs w:val="0"/>
          <w:color w:val="auto"/>
          <w:sz w:val="32"/>
          <w:szCs w:val="32"/>
          <w:highlight w:val="none"/>
          <w:lang w:eastAsia="zh-CN"/>
        </w:rPr>
        <w:t>：</w:t>
      </w:r>
      <w:permStart w:id="3" w:edGrp="everyone"/>
      <w:r>
        <w:rPr>
          <w:rFonts w:hint="eastAsia" w:ascii="仿宋_GB2312" w:hAnsi="仿宋_GB2312" w:eastAsia="仿宋_GB2312" w:cs="仿宋_GB2312"/>
          <w:b w:val="0"/>
          <w:bCs w:val="0"/>
          <w:color w:val="auto"/>
          <w:sz w:val="32"/>
          <w:szCs w:val="32"/>
          <w:highlight w:val="none"/>
          <w:u w:val="single"/>
        </w:rPr>
        <w:t xml:space="preserve">      </w:t>
      </w:r>
      <w:r>
        <w:rPr>
          <w:rFonts w:hint="eastAsia" w:ascii="仿宋_GB2312" w:hAnsi="仿宋_GB2312" w:eastAsia="仿宋_GB2312" w:cs="仿宋_GB2312"/>
          <w:b w:val="0"/>
          <w:bCs w:val="0"/>
          <w:color w:val="auto"/>
          <w:sz w:val="32"/>
          <w:szCs w:val="32"/>
          <w:highlight w:val="none"/>
          <w:u w:val="single"/>
          <w:lang w:val="en-US" w:eastAsia="zh-CN"/>
        </w:rPr>
        <w:t xml:space="preserve">      </w:t>
      </w:r>
      <w:r>
        <w:rPr>
          <w:rFonts w:hint="eastAsia" w:ascii="仿宋_GB2312" w:hAnsi="仿宋_GB2312" w:eastAsia="仿宋_GB2312" w:cs="仿宋_GB2312"/>
          <w:b w:val="0"/>
          <w:bCs w:val="0"/>
          <w:color w:val="auto"/>
          <w:sz w:val="32"/>
          <w:szCs w:val="32"/>
          <w:highlight w:val="none"/>
          <w:u w:val="single"/>
        </w:rPr>
        <w:t xml:space="preserve">    </w:t>
      </w:r>
      <w:permEnd w:id="3"/>
    </w:p>
    <w:p w14:paraId="47F668C4">
      <w:pPr>
        <w:spacing w:line="480" w:lineRule="auto"/>
        <w:ind w:firstLine="640" w:firstLineChars="200"/>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rPr>
        <w:t>承</w:t>
      </w:r>
      <w:r>
        <w:rPr>
          <w:rFonts w:hint="eastAsia" w:ascii="仿宋_GB2312" w:hAnsi="仿宋_GB2312" w:eastAsia="仿宋_GB2312" w:cs="仿宋_GB2312"/>
          <w:b w:val="0"/>
          <w:bCs w:val="0"/>
          <w:color w:val="auto"/>
          <w:sz w:val="32"/>
          <w:szCs w:val="32"/>
          <w:highlight w:val="none"/>
          <w:lang w:val="en-US" w:eastAsia="zh-CN"/>
        </w:rPr>
        <w:t xml:space="preserve"> </w:t>
      </w:r>
      <w:r>
        <w:rPr>
          <w:rFonts w:hint="eastAsia" w:ascii="仿宋_GB2312" w:hAnsi="仿宋_GB2312" w:eastAsia="仿宋_GB2312" w:cs="仿宋_GB2312"/>
          <w:b w:val="0"/>
          <w:bCs w:val="0"/>
          <w:color w:val="auto"/>
          <w:sz w:val="32"/>
          <w:szCs w:val="32"/>
          <w:highlight w:val="none"/>
        </w:rPr>
        <w:t>包</w:t>
      </w:r>
      <w:r>
        <w:rPr>
          <w:rFonts w:hint="eastAsia" w:ascii="仿宋_GB2312" w:hAnsi="仿宋_GB2312" w:eastAsia="仿宋_GB2312" w:cs="仿宋_GB2312"/>
          <w:b w:val="0"/>
          <w:bCs w:val="0"/>
          <w:color w:val="auto"/>
          <w:sz w:val="32"/>
          <w:szCs w:val="32"/>
          <w:highlight w:val="none"/>
          <w:lang w:val="en-US" w:eastAsia="zh-CN"/>
        </w:rPr>
        <w:t xml:space="preserve"> </w:t>
      </w:r>
      <w:r>
        <w:rPr>
          <w:rFonts w:hint="eastAsia" w:ascii="仿宋_GB2312" w:hAnsi="仿宋_GB2312" w:eastAsia="仿宋_GB2312" w:cs="仿宋_GB2312"/>
          <w:b w:val="0"/>
          <w:bCs w:val="0"/>
          <w:color w:val="auto"/>
          <w:sz w:val="32"/>
          <w:szCs w:val="32"/>
          <w:highlight w:val="none"/>
        </w:rPr>
        <w:t>人</w:t>
      </w:r>
      <w:r>
        <w:rPr>
          <w:rFonts w:hint="eastAsia" w:ascii="仿宋_GB2312" w:hAnsi="仿宋_GB2312" w:eastAsia="仿宋_GB2312" w:cs="仿宋_GB2312"/>
          <w:b w:val="0"/>
          <w:bCs w:val="0"/>
          <w:color w:val="auto"/>
          <w:sz w:val="32"/>
          <w:szCs w:val="32"/>
          <w:highlight w:val="none"/>
          <w:lang w:eastAsia="zh-CN"/>
        </w:rPr>
        <w:t>：</w:t>
      </w:r>
      <w:permStart w:id="4" w:edGrp="everyone"/>
      <w:r>
        <w:rPr>
          <w:rFonts w:hint="eastAsia" w:ascii="仿宋_GB2312" w:hAnsi="仿宋_GB2312" w:eastAsia="仿宋_GB2312" w:cs="仿宋_GB2312"/>
          <w:b w:val="0"/>
          <w:bCs w:val="0"/>
          <w:color w:val="auto"/>
          <w:sz w:val="32"/>
          <w:szCs w:val="32"/>
          <w:highlight w:val="none"/>
          <w:u w:val="single"/>
        </w:rPr>
        <w:t xml:space="preserve">      </w:t>
      </w:r>
      <w:r>
        <w:rPr>
          <w:rFonts w:hint="eastAsia" w:ascii="仿宋_GB2312" w:hAnsi="仿宋_GB2312" w:eastAsia="仿宋_GB2312" w:cs="仿宋_GB2312"/>
          <w:b w:val="0"/>
          <w:bCs w:val="0"/>
          <w:color w:val="auto"/>
          <w:sz w:val="32"/>
          <w:szCs w:val="32"/>
          <w:highlight w:val="none"/>
          <w:u w:val="single"/>
          <w:lang w:val="en-US" w:eastAsia="zh-CN"/>
        </w:rPr>
        <w:t xml:space="preserve">      </w:t>
      </w:r>
      <w:r>
        <w:rPr>
          <w:rFonts w:hint="eastAsia" w:ascii="仿宋_GB2312" w:hAnsi="仿宋_GB2312" w:eastAsia="仿宋_GB2312" w:cs="仿宋_GB2312"/>
          <w:b w:val="0"/>
          <w:bCs w:val="0"/>
          <w:color w:val="auto"/>
          <w:sz w:val="32"/>
          <w:szCs w:val="32"/>
          <w:highlight w:val="none"/>
          <w:u w:val="single"/>
        </w:rPr>
        <w:t xml:space="preserve">    </w:t>
      </w:r>
      <w:permEnd w:id="4"/>
    </w:p>
    <w:p w14:paraId="43C0200F">
      <w:pPr>
        <w:spacing w:line="480" w:lineRule="auto"/>
        <w:ind w:firstLine="640" w:firstLineChars="200"/>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rPr>
        <w:t>签订地点</w:t>
      </w:r>
      <w:r>
        <w:rPr>
          <w:rFonts w:hint="eastAsia" w:ascii="仿宋_GB2312" w:hAnsi="仿宋_GB2312" w:eastAsia="仿宋_GB2312" w:cs="仿宋_GB2312"/>
          <w:b w:val="0"/>
          <w:bCs w:val="0"/>
          <w:color w:val="auto"/>
          <w:sz w:val="32"/>
          <w:szCs w:val="32"/>
          <w:highlight w:val="none"/>
          <w:lang w:eastAsia="zh-CN"/>
        </w:rPr>
        <w:t>：</w:t>
      </w:r>
      <w:r>
        <w:rPr>
          <w:rFonts w:hint="eastAsia" w:ascii="仿宋_GB2312" w:hAnsi="仿宋_GB2312" w:eastAsia="仿宋_GB2312" w:cs="仿宋_GB2312"/>
          <w:b w:val="0"/>
          <w:bCs w:val="0"/>
          <w:color w:val="auto"/>
          <w:sz w:val="32"/>
          <w:szCs w:val="32"/>
          <w:highlight w:val="none"/>
        </w:rPr>
        <w:t>海南省海口市美兰区</w:t>
      </w:r>
    </w:p>
    <w:p w14:paraId="50071028">
      <w:pPr>
        <w:spacing w:line="480" w:lineRule="auto"/>
        <w:ind w:firstLine="640" w:firstLineChars="200"/>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rPr>
        <w:t>签订日期</w:t>
      </w:r>
      <w:r>
        <w:rPr>
          <w:rFonts w:hint="eastAsia" w:ascii="仿宋_GB2312" w:hAnsi="仿宋_GB2312" w:eastAsia="仿宋_GB2312" w:cs="仿宋_GB2312"/>
          <w:b w:val="0"/>
          <w:bCs w:val="0"/>
          <w:color w:val="auto"/>
          <w:sz w:val="32"/>
          <w:szCs w:val="32"/>
          <w:highlight w:val="none"/>
          <w:lang w:eastAsia="zh-CN"/>
        </w:rPr>
        <w:t>：</w:t>
      </w:r>
      <w:permStart w:id="5" w:edGrp="everyone"/>
      <w:r>
        <w:rPr>
          <w:rFonts w:hint="eastAsia" w:ascii="仿宋_GB2312" w:hAnsi="仿宋_GB2312" w:eastAsia="仿宋_GB2312" w:cs="仿宋_GB2312"/>
          <w:b w:val="0"/>
          <w:bCs w:val="0"/>
          <w:color w:val="auto"/>
          <w:sz w:val="32"/>
          <w:szCs w:val="32"/>
          <w:highlight w:val="none"/>
        </w:rPr>
        <w:t xml:space="preserve">      年     月     日</w:t>
      </w:r>
    </w:p>
    <w:p w14:paraId="6969EE17">
      <w:pPr>
        <w:rPr>
          <w:rFonts w:hint="eastAsia" w:ascii="仿宋_GB2312" w:hAnsi="仿宋_GB2312" w:eastAsia="仿宋_GB2312" w:cs="仿宋_GB2312"/>
          <w:b w:val="0"/>
          <w:bCs w:val="0"/>
          <w:color w:val="auto"/>
          <w:sz w:val="32"/>
          <w:szCs w:val="32"/>
          <w:highlight w:val="none"/>
        </w:rPr>
        <w:sectPr>
          <w:headerReference r:id="rId4" w:type="first"/>
          <w:footerReference r:id="rId6" w:type="first"/>
          <w:headerReference r:id="rId3" w:type="even"/>
          <w:footerReference r:id="rId5" w:type="even"/>
          <w:pgSz w:w="11906" w:h="16838"/>
          <w:pgMar w:top="1417" w:right="1417" w:bottom="1417" w:left="1417" w:header="851" w:footer="992" w:gutter="0"/>
          <w:pgNumType w:fmt="decimal" w:start="1"/>
          <w:cols w:space="720" w:num="1"/>
          <w:docGrid w:type="lines" w:linePitch="312" w:charSpace="0"/>
        </w:sectPr>
      </w:pPr>
    </w:p>
    <w:permEnd w:id="5"/>
    <w:p w14:paraId="1A97E19C">
      <w:pPr>
        <w:jc w:val="center"/>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rPr>
        <w:t>目录</w:t>
      </w:r>
    </w:p>
    <w:p w14:paraId="05E965C3">
      <w:pPr>
        <w:pStyle w:val="9"/>
        <w:tabs>
          <w:tab w:val="right" w:leader="dot" w:pos="9072"/>
          <w:tab w:val="clear" w:pos="8296"/>
        </w:tabs>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color w:val="auto"/>
          <w:sz w:val="32"/>
          <w:szCs w:val="32"/>
          <w:highlight w:val="none"/>
        </w:rPr>
        <w:fldChar w:fldCharType="begin"/>
      </w:r>
      <w:r>
        <w:rPr>
          <w:rFonts w:hint="eastAsia" w:ascii="仿宋_GB2312" w:hAnsi="仿宋_GB2312" w:eastAsia="仿宋_GB2312" w:cs="仿宋_GB2312"/>
          <w:b w:val="0"/>
          <w:bCs w:val="0"/>
          <w:color w:val="auto"/>
          <w:sz w:val="32"/>
          <w:szCs w:val="32"/>
          <w:highlight w:val="none"/>
        </w:rPr>
        <w:instrText xml:space="preserve">TOC \o "1-2" \h \u </w:instrText>
      </w:r>
      <w:r>
        <w:rPr>
          <w:rFonts w:hint="eastAsia" w:ascii="仿宋_GB2312" w:hAnsi="仿宋_GB2312" w:eastAsia="仿宋_GB2312" w:cs="仿宋_GB2312"/>
          <w:b w:val="0"/>
          <w:bCs w:val="0"/>
          <w:color w:val="auto"/>
          <w:sz w:val="32"/>
          <w:szCs w:val="32"/>
          <w:highlight w:val="none"/>
        </w:rPr>
        <w:fldChar w:fldCharType="separate"/>
      </w:r>
      <w:r>
        <w:rPr>
          <w:rFonts w:hint="eastAsia" w:ascii="仿宋_GB2312" w:hAnsi="仿宋_GB2312" w:eastAsia="仿宋_GB2312" w:cs="仿宋_GB2312"/>
          <w:b w:val="0"/>
          <w:bCs w:val="0"/>
          <w:color w:val="auto"/>
          <w:sz w:val="32"/>
          <w:szCs w:val="32"/>
          <w:highlight w:val="none"/>
        </w:rPr>
        <w:fldChar w:fldCharType="begin"/>
      </w:r>
      <w:r>
        <w:rPr>
          <w:rFonts w:hint="eastAsia" w:ascii="仿宋_GB2312" w:hAnsi="仿宋_GB2312" w:eastAsia="仿宋_GB2312" w:cs="仿宋_GB2312"/>
          <w:b w:val="0"/>
          <w:bCs w:val="0"/>
          <w:sz w:val="32"/>
          <w:szCs w:val="32"/>
          <w:highlight w:val="none"/>
        </w:rPr>
        <w:instrText xml:space="preserve"> HYPERLINK \l _Toc27331 </w:instrText>
      </w:r>
      <w:r>
        <w:rPr>
          <w:rFonts w:hint="eastAsia" w:ascii="仿宋_GB2312" w:hAnsi="仿宋_GB2312" w:eastAsia="仿宋_GB2312" w:cs="仿宋_GB2312"/>
          <w:b w:val="0"/>
          <w:bCs w:val="0"/>
          <w:sz w:val="32"/>
          <w:szCs w:val="32"/>
          <w:highlight w:val="none"/>
        </w:rPr>
        <w:fldChar w:fldCharType="separate"/>
      </w:r>
      <w:r>
        <w:rPr>
          <w:rFonts w:hint="eastAsia" w:ascii="仿宋_GB2312" w:hAnsi="仿宋_GB2312" w:eastAsia="仿宋_GB2312" w:cs="仿宋_GB2312"/>
          <w:b w:val="0"/>
          <w:bCs w:val="0"/>
          <w:sz w:val="32"/>
          <w:szCs w:val="32"/>
          <w:highlight w:val="none"/>
        </w:rPr>
        <w:t>第一部分 合同协议书</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PAGEREF _Toc27331 \h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1</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color w:val="auto"/>
          <w:sz w:val="32"/>
          <w:szCs w:val="32"/>
          <w:highlight w:val="none"/>
        </w:rPr>
        <w:fldChar w:fldCharType="end"/>
      </w:r>
    </w:p>
    <w:p w14:paraId="0F8698BE">
      <w:pPr>
        <w:pStyle w:val="10"/>
        <w:tabs>
          <w:tab w:val="right" w:leader="dot" w:pos="9072"/>
        </w:tabs>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color w:val="auto"/>
          <w:sz w:val="32"/>
          <w:szCs w:val="32"/>
          <w:highlight w:val="none"/>
        </w:rPr>
        <w:fldChar w:fldCharType="begin"/>
      </w:r>
      <w:r>
        <w:rPr>
          <w:rFonts w:hint="eastAsia" w:ascii="仿宋_GB2312" w:hAnsi="仿宋_GB2312" w:eastAsia="仿宋_GB2312" w:cs="仿宋_GB2312"/>
          <w:b w:val="0"/>
          <w:bCs w:val="0"/>
          <w:sz w:val="32"/>
          <w:szCs w:val="32"/>
          <w:highlight w:val="none"/>
        </w:rPr>
        <w:instrText xml:space="preserve"> HYPERLINK \l _Toc19854 </w:instrText>
      </w:r>
      <w:r>
        <w:rPr>
          <w:rFonts w:hint="eastAsia" w:ascii="仿宋_GB2312" w:hAnsi="仿宋_GB2312" w:eastAsia="仿宋_GB2312" w:cs="仿宋_GB2312"/>
          <w:b w:val="0"/>
          <w:bCs w:val="0"/>
          <w:sz w:val="32"/>
          <w:szCs w:val="32"/>
          <w:highlight w:val="none"/>
        </w:rPr>
        <w:fldChar w:fldCharType="separate"/>
      </w:r>
      <w:r>
        <w:rPr>
          <w:rFonts w:hint="eastAsia" w:ascii="仿宋_GB2312" w:hAnsi="仿宋_GB2312" w:eastAsia="仿宋_GB2312" w:cs="仿宋_GB2312"/>
          <w:b w:val="0"/>
          <w:bCs w:val="0"/>
          <w:sz w:val="32"/>
          <w:szCs w:val="32"/>
          <w:highlight w:val="none"/>
        </w:rPr>
        <w:t>一、工程概况</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color w:val="auto"/>
          <w:sz w:val="32"/>
          <w:szCs w:val="32"/>
          <w:highlight w:val="none"/>
        </w:rPr>
        <w:fldChar w:fldCharType="end"/>
      </w:r>
      <w:r>
        <w:rPr>
          <w:rFonts w:hint="eastAsia" w:ascii="仿宋_GB2312" w:hAnsi="仿宋_GB2312" w:eastAsia="仿宋_GB2312" w:cs="仿宋_GB2312"/>
          <w:b w:val="0"/>
          <w:bCs w:val="0"/>
          <w:sz w:val="32"/>
          <w:szCs w:val="32"/>
          <w:lang w:val="en-US" w:eastAsia="zh-CN"/>
        </w:rPr>
        <w:t>1</w:t>
      </w:r>
    </w:p>
    <w:p w14:paraId="6FEA4F90">
      <w:pPr>
        <w:pStyle w:val="10"/>
        <w:tabs>
          <w:tab w:val="right" w:leader="dot" w:pos="9072"/>
        </w:tabs>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color w:val="auto"/>
          <w:sz w:val="32"/>
          <w:szCs w:val="32"/>
          <w:highlight w:val="none"/>
        </w:rPr>
        <w:fldChar w:fldCharType="begin"/>
      </w:r>
      <w:r>
        <w:rPr>
          <w:rFonts w:hint="eastAsia" w:ascii="仿宋_GB2312" w:hAnsi="仿宋_GB2312" w:eastAsia="仿宋_GB2312" w:cs="仿宋_GB2312"/>
          <w:b w:val="0"/>
          <w:bCs w:val="0"/>
          <w:sz w:val="32"/>
          <w:szCs w:val="32"/>
          <w:highlight w:val="none"/>
        </w:rPr>
        <w:instrText xml:space="preserve"> HYPERLINK \l _Toc25053 </w:instrText>
      </w:r>
      <w:r>
        <w:rPr>
          <w:rFonts w:hint="eastAsia" w:ascii="仿宋_GB2312" w:hAnsi="仿宋_GB2312" w:eastAsia="仿宋_GB2312" w:cs="仿宋_GB2312"/>
          <w:b w:val="0"/>
          <w:bCs w:val="0"/>
          <w:sz w:val="32"/>
          <w:szCs w:val="32"/>
          <w:highlight w:val="none"/>
        </w:rPr>
        <w:fldChar w:fldCharType="separate"/>
      </w:r>
      <w:r>
        <w:rPr>
          <w:rFonts w:hint="eastAsia" w:ascii="仿宋_GB2312" w:hAnsi="仿宋_GB2312" w:eastAsia="仿宋_GB2312" w:cs="仿宋_GB2312"/>
          <w:b w:val="0"/>
          <w:bCs w:val="0"/>
          <w:sz w:val="32"/>
          <w:szCs w:val="32"/>
          <w:highlight w:val="none"/>
        </w:rPr>
        <w:t>二、合同工期</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lang w:val="en-US" w:eastAsia="zh-CN"/>
        </w:rPr>
        <w:t>2</w:t>
      </w:r>
      <w:r>
        <w:rPr>
          <w:rFonts w:hint="eastAsia" w:ascii="仿宋_GB2312" w:hAnsi="仿宋_GB2312" w:eastAsia="仿宋_GB2312" w:cs="仿宋_GB2312"/>
          <w:b w:val="0"/>
          <w:bCs w:val="0"/>
          <w:color w:val="auto"/>
          <w:sz w:val="32"/>
          <w:szCs w:val="32"/>
          <w:highlight w:val="none"/>
        </w:rPr>
        <w:fldChar w:fldCharType="end"/>
      </w:r>
    </w:p>
    <w:p w14:paraId="7AFF4012">
      <w:pPr>
        <w:pStyle w:val="10"/>
        <w:tabs>
          <w:tab w:val="right" w:leader="dot" w:pos="9072"/>
        </w:tabs>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color w:val="auto"/>
          <w:sz w:val="32"/>
          <w:szCs w:val="32"/>
          <w:highlight w:val="none"/>
        </w:rPr>
        <w:fldChar w:fldCharType="begin"/>
      </w:r>
      <w:r>
        <w:rPr>
          <w:rFonts w:hint="eastAsia" w:ascii="仿宋_GB2312" w:hAnsi="仿宋_GB2312" w:eastAsia="仿宋_GB2312" w:cs="仿宋_GB2312"/>
          <w:b w:val="0"/>
          <w:bCs w:val="0"/>
          <w:sz w:val="32"/>
          <w:szCs w:val="32"/>
          <w:highlight w:val="none"/>
        </w:rPr>
        <w:instrText xml:space="preserve"> HYPERLINK \l _Toc1296 </w:instrText>
      </w:r>
      <w:r>
        <w:rPr>
          <w:rFonts w:hint="eastAsia" w:ascii="仿宋_GB2312" w:hAnsi="仿宋_GB2312" w:eastAsia="仿宋_GB2312" w:cs="仿宋_GB2312"/>
          <w:b w:val="0"/>
          <w:bCs w:val="0"/>
          <w:sz w:val="32"/>
          <w:szCs w:val="32"/>
          <w:highlight w:val="none"/>
        </w:rPr>
        <w:fldChar w:fldCharType="separate"/>
      </w:r>
      <w:r>
        <w:rPr>
          <w:rFonts w:hint="eastAsia" w:ascii="仿宋_GB2312" w:hAnsi="仿宋_GB2312" w:eastAsia="仿宋_GB2312" w:cs="仿宋_GB2312"/>
          <w:b w:val="0"/>
          <w:bCs w:val="0"/>
          <w:sz w:val="32"/>
          <w:szCs w:val="32"/>
          <w:highlight w:val="none"/>
        </w:rPr>
        <w:t>三、质量标准</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PAGEREF _Toc1296 \h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2</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color w:val="auto"/>
          <w:sz w:val="32"/>
          <w:szCs w:val="32"/>
          <w:highlight w:val="none"/>
        </w:rPr>
        <w:fldChar w:fldCharType="end"/>
      </w:r>
    </w:p>
    <w:p w14:paraId="5E3B6E6C">
      <w:pPr>
        <w:pStyle w:val="10"/>
        <w:tabs>
          <w:tab w:val="right" w:leader="dot" w:pos="9072"/>
        </w:tabs>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color w:val="auto"/>
          <w:sz w:val="32"/>
          <w:szCs w:val="32"/>
          <w:highlight w:val="none"/>
        </w:rPr>
        <w:fldChar w:fldCharType="begin"/>
      </w:r>
      <w:r>
        <w:rPr>
          <w:rFonts w:hint="eastAsia" w:ascii="仿宋_GB2312" w:hAnsi="仿宋_GB2312" w:eastAsia="仿宋_GB2312" w:cs="仿宋_GB2312"/>
          <w:b w:val="0"/>
          <w:bCs w:val="0"/>
          <w:sz w:val="32"/>
          <w:szCs w:val="32"/>
          <w:highlight w:val="none"/>
        </w:rPr>
        <w:instrText xml:space="preserve"> HYPERLINK \l _Toc30851 </w:instrText>
      </w:r>
      <w:r>
        <w:rPr>
          <w:rFonts w:hint="eastAsia" w:ascii="仿宋_GB2312" w:hAnsi="仿宋_GB2312" w:eastAsia="仿宋_GB2312" w:cs="仿宋_GB2312"/>
          <w:b w:val="0"/>
          <w:bCs w:val="0"/>
          <w:sz w:val="32"/>
          <w:szCs w:val="32"/>
          <w:highlight w:val="none"/>
        </w:rPr>
        <w:fldChar w:fldCharType="separate"/>
      </w:r>
      <w:r>
        <w:rPr>
          <w:rFonts w:hint="eastAsia" w:ascii="仿宋_GB2312" w:hAnsi="仿宋_GB2312" w:eastAsia="仿宋_GB2312" w:cs="仿宋_GB2312"/>
          <w:b w:val="0"/>
          <w:bCs w:val="0"/>
          <w:sz w:val="32"/>
          <w:szCs w:val="32"/>
          <w:highlight w:val="none"/>
        </w:rPr>
        <w:t>四、签约合同价与合同价格形式</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color w:val="auto"/>
          <w:sz w:val="32"/>
          <w:szCs w:val="32"/>
          <w:highlight w:val="none"/>
        </w:rPr>
        <w:fldChar w:fldCharType="end"/>
      </w:r>
      <w:r>
        <w:rPr>
          <w:rFonts w:hint="eastAsia" w:ascii="仿宋_GB2312" w:hAnsi="仿宋_GB2312" w:eastAsia="仿宋_GB2312" w:cs="仿宋_GB2312"/>
          <w:b w:val="0"/>
          <w:bCs w:val="0"/>
          <w:sz w:val="32"/>
          <w:szCs w:val="32"/>
          <w:lang w:val="en-US" w:eastAsia="zh-CN"/>
        </w:rPr>
        <w:t>2</w:t>
      </w:r>
    </w:p>
    <w:p w14:paraId="1F4955B1">
      <w:pPr>
        <w:pStyle w:val="10"/>
        <w:tabs>
          <w:tab w:val="right" w:leader="dot" w:pos="9072"/>
        </w:tabs>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color w:val="auto"/>
          <w:sz w:val="32"/>
          <w:szCs w:val="32"/>
          <w:highlight w:val="none"/>
        </w:rPr>
        <w:fldChar w:fldCharType="begin"/>
      </w:r>
      <w:r>
        <w:rPr>
          <w:rFonts w:hint="eastAsia" w:ascii="仿宋_GB2312" w:hAnsi="仿宋_GB2312" w:eastAsia="仿宋_GB2312" w:cs="仿宋_GB2312"/>
          <w:b w:val="0"/>
          <w:bCs w:val="0"/>
          <w:sz w:val="32"/>
          <w:szCs w:val="32"/>
          <w:highlight w:val="none"/>
        </w:rPr>
        <w:instrText xml:space="preserve"> HYPERLINK \l _Toc20144 </w:instrText>
      </w:r>
      <w:r>
        <w:rPr>
          <w:rFonts w:hint="eastAsia" w:ascii="仿宋_GB2312" w:hAnsi="仿宋_GB2312" w:eastAsia="仿宋_GB2312" w:cs="仿宋_GB2312"/>
          <w:b w:val="0"/>
          <w:bCs w:val="0"/>
          <w:sz w:val="32"/>
          <w:szCs w:val="32"/>
          <w:highlight w:val="none"/>
        </w:rPr>
        <w:fldChar w:fldCharType="separate"/>
      </w:r>
      <w:r>
        <w:rPr>
          <w:rFonts w:hint="eastAsia" w:ascii="仿宋_GB2312" w:hAnsi="仿宋_GB2312" w:eastAsia="仿宋_GB2312" w:cs="仿宋_GB2312"/>
          <w:b w:val="0"/>
          <w:bCs w:val="0"/>
          <w:sz w:val="32"/>
          <w:szCs w:val="32"/>
          <w:highlight w:val="none"/>
        </w:rPr>
        <w:t>五、专款专用与资金监管</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lang w:val="en-US" w:eastAsia="zh-CN"/>
        </w:rPr>
        <w:t>4</w:t>
      </w:r>
      <w:r>
        <w:rPr>
          <w:rFonts w:hint="eastAsia" w:ascii="仿宋_GB2312" w:hAnsi="仿宋_GB2312" w:eastAsia="仿宋_GB2312" w:cs="仿宋_GB2312"/>
          <w:b w:val="0"/>
          <w:bCs w:val="0"/>
          <w:color w:val="auto"/>
          <w:sz w:val="32"/>
          <w:szCs w:val="32"/>
          <w:highlight w:val="none"/>
        </w:rPr>
        <w:fldChar w:fldCharType="end"/>
      </w:r>
    </w:p>
    <w:p w14:paraId="748461EB">
      <w:pPr>
        <w:pStyle w:val="10"/>
        <w:tabs>
          <w:tab w:val="right" w:leader="dot" w:pos="9072"/>
        </w:tabs>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color w:val="auto"/>
          <w:sz w:val="32"/>
          <w:szCs w:val="32"/>
          <w:highlight w:val="none"/>
        </w:rPr>
        <w:fldChar w:fldCharType="begin"/>
      </w:r>
      <w:r>
        <w:rPr>
          <w:rFonts w:hint="eastAsia" w:ascii="仿宋_GB2312" w:hAnsi="仿宋_GB2312" w:eastAsia="仿宋_GB2312" w:cs="仿宋_GB2312"/>
          <w:b w:val="0"/>
          <w:bCs w:val="0"/>
          <w:sz w:val="32"/>
          <w:szCs w:val="32"/>
          <w:highlight w:val="none"/>
        </w:rPr>
        <w:instrText xml:space="preserve"> HYPERLINK \l _Toc9098 </w:instrText>
      </w:r>
      <w:r>
        <w:rPr>
          <w:rFonts w:hint="eastAsia" w:ascii="仿宋_GB2312" w:hAnsi="仿宋_GB2312" w:eastAsia="仿宋_GB2312" w:cs="仿宋_GB2312"/>
          <w:b w:val="0"/>
          <w:bCs w:val="0"/>
          <w:sz w:val="32"/>
          <w:szCs w:val="32"/>
          <w:highlight w:val="none"/>
        </w:rPr>
        <w:fldChar w:fldCharType="separate"/>
      </w:r>
      <w:r>
        <w:rPr>
          <w:rFonts w:hint="eastAsia" w:ascii="仿宋_GB2312" w:hAnsi="仿宋_GB2312" w:eastAsia="仿宋_GB2312" w:cs="仿宋_GB2312"/>
          <w:b w:val="0"/>
          <w:bCs w:val="0"/>
          <w:sz w:val="32"/>
          <w:szCs w:val="32"/>
          <w:highlight w:val="none"/>
          <w:lang w:val="en-US" w:eastAsia="zh-CN"/>
        </w:rPr>
        <w:t>六</w:t>
      </w:r>
      <w:r>
        <w:rPr>
          <w:rFonts w:hint="eastAsia" w:ascii="仿宋_GB2312" w:hAnsi="仿宋_GB2312" w:eastAsia="仿宋_GB2312" w:cs="仿宋_GB2312"/>
          <w:b w:val="0"/>
          <w:bCs w:val="0"/>
          <w:sz w:val="32"/>
          <w:szCs w:val="32"/>
          <w:highlight w:val="none"/>
        </w:rPr>
        <w:t>、项目经理</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color w:val="auto"/>
          <w:sz w:val="32"/>
          <w:szCs w:val="32"/>
          <w:highlight w:val="none"/>
        </w:rPr>
        <w:fldChar w:fldCharType="end"/>
      </w:r>
      <w:r>
        <w:rPr>
          <w:rFonts w:hint="eastAsia" w:ascii="仿宋_GB2312" w:hAnsi="仿宋_GB2312" w:eastAsia="仿宋_GB2312" w:cs="仿宋_GB2312"/>
          <w:b w:val="0"/>
          <w:bCs w:val="0"/>
          <w:sz w:val="32"/>
          <w:szCs w:val="32"/>
          <w:lang w:val="en-US" w:eastAsia="zh-CN"/>
        </w:rPr>
        <w:t>5</w:t>
      </w:r>
    </w:p>
    <w:p w14:paraId="5DC71006">
      <w:pPr>
        <w:pStyle w:val="10"/>
        <w:tabs>
          <w:tab w:val="right" w:leader="dot" w:pos="9072"/>
        </w:tabs>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color w:val="auto"/>
          <w:sz w:val="32"/>
          <w:szCs w:val="32"/>
          <w:highlight w:val="none"/>
        </w:rPr>
        <w:fldChar w:fldCharType="begin"/>
      </w:r>
      <w:r>
        <w:rPr>
          <w:rFonts w:hint="eastAsia" w:ascii="仿宋_GB2312" w:hAnsi="仿宋_GB2312" w:eastAsia="仿宋_GB2312" w:cs="仿宋_GB2312"/>
          <w:b w:val="0"/>
          <w:bCs w:val="0"/>
          <w:sz w:val="32"/>
          <w:szCs w:val="32"/>
          <w:highlight w:val="none"/>
        </w:rPr>
        <w:instrText xml:space="preserve"> HYPERLINK \l _Toc9228 </w:instrText>
      </w:r>
      <w:r>
        <w:rPr>
          <w:rFonts w:hint="eastAsia" w:ascii="仿宋_GB2312" w:hAnsi="仿宋_GB2312" w:eastAsia="仿宋_GB2312" w:cs="仿宋_GB2312"/>
          <w:b w:val="0"/>
          <w:bCs w:val="0"/>
          <w:sz w:val="32"/>
          <w:szCs w:val="32"/>
          <w:highlight w:val="none"/>
        </w:rPr>
        <w:fldChar w:fldCharType="separate"/>
      </w:r>
      <w:r>
        <w:rPr>
          <w:rFonts w:hint="eastAsia" w:ascii="仿宋_GB2312" w:hAnsi="仿宋_GB2312" w:eastAsia="仿宋_GB2312" w:cs="仿宋_GB2312"/>
          <w:b w:val="0"/>
          <w:bCs w:val="0"/>
          <w:sz w:val="32"/>
          <w:szCs w:val="32"/>
          <w:highlight w:val="none"/>
          <w:lang w:eastAsia="zh-CN"/>
        </w:rPr>
        <w:t>七</w:t>
      </w:r>
      <w:r>
        <w:rPr>
          <w:rFonts w:hint="eastAsia" w:ascii="仿宋_GB2312" w:hAnsi="仿宋_GB2312" w:eastAsia="仿宋_GB2312" w:cs="仿宋_GB2312"/>
          <w:b w:val="0"/>
          <w:bCs w:val="0"/>
          <w:sz w:val="32"/>
          <w:szCs w:val="32"/>
          <w:highlight w:val="none"/>
        </w:rPr>
        <w:t>、合同文件构成</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lang w:val="en-US" w:eastAsia="zh-CN"/>
        </w:rPr>
        <w:t>6</w:t>
      </w:r>
      <w:r>
        <w:rPr>
          <w:rFonts w:hint="eastAsia" w:ascii="仿宋_GB2312" w:hAnsi="仿宋_GB2312" w:eastAsia="仿宋_GB2312" w:cs="仿宋_GB2312"/>
          <w:b w:val="0"/>
          <w:bCs w:val="0"/>
          <w:color w:val="auto"/>
          <w:sz w:val="32"/>
          <w:szCs w:val="32"/>
          <w:highlight w:val="none"/>
        </w:rPr>
        <w:fldChar w:fldCharType="end"/>
      </w:r>
    </w:p>
    <w:p w14:paraId="73894685">
      <w:pPr>
        <w:pStyle w:val="10"/>
        <w:tabs>
          <w:tab w:val="right" w:leader="dot" w:pos="9072"/>
        </w:tabs>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color w:val="auto"/>
          <w:sz w:val="32"/>
          <w:szCs w:val="32"/>
          <w:highlight w:val="none"/>
        </w:rPr>
        <w:fldChar w:fldCharType="begin"/>
      </w:r>
      <w:r>
        <w:rPr>
          <w:rFonts w:hint="eastAsia" w:ascii="仿宋_GB2312" w:hAnsi="仿宋_GB2312" w:eastAsia="仿宋_GB2312" w:cs="仿宋_GB2312"/>
          <w:b w:val="0"/>
          <w:bCs w:val="0"/>
          <w:sz w:val="32"/>
          <w:szCs w:val="32"/>
          <w:highlight w:val="none"/>
        </w:rPr>
        <w:instrText xml:space="preserve"> HYPERLINK \l _Toc21954 </w:instrText>
      </w:r>
      <w:r>
        <w:rPr>
          <w:rFonts w:hint="eastAsia" w:ascii="仿宋_GB2312" w:hAnsi="仿宋_GB2312" w:eastAsia="仿宋_GB2312" w:cs="仿宋_GB2312"/>
          <w:b w:val="0"/>
          <w:bCs w:val="0"/>
          <w:sz w:val="32"/>
          <w:szCs w:val="32"/>
          <w:highlight w:val="none"/>
        </w:rPr>
        <w:fldChar w:fldCharType="separate"/>
      </w:r>
      <w:r>
        <w:rPr>
          <w:rFonts w:hint="eastAsia" w:ascii="仿宋_GB2312" w:hAnsi="仿宋_GB2312" w:eastAsia="仿宋_GB2312" w:cs="仿宋_GB2312"/>
          <w:b w:val="0"/>
          <w:bCs w:val="0"/>
          <w:sz w:val="32"/>
          <w:szCs w:val="32"/>
          <w:highlight w:val="none"/>
          <w:lang w:eastAsia="zh-CN"/>
        </w:rPr>
        <w:t>八</w:t>
      </w:r>
      <w:r>
        <w:rPr>
          <w:rFonts w:hint="eastAsia" w:ascii="仿宋_GB2312" w:hAnsi="仿宋_GB2312" w:eastAsia="仿宋_GB2312" w:cs="仿宋_GB2312"/>
          <w:b w:val="0"/>
          <w:bCs w:val="0"/>
          <w:sz w:val="32"/>
          <w:szCs w:val="32"/>
          <w:highlight w:val="none"/>
        </w:rPr>
        <w:t>、承诺</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lang w:val="en-US" w:eastAsia="zh-CN"/>
        </w:rPr>
        <w:t>7</w:t>
      </w:r>
      <w:r>
        <w:rPr>
          <w:rFonts w:hint="eastAsia" w:ascii="仿宋_GB2312" w:hAnsi="仿宋_GB2312" w:eastAsia="仿宋_GB2312" w:cs="仿宋_GB2312"/>
          <w:b w:val="0"/>
          <w:bCs w:val="0"/>
          <w:color w:val="auto"/>
          <w:sz w:val="32"/>
          <w:szCs w:val="32"/>
          <w:highlight w:val="none"/>
        </w:rPr>
        <w:fldChar w:fldCharType="end"/>
      </w:r>
    </w:p>
    <w:p w14:paraId="3281C3DA">
      <w:pPr>
        <w:pStyle w:val="10"/>
        <w:tabs>
          <w:tab w:val="right" w:leader="dot" w:pos="9072"/>
        </w:tabs>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color w:val="auto"/>
          <w:sz w:val="32"/>
          <w:szCs w:val="32"/>
          <w:highlight w:val="none"/>
        </w:rPr>
        <w:fldChar w:fldCharType="begin"/>
      </w:r>
      <w:r>
        <w:rPr>
          <w:rFonts w:hint="eastAsia" w:ascii="仿宋_GB2312" w:hAnsi="仿宋_GB2312" w:eastAsia="仿宋_GB2312" w:cs="仿宋_GB2312"/>
          <w:b w:val="0"/>
          <w:bCs w:val="0"/>
          <w:sz w:val="32"/>
          <w:szCs w:val="32"/>
          <w:highlight w:val="none"/>
        </w:rPr>
        <w:instrText xml:space="preserve"> HYPERLINK \l _Toc21916 </w:instrText>
      </w:r>
      <w:r>
        <w:rPr>
          <w:rFonts w:hint="eastAsia" w:ascii="仿宋_GB2312" w:hAnsi="仿宋_GB2312" w:eastAsia="仿宋_GB2312" w:cs="仿宋_GB2312"/>
          <w:b w:val="0"/>
          <w:bCs w:val="0"/>
          <w:sz w:val="32"/>
          <w:szCs w:val="32"/>
          <w:highlight w:val="none"/>
        </w:rPr>
        <w:fldChar w:fldCharType="separate"/>
      </w:r>
      <w:r>
        <w:rPr>
          <w:rFonts w:hint="eastAsia" w:ascii="仿宋_GB2312" w:hAnsi="仿宋_GB2312" w:eastAsia="仿宋_GB2312" w:cs="仿宋_GB2312"/>
          <w:b w:val="0"/>
          <w:bCs w:val="0"/>
          <w:sz w:val="32"/>
          <w:szCs w:val="32"/>
          <w:highlight w:val="none"/>
          <w:lang w:val="en-US" w:eastAsia="zh-CN"/>
        </w:rPr>
        <w:t>九</w:t>
      </w:r>
      <w:r>
        <w:rPr>
          <w:rFonts w:hint="eastAsia" w:ascii="仿宋_GB2312" w:hAnsi="仿宋_GB2312" w:eastAsia="仿宋_GB2312" w:cs="仿宋_GB2312"/>
          <w:b w:val="0"/>
          <w:bCs w:val="0"/>
          <w:sz w:val="32"/>
          <w:szCs w:val="32"/>
          <w:highlight w:val="none"/>
        </w:rPr>
        <w:t>、词语含义</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lang w:val="en-US" w:eastAsia="zh-CN"/>
        </w:rPr>
        <w:t>8</w:t>
      </w:r>
      <w:r>
        <w:rPr>
          <w:rFonts w:hint="eastAsia" w:ascii="仿宋_GB2312" w:hAnsi="仿宋_GB2312" w:eastAsia="仿宋_GB2312" w:cs="仿宋_GB2312"/>
          <w:b w:val="0"/>
          <w:bCs w:val="0"/>
          <w:color w:val="auto"/>
          <w:sz w:val="32"/>
          <w:szCs w:val="32"/>
          <w:highlight w:val="none"/>
        </w:rPr>
        <w:fldChar w:fldCharType="end"/>
      </w:r>
    </w:p>
    <w:p w14:paraId="3CA1E02E">
      <w:pPr>
        <w:pStyle w:val="10"/>
        <w:tabs>
          <w:tab w:val="right" w:leader="dot" w:pos="9072"/>
        </w:tabs>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color w:val="auto"/>
          <w:sz w:val="32"/>
          <w:szCs w:val="32"/>
          <w:highlight w:val="none"/>
        </w:rPr>
        <w:fldChar w:fldCharType="begin"/>
      </w:r>
      <w:r>
        <w:rPr>
          <w:rFonts w:hint="eastAsia" w:ascii="仿宋_GB2312" w:hAnsi="仿宋_GB2312" w:eastAsia="仿宋_GB2312" w:cs="仿宋_GB2312"/>
          <w:b w:val="0"/>
          <w:bCs w:val="0"/>
          <w:sz w:val="32"/>
          <w:szCs w:val="32"/>
          <w:highlight w:val="none"/>
        </w:rPr>
        <w:instrText xml:space="preserve"> HYPERLINK \l _Toc19211 </w:instrText>
      </w:r>
      <w:r>
        <w:rPr>
          <w:rFonts w:hint="eastAsia" w:ascii="仿宋_GB2312" w:hAnsi="仿宋_GB2312" w:eastAsia="仿宋_GB2312" w:cs="仿宋_GB2312"/>
          <w:b w:val="0"/>
          <w:bCs w:val="0"/>
          <w:sz w:val="32"/>
          <w:szCs w:val="32"/>
          <w:highlight w:val="none"/>
        </w:rPr>
        <w:fldChar w:fldCharType="separate"/>
      </w:r>
      <w:r>
        <w:rPr>
          <w:rFonts w:hint="eastAsia" w:ascii="仿宋_GB2312" w:hAnsi="仿宋_GB2312" w:eastAsia="仿宋_GB2312" w:cs="仿宋_GB2312"/>
          <w:b w:val="0"/>
          <w:bCs w:val="0"/>
          <w:sz w:val="32"/>
          <w:szCs w:val="32"/>
          <w:highlight w:val="none"/>
          <w:lang w:val="en-US" w:eastAsia="zh-CN"/>
        </w:rPr>
        <w:t>十</w:t>
      </w:r>
      <w:r>
        <w:rPr>
          <w:rFonts w:hint="eastAsia" w:ascii="仿宋_GB2312" w:hAnsi="仿宋_GB2312" w:eastAsia="仿宋_GB2312" w:cs="仿宋_GB2312"/>
          <w:b w:val="0"/>
          <w:bCs w:val="0"/>
          <w:sz w:val="32"/>
          <w:szCs w:val="32"/>
          <w:highlight w:val="none"/>
        </w:rPr>
        <w:t>、签订时间</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lang w:val="en-US" w:eastAsia="zh-CN"/>
        </w:rPr>
        <w:t>8</w:t>
      </w:r>
      <w:r>
        <w:rPr>
          <w:rFonts w:hint="eastAsia" w:ascii="仿宋_GB2312" w:hAnsi="仿宋_GB2312" w:eastAsia="仿宋_GB2312" w:cs="仿宋_GB2312"/>
          <w:b w:val="0"/>
          <w:bCs w:val="0"/>
          <w:color w:val="auto"/>
          <w:sz w:val="32"/>
          <w:szCs w:val="32"/>
          <w:highlight w:val="none"/>
        </w:rPr>
        <w:fldChar w:fldCharType="end"/>
      </w:r>
    </w:p>
    <w:p w14:paraId="18A82DB4">
      <w:pPr>
        <w:pStyle w:val="10"/>
        <w:tabs>
          <w:tab w:val="right" w:leader="dot" w:pos="9072"/>
        </w:tabs>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color w:val="auto"/>
          <w:sz w:val="32"/>
          <w:szCs w:val="32"/>
          <w:highlight w:val="none"/>
        </w:rPr>
        <w:fldChar w:fldCharType="begin"/>
      </w:r>
      <w:r>
        <w:rPr>
          <w:rFonts w:hint="eastAsia" w:ascii="仿宋_GB2312" w:hAnsi="仿宋_GB2312" w:eastAsia="仿宋_GB2312" w:cs="仿宋_GB2312"/>
          <w:b w:val="0"/>
          <w:bCs w:val="0"/>
          <w:sz w:val="32"/>
          <w:szCs w:val="32"/>
          <w:highlight w:val="none"/>
        </w:rPr>
        <w:instrText xml:space="preserve"> HYPERLINK \l _Toc12285 </w:instrText>
      </w:r>
      <w:r>
        <w:rPr>
          <w:rFonts w:hint="eastAsia" w:ascii="仿宋_GB2312" w:hAnsi="仿宋_GB2312" w:eastAsia="仿宋_GB2312" w:cs="仿宋_GB2312"/>
          <w:b w:val="0"/>
          <w:bCs w:val="0"/>
          <w:sz w:val="32"/>
          <w:szCs w:val="32"/>
          <w:highlight w:val="none"/>
        </w:rPr>
        <w:fldChar w:fldCharType="separate"/>
      </w:r>
      <w:r>
        <w:rPr>
          <w:rFonts w:hint="eastAsia" w:ascii="仿宋_GB2312" w:hAnsi="仿宋_GB2312" w:eastAsia="仿宋_GB2312" w:cs="仿宋_GB2312"/>
          <w:b w:val="0"/>
          <w:bCs w:val="0"/>
          <w:sz w:val="32"/>
          <w:szCs w:val="32"/>
          <w:highlight w:val="none"/>
        </w:rPr>
        <w:t>十</w:t>
      </w:r>
      <w:r>
        <w:rPr>
          <w:rFonts w:hint="eastAsia" w:ascii="仿宋_GB2312" w:hAnsi="仿宋_GB2312" w:eastAsia="仿宋_GB2312" w:cs="仿宋_GB2312"/>
          <w:b w:val="0"/>
          <w:bCs w:val="0"/>
          <w:sz w:val="32"/>
          <w:szCs w:val="32"/>
          <w:highlight w:val="none"/>
          <w:lang w:val="en-US" w:eastAsia="zh-CN"/>
        </w:rPr>
        <w:t>一</w:t>
      </w:r>
      <w:r>
        <w:rPr>
          <w:rFonts w:hint="eastAsia" w:ascii="仿宋_GB2312" w:hAnsi="仿宋_GB2312" w:eastAsia="仿宋_GB2312" w:cs="仿宋_GB2312"/>
          <w:b w:val="0"/>
          <w:bCs w:val="0"/>
          <w:sz w:val="32"/>
          <w:szCs w:val="32"/>
          <w:highlight w:val="none"/>
        </w:rPr>
        <w:t>、签订地点</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lang w:val="en-US" w:eastAsia="zh-CN"/>
        </w:rPr>
        <w:t>8</w:t>
      </w:r>
      <w:r>
        <w:rPr>
          <w:rFonts w:hint="eastAsia" w:ascii="仿宋_GB2312" w:hAnsi="仿宋_GB2312" w:eastAsia="仿宋_GB2312" w:cs="仿宋_GB2312"/>
          <w:b w:val="0"/>
          <w:bCs w:val="0"/>
          <w:color w:val="auto"/>
          <w:sz w:val="32"/>
          <w:szCs w:val="32"/>
          <w:highlight w:val="none"/>
        </w:rPr>
        <w:fldChar w:fldCharType="end"/>
      </w:r>
    </w:p>
    <w:p w14:paraId="3874544D">
      <w:pPr>
        <w:pStyle w:val="10"/>
        <w:tabs>
          <w:tab w:val="right" w:leader="dot" w:pos="9072"/>
        </w:tabs>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color w:val="auto"/>
          <w:sz w:val="32"/>
          <w:szCs w:val="32"/>
          <w:highlight w:val="none"/>
        </w:rPr>
        <w:fldChar w:fldCharType="begin"/>
      </w:r>
      <w:r>
        <w:rPr>
          <w:rFonts w:hint="eastAsia" w:ascii="仿宋_GB2312" w:hAnsi="仿宋_GB2312" w:eastAsia="仿宋_GB2312" w:cs="仿宋_GB2312"/>
          <w:b w:val="0"/>
          <w:bCs w:val="0"/>
          <w:sz w:val="32"/>
          <w:szCs w:val="32"/>
          <w:highlight w:val="none"/>
        </w:rPr>
        <w:instrText xml:space="preserve"> HYPERLINK \l _Toc1244 </w:instrText>
      </w:r>
      <w:r>
        <w:rPr>
          <w:rFonts w:hint="eastAsia" w:ascii="仿宋_GB2312" w:hAnsi="仿宋_GB2312" w:eastAsia="仿宋_GB2312" w:cs="仿宋_GB2312"/>
          <w:b w:val="0"/>
          <w:bCs w:val="0"/>
          <w:sz w:val="32"/>
          <w:szCs w:val="32"/>
          <w:highlight w:val="none"/>
        </w:rPr>
        <w:fldChar w:fldCharType="separate"/>
      </w:r>
      <w:r>
        <w:rPr>
          <w:rFonts w:hint="eastAsia" w:ascii="仿宋_GB2312" w:hAnsi="仿宋_GB2312" w:eastAsia="仿宋_GB2312" w:cs="仿宋_GB2312"/>
          <w:b w:val="0"/>
          <w:bCs w:val="0"/>
          <w:sz w:val="32"/>
          <w:szCs w:val="32"/>
          <w:highlight w:val="none"/>
        </w:rPr>
        <w:t>十</w:t>
      </w:r>
      <w:r>
        <w:rPr>
          <w:rFonts w:hint="eastAsia" w:ascii="仿宋_GB2312" w:hAnsi="仿宋_GB2312" w:eastAsia="仿宋_GB2312" w:cs="仿宋_GB2312"/>
          <w:b w:val="0"/>
          <w:bCs w:val="0"/>
          <w:sz w:val="32"/>
          <w:szCs w:val="32"/>
          <w:highlight w:val="none"/>
          <w:lang w:eastAsia="zh-CN"/>
        </w:rPr>
        <w:t>二</w:t>
      </w:r>
      <w:r>
        <w:rPr>
          <w:rFonts w:hint="eastAsia" w:ascii="仿宋_GB2312" w:hAnsi="仿宋_GB2312" w:eastAsia="仿宋_GB2312" w:cs="仿宋_GB2312"/>
          <w:b w:val="0"/>
          <w:bCs w:val="0"/>
          <w:sz w:val="32"/>
          <w:szCs w:val="32"/>
          <w:highlight w:val="none"/>
        </w:rPr>
        <w:t>、补充协议</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lang w:val="en-US" w:eastAsia="zh-CN"/>
        </w:rPr>
        <w:t>8</w:t>
      </w:r>
      <w:r>
        <w:rPr>
          <w:rFonts w:hint="eastAsia" w:ascii="仿宋_GB2312" w:hAnsi="仿宋_GB2312" w:eastAsia="仿宋_GB2312" w:cs="仿宋_GB2312"/>
          <w:b w:val="0"/>
          <w:bCs w:val="0"/>
          <w:color w:val="auto"/>
          <w:sz w:val="32"/>
          <w:szCs w:val="32"/>
          <w:highlight w:val="none"/>
        </w:rPr>
        <w:fldChar w:fldCharType="end"/>
      </w:r>
    </w:p>
    <w:p w14:paraId="5720FD1A">
      <w:pPr>
        <w:pStyle w:val="10"/>
        <w:tabs>
          <w:tab w:val="right" w:leader="dot" w:pos="9072"/>
        </w:tabs>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color w:val="auto"/>
          <w:sz w:val="32"/>
          <w:szCs w:val="32"/>
          <w:highlight w:val="none"/>
        </w:rPr>
        <w:fldChar w:fldCharType="begin"/>
      </w:r>
      <w:r>
        <w:rPr>
          <w:rFonts w:hint="eastAsia" w:ascii="仿宋_GB2312" w:hAnsi="仿宋_GB2312" w:eastAsia="仿宋_GB2312" w:cs="仿宋_GB2312"/>
          <w:b w:val="0"/>
          <w:bCs w:val="0"/>
          <w:sz w:val="32"/>
          <w:szCs w:val="32"/>
          <w:highlight w:val="none"/>
        </w:rPr>
        <w:instrText xml:space="preserve"> HYPERLINK \l _Toc16590 </w:instrText>
      </w:r>
      <w:r>
        <w:rPr>
          <w:rFonts w:hint="eastAsia" w:ascii="仿宋_GB2312" w:hAnsi="仿宋_GB2312" w:eastAsia="仿宋_GB2312" w:cs="仿宋_GB2312"/>
          <w:b w:val="0"/>
          <w:bCs w:val="0"/>
          <w:sz w:val="32"/>
          <w:szCs w:val="32"/>
          <w:highlight w:val="none"/>
        </w:rPr>
        <w:fldChar w:fldCharType="separate"/>
      </w:r>
      <w:r>
        <w:rPr>
          <w:rFonts w:hint="eastAsia" w:ascii="仿宋_GB2312" w:hAnsi="仿宋_GB2312" w:eastAsia="仿宋_GB2312" w:cs="仿宋_GB2312"/>
          <w:b w:val="0"/>
          <w:bCs w:val="0"/>
          <w:sz w:val="32"/>
          <w:szCs w:val="32"/>
          <w:highlight w:val="none"/>
        </w:rPr>
        <w:t>十</w:t>
      </w:r>
      <w:r>
        <w:rPr>
          <w:rFonts w:hint="eastAsia" w:ascii="仿宋_GB2312" w:hAnsi="仿宋_GB2312" w:eastAsia="仿宋_GB2312" w:cs="仿宋_GB2312"/>
          <w:b w:val="0"/>
          <w:bCs w:val="0"/>
          <w:sz w:val="32"/>
          <w:szCs w:val="32"/>
          <w:highlight w:val="none"/>
          <w:lang w:val="en-US" w:eastAsia="zh-CN"/>
        </w:rPr>
        <w:t>三</w:t>
      </w:r>
      <w:r>
        <w:rPr>
          <w:rFonts w:hint="eastAsia" w:ascii="仿宋_GB2312" w:hAnsi="仿宋_GB2312" w:eastAsia="仿宋_GB2312" w:cs="仿宋_GB2312"/>
          <w:b w:val="0"/>
          <w:bCs w:val="0"/>
          <w:sz w:val="32"/>
          <w:szCs w:val="32"/>
          <w:highlight w:val="none"/>
        </w:rPr>
        <w:t>、合同生效</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color w:val="auto"/>
          <w:sz w:val="32"/>
          <w:szCs w:val="32"/>
          <w:highlight w:val="none"/>
        </w:rPr>
        <w:fldChar w:fldCharType="end"/>
      </w:r>
      <w:r>
        <w:rPr>
          <w:rFonts w:hint="eastAsia" w:ascii="仿宋_GB2312" w:hAnsi="仿宋_GB2312" w:eastAsia="仿宋_GB2312" w:cs="仿宋_GB2312"/>
          <w:b w:val="0"/>
          <w:bCs w:val="0"/>
          <w:color w:val="auto"/>
          <w:sz w:val="32"/>
          <w:szCs w:val="32"/>
          <w:highlight w:val="none"/>
          <w:lang w:val="en-US" w:eastAsia="zh-CN"/>
        </w:rPr>
        <w:t>8</w:t>
      </w:r>
    </w:p>
    <w:p w14:paraId="7BFEBDC0">
      <w:pPr>
        <w:pStyle w:val="10"/>
        <w:tabs>
          <w:tab w:val="right" w:leader="dot" w:pos="9072"/>
        </w:tabs>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color w:val="auto"/>
          <w:sz w:val="32"/>
          <w:szCs w:val="32"/>
          <w:highlight w:val="none"/>
        </w:rPr>
        <w:fldChar w:fldCharType="begin"/>
      </w:r>
      <w:r>
        <w:rPr>
          <w:rFonts w:hint="eastAsia" w:ascii="仿宋_GB2312" w:hAnsi="仿宋_GB2312" w:eastAsia="仿宋_GB2312" w:cs="仿宋_GB2312"/>
          <w:b w:val="0"/>
          <w:bCs w:val="0"/>
          <w:sz w:val="32"/>
          <w:szCs w:val="32"/>
          <w:highlight w:val="none"/>
        </w:rPr>
        <w:instrText xml:space="preserve"> HYPERLINK \l _Toc19515 </w:instrText>
      </w:r>
      <w:r>
        <w:rPr>
          <w:rFonts w:hint="eastAsia" w:ascii="仿宋_GB2312" w:hAnsi="仿宋_GB2312" w:eastAsia="仿宋_GB2312" w:cs="仿宋_GB2312"/>
          <w:b w:val="0"/>
          <w:bCs w:val="0"/>
          <w:sz w:val="32"/>
          <w:szCs w:val="32"/>
          <w:highlight w:val="none"/>
        </w:rPr>
        <w:fldChar w:fldCharType="separate"/>
      </w:r>
      <w:r>
        <w:rPr>
          <w:rFonts w:hint="eastAsia" w:ascii="仿宋_GB2312" w:hAnsi="仿宋_GB2312" w:eastAsia="仿宋_GB2312" w:cs="仿宋_GB2312"/>
          <w:b w:val="0"/>
          <w:bCs w:val="0"/>
          <w:sz w:val="32"/>
          <w:szCs w:val="32"/>
          <w:highlight w:val="none"/>
        </w:rPr>
        <w:t>十</w:t>
      </w:r>
      <w:r>
        <w:rPr>
          <w:rFonts w:hint="eastAsia" w:ascii="仿宋_GB2312" w:hAnsi="仿宋_GB2312" w:eastAsia="仿宋_GB2312" w:cs="仿宋_GB2312"/>
          <w:b w:val="0"/>
          <w:bCs w:val="0"/>
          <w:sz w:val="32"/>
          <w:szCs w:val="32"/>
          <w:highlight w:val="none"/>
          <w:lang w:eastAsia="zh-CN"/>
        </w:rPr>
        <w:t>四</w:t>
      </w:r>
      <w:r>
        <w:rPr>
          <w:rFonts w:hint="eastAsia" w:ascii="仿宋_GB2312" w:hAnsi="仿宋_GB2312" w:eastAsia="仿宋_GB2312" w:cs="仿宋_GB2312"/>
          <w:b w:val="0"/>
          <w:bCs w:val="0"/>
          <w:sz w:val="32"/>
          <w:szCs w:val="32"/>
          <w:highlight w:val="none"/>
        </w:rPr>
        <w:t>、合同份数</w:t>
      </w:r>
      <w:r>
        <w:rPr>
          <w:rFonts w:hint="eastAsia" w:ascii="仿宋_GB2312" w:hAnsi="仿宋_GB2312" w:eastAsia="仿宋_GB2312" w:cs="仿宋_GB2312"/>
          <w:b w:val="0"/>
          <w:bCs w:val="0"/>
          <w:sz w:val="32"/>
          <w:szCs w:val="32"/>
          <w:highlight w:val="none"/>
          <w:lang w:eastAsia="zh-CN"/>
        </w:rPr>
        <w:t>、</w:t>
      </w:r>
      <w:r>
        <w:rPr>
          <w:rFonts w:hint="eastAsia" w:ascii="仿宋_GB2312" w:hAnsi="仿宋_GB2312" w:eastAsia="仿宋_GB2312" w:cs="仿宋_GB2312"/>
          <w:b w:val="0"/>
          <w:bCs w:val="0"/>
          <w:sz w:val="32"/>
          <w:szCs w:val="32"/>
          <w:highlight w:val="none"/>
          <w:lang w:val="en-US" w:eastAsia="zh-CN"/>
        </w:rPr>
        <w:t>通知与送达</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lang w:val="en-US" w:eastAsia="zh-CN"/>
        </w:rPr>
        <w:t>9</w:t>
      </w:r>
      <w:r>
        <w:rPr>
          <w:rFonts w:hint="eastAsia" w:ascii="仿宋_GB2312" w:hAnsi="仿宋_GB2312" w:eastAsia="仿宋_GB2312" w:cs="仿宋_GB2312"/>
          <w:b w:val="0"/>
          <w:bCs w:val="0"/>
          <w:color w:val="auto"/>
          <w:sz w:val="32"/>
          <w:szCs w:val="32"/>
          <w:highlight w:val="none"/>
        </w:rPr>
        <w:fldChar w:fldCharType="end"/>
      </w:r>
    </w:p>
    <w:p w14:paraId="1FF230D1">
      <w:pPr>
        <w:pStyle w:val="9"/>
        <w:tabs>
          <w:tab w:val="right" w:leader="dot" w:pos="9072"/>
          <w:tab w:val="clear" w:pos="8296"/>
        </w:tabs>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color w:val="auto"/>
          <w:sz w:val="32"/>
          <w:szCs w:val="32"/>
          <w:highlight w:val="none"/>
        </w:rPr>
        <w:fldChar w:fldCharType="begin"/>
      </w:r>
      <w:r>
        <w:rPr>
          <w:rFonts w:hint="eastAsia" w:ascii="仿宋_GB2312" w:hAnsi="仿宋_GB2312" w:eastAsia="仿宋_GB2312" w:cs="仿宋_GB2312"/>
          <w:b w:val="0"/>
          <w:bCs w:val="0"/>
          <w:sz w:val="32"/>
          <w:szCs w:val="32"/>
          <w:highlight w:val="none"/>
        </w:rPr>
        <w:instrText xml:space="preserve"> HYPERLINK \l _Toc24410 </w:instrText>
      </w:r>
      <w:r>
        <w:rPr>
          <w:rFonts w:hint="eastAsia" w:ascii="仿宋_GB2312" w:hAnsi="仿宋_GB2312" w:eastAsia="仿宋_GB2312" w:cs="仿宋_GB2312"/>
          <w:b w:val="0"/>
          <w:bCs w:val="0"/>
          <w:sz w:val="32"/>
          <w:szCs w:val="32"/>
          <w:highlight w:val="none"/>
        </w:rPr>
        <w:fldChar w:fldCharType="separate"/>
      </w:r>
      <w:r>
        <w:rPr>
          <w:rFonts w:hint="eastAsia" w:ascii="仿宋_GB2312" w:hAnsi="仿宋_GB2312" w:eastAsia="仿宋_GB2312" w:cs="仿宋_GB2312"/>
          <w:b w:val="0"/>
          <w:bCs w:val="0"/>
          <w:sz w:val="32"/>
          <w:szCs w:val="32"/>
          <w:highlight w:val="none"/>
        </w:rPr>
        <w:t>第二部分 通用合同条款</w:t>
      </w:r>
      <w:r>
        <w:rPr>
          <w:rFonts w:hint="eastAsia" w:ascii="仿宋_GB2312" w:hAnsi="仿宋_GB2312" w:eastAsia="仿宋_GB2312" w:cs="仿宋_GB2312"/>
          <w:b w:val="0"/>
          <w:bCs w:val="0"/>
          <w:sz w:val="32"/>
          <w:szCs w:val="32"/>
          <w:highlight w:val="none"/>
          <w:lang w:val="en-US" w:eastAsia="zh-CN"/>
        </w:rPr>
        <w:t>.</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color w:val="auto"/>
          <w:sz w:val="32"/>
          <w:szCs w:val="32"/>
          <w:highlight w:val="none"/>
        </w:rPr>
        <w:fldChar w:fldCharType="end"/>
      </w:r>
      <w:r>
        <w:rPr>
          <w:rFonts w:hint="eastAsia" w:ascii="仿宋_GB2312" w:hAnsi="仿宋_GB2312" w:eastAsia="仿宋_GB2312" w:cs="仿宋_GB2312"/>
          <w:b w:val="0"/>
          <w:bCs w:val="0"/>
          <w:color w:val="auto"/>
          <w:sz w:val="32"/>
          <w:szCs w:val="32"/>
          <w:highlight w:val="none"/>
          <w:lang w:val="en-US" w:eastAsia="zh-CN"/>
        </w:rPr>
        <w:t>2</w:t>
      </w:r>
    </w:p>
    <w:p w14:paraId="5CF08F45">
      <w:pPr>
        <w:pStyle w:val="10"/>
        <w:tabs>
          <w:tab w:val="right" w:leader="dot" w:pos="9072"/>
        </w:tabs>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color w:val="auto"/>
          <w:sz w:val="32"/>
          <w:szCs w:val="32"/>
          <w:highlight w:val="none"/>
        </w:rPr>
        <w:fldChar w:fldCharType="begin"/>
      </w:r>
      <w:r>
        <w:rPr>
          <w:rFonts w:hint="eastAsia" w:ascii="仿宋_GB2312" w:hAnsi="仿宋_GB2312" w:eastAsia="仿宋_GB2312" w:cs="仿宋_GB2312"/>
          <w:b w:val="0"/>
          <w:bCs w:val="0"/>
          <w:sz w:val="32"/>
          <w:szCs w:val="32"/>
          <w:highlight w:val="none"/>
        </w:rPr>
        <w:instrText xml:space="preserve"> HYPERLINK \l _Toc27703 </w:instrText>
      </w:r>
      <w:r>
        <w:rPr>
          <w:rFonts w:hint="eastAsia" w:ascii="仿宋_GB2312" w:hAnsi="仿宋_GB2312" w:eastAsia="仿宋_GB2312" w:cs="仿宋_GB2312"/>
          <w:b w:val="0"/>
          <w:bCs w:val="0"/>
          <w:sz w:val="32"/>
          <w:szCs w:val="32"/>
          <w:highlight w:val="none"/>
        </w:rPr>
        <w:fldChar w:fldCharType="separate"/>
      </w:r>
      <w:r>
        <w:rPr>
          <w:rFonts w:hint="eastAsia" w:ascii="仿宋_GB2312" w:hAnsi="仿宋_GB2312" w:eastAsia="仿宋_GB2312" w:cs="仿宋_GB2312"/>
          <w:b w:val="0"/>
          <w:bCs w:val="0"/>
          <w:sz w:val="32"/>
          <w:szCs w:val="32"/>
          <w:highlight w:val="none"/>
        </w:rPr>
        <w:t>1.一般约定</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color w:val="auto"/>
          <w:sz w:val="32"/>
          <w:szCs w:val="32"/>
          <w:highlight w:val="none"/>
        </w:rPr>
        <w:fldChar w:fldCharType="end"/>
      </w:r>
      <w:r>
        <w:rPr>
          <w:rFonts w:hint="eastAsia" w:ascii="仿宋_GB2312" w:hAnsi="仿宋_GB2312" w:eastAsia="仿宋_GB2312" w:cs="仿宋_GB2312"/>
          <w:b w:val="0"/>
          <w:bCs w:val="0"/>
          <w:color w:val="auto"/>
          <w:sz w:val="32"/>
          <w:szCs w:val="32"/>
          <w:highlight w:val="none"/>
          <w:lang w:val="en-US" w:eastAsia="zh-CN"/>
        </w:rPr>
        <w:t>2</w:t>
      </w:r>
    </w:p>
    <w:p w14:paraId="6237D491">
      <w:pPr>
        <w:pStyle w:val="10"/>
        <w:tabs>
          <w:tab w:val="right" w:leader="dot" w:pos="9072"/>
        </w:tabs>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color w:val="auto"/>
          <w:sz w:val="32"/>
          <w:szCs w:val="32"/>
          <w:highlight w:val="none"/>
        </w:rPr>
        <w:fldChar w:fldCharType="begin"/>
      </w:r>
      <w:r>
        <w:rPr>
          <w:rFonts w:hint="eastAsia" w:ascii="仿宋_GB2312" w:hAnsi="仿宋_GB2312" w:eastAsia="仿宋_GB2312" w:cs="仿宋_GB2312"/>
          <w:b w:val="0"/>
          <w:bCs w:val="0"/>
          <w:sz w:val="32"/>
          <w:szCs w:val="32"/>
          <w:highlight w:val="none"/>
        </w:rPr>
        <w:instrText xml:space="preserve"> HYPERLINK \l _Toc32671 </w:instrText>
      </w:r>
      <w:r>
        <w:rPr>
          <w:rFonts w:hint="eastAsia" w:ascii="仿宋_GB2312" w:hAnsi="仿宋_GB2312" w:eastAsia="仿宋_GB2312" w:cs="仿宋_GB2312"/>
          <w:b w:val="0"/>
          <w:bCs w:val="0"/>
          <w:sz w:val="32"/>
          <w:szCs w:val="32"/>
          <w:highlight w:val="none"/>
        </w:rPr>
        <w:fldChar w:fldCharType="separate"/>
      </w:r>
      <w:r>
        <w:rPr>
          <w:rFonts w:hint="eastAsia" w:ascii="仿宋_GB2312" w:hAnsi="仿宋_GB2312" w:eastAsia="仿宋_GB2312" w:cs="仿宋_GB2312"/>
          <w:b w:val="0"/>
          <w:bCs w:val="0"/>
          <w:sz w:val="32"/>
          <w:szCs w:val="32"/>
          <w:highlight w:val="none"/>
        </w:rPr>
        <w:t>2.发包人</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lang w:val="en-US" w:eastAsia="zh-CN"/>
        </w:rPr>
        <w:t>2</w:t>
      </w:r>
      <w:r>
        <w:rPr>
          <w:rFonts w:hint="eastAsia" w:ascii="仿宋_GB2312" w:hAnsi="仿宋_GB2312" w:eastAsia="仿宋_GB2312" w:cs="仿宋_GB2312"/>
          <w:b w:val="0"/>
          <w:bCs w:val="0"/>
          <w:color w:val="auto"/>
          <w:sz w:val="32"/>
          <w:szCs w:val="32"/>
          <w:highlight w:val="none"/>
        </w:rPr>
        <w:fldChar w:fldCharType="end"/>
      </w:r>
      <w:r>
        <w:rPr>
          <w:rFonts w:hint="eastAsia" w:ascii="仿宋_GB2312" w:hAnsi="仿宋_GB2312" w:eastAsia="仿宋_GB2312" w:cs="仿宋_GB2312"/>
          <w:b w:val="0"/>
          <w:bCs w:val="0"/>
          <w:color w:val="auto"/>
          <w:sz w:val="32"/>
          <w:szCs w:val="32"/>
          <w:highlight w:val="none"/>
          <w:lang w:val="en-US" w:eastAsia="zh-CN"/>
        </w:rPr>
        <w:t>5</w:t>
      </w:r>
    </w:p>
    <w:p w14:paraId="7F504624">
      <w:pPr>
        <w:pStyle w:val="10"/>
        <w:tabs>
          <w:tab w:val="right" w:leader="dot" w:pos="9072"/>
        </w:tabs>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color w:val="auto"/>
          <w:sz w:val="32"/>
          <w:szCs w:val="32"/>
          <w:highlight w:val="none"/>
        </w:rPr>
        <w:fldChar w:fldCharType="begin"/>
      </w:r>
      <w:r>
        <w:rPr>
          <w:rFonts w:hint="eastAsia" w:ascii="仿宋_GB2312" w:hAnsi="仿宋_GB2312" w:eastAsia="仿宋_GB2312" w:cs="仿宋_GB2312"/>
          <w:b w:val="0"/>
          <w:bCs w:val="0"/>
          <w:sz w:val="32"/>
          <w:szCs w:val="32"/>
          <w:highlight w:val="none"/>
        </w:rPr>
        <w:instrText xml:space="preserve"> HYPERLINK \l _Toc12638 </w:instrText>
      </w:r>
      <w:r>
        <w:rPr>
          <w:rFonts w:hint="eastAsia" w:ascii="仿宋_GB2312" w:hAnsi="仿宋_GB2312" w:eastAsia="仿宋_GB2312" w:cs="仿宋_GB2312"/>
          <w:b w:val="0"/>
          <w:bCs w:val="0"/>
          <w:sz w:val="32"/>
          <w:szCs w:val="32"/>
          <w:highlight w:val="none"/>
        </w:rPr>
        <w:fldChar w:fldCharType="separate"/>
      </w:r>
      <w:r>
        <w:rPr>
          <w:rFonts w:hint="eastAsia" w:ascii="仿宋_GB2312" w:hAnsi="仿宋_GB2312" w:eastAsia="仿宋_GB2312" w:cs="仿宋_GB2312"/>
          <w:b w:val="0"/>
          <w:bCs w:val="0"/>
          <w:sz w:val="32"/>
          <w:szCs w:val="32"/>
          <w:highlight w:val="none"/>
        </w:rPr>
        <w:t>3.承包人</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lang w:val="en-US" w:eastAsia="zh-CN"/>
        </w:rPr>
        <w:t>2</w:t>
      </w:r>
      <w:r>
        <w:rPr>
          <w:rFonts w:hint="eastAsia" w:ascii="仿宋_GB2312" w:hAnsi="仿宋_GB2312" w:eastAsia="仿宋_GB2312" w:cs="仿宋_GB2312"/>
          <w:b w:val="0"/>
          <w:bCs w:val="0"/>
          <w:color w:val="auto"/>
          <w:sz w:val="32"/>
          <w:szCs w:val="32"/>
          <w:highlight w:val="none"/>
        </w:rPr>
        <w:fldChar w:fldCharType="end"/>
      </w:r>
      <w:r>
        <w:rPr>
          <w:rFonts w:hint="eastAsia" w:ascii="仿宋_GB2312" w:hAnsi="仿宋_GB2312" w:eastAsia="仿宋_GB2312" w:cs="仿宋_GB2312"/>
          <w:b w:val="0"/>
          <w:bCs w:val="0"/>
          <w:color w:val="auto"/>
          <w:sz w:val="32"/>
          <w:szCs w:val="32"/>
          <w:highlight w:val="none"/>
          <w:lang w:val="en-US" w:eastAsia="zh-CN"/>
        </w:rPr>
        <w:t>8</w:t>
      </w:r>
    </w:p>
    <w:p w14:paraId="0CD94623">
      <w:pPr>
        <w:pStyle w:val="10"/>
        <w:tabs>
          <w:tab w:val="right" w:leader="dot" w:pos="9072"/>
        </w:tabs>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color w:val="auto"/>
          <w:sz w:val="32"/>
          <w:szCs w:val="32"/>
          <w:highlight w:val="none"/>
        </w:rPr>
        <w:fldChar w:fldCharType="begin"/>
      </w:r>
      <w:r>
        <w:rPr>
          <w:rFonts w:hint="eastAsia" w:ascii="仿宋_GB2312" w:hAnsi="仿宋_GB2312" w:eastAsia="仿宋_GB2312" w:cs="仿宋_GB2312"/>
          <w:b w:val="0"/>
          <w:bCs w:val="0"/>
          <w:sz w:val="32"/>
          <w:szCs w:val="32"/>
          <w:highlight w:val="none"/>
        </w:rPr>
        <w:instrText xml:space="preserve"> HYPERLINK \l _Toc19054 </w:instrText>
      </w:r>
      <w:r>
        <w:rPr>
          <w:rFonts w:hint="eastAsia" w:ascii="仿宋_GB2312" w:hAnsi="仿宋_GB2312" w:eastAsia="仿宋_GB2312" w:cs="仿宋_GB2312"/>
          <w:b w:val="0"/>
          <w:bCs w:val="0"/>
          <w:sz w:val="32"/>
          <w:szCs w:val="32"/>
          <w:highlight w:val="none"/>
        </w:rPr>
        <w:fldChar w:fldCharType="separate"/>
      </w:r>
      <w:r>
        <w:rPr>
          <w:rFonts w:hint="eastAsia" w:ascii="仿宋_GB2312" w:hAnsi="仿宋_GB2312" w:eastAsia="仿宋_GB2312" w:cs="仿宋_GB2312"/>
          <w:b w:val="0"/>
          <w:bCs w:val="0"/>
          <w:sz w:val="32"/>
          <w:szCs w:val="32"/>
          <w:highlight w:val="none"/>
        </w:rPr>
        <w:t>4.监理人</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lang w:val="en-US" w:eastAsia="zh-CN"/>
        </w:rPr>
        <w:t>3</w:t>
      </w:r>
      <w:r>
        <w:rPr>
          <w:rFonts w:hint="eastAsia" w:ascii="仿宋_GB2312" w:hAnsi="仿宋_GB2312" w:eastAsia="仿宋_GB2312" w:cs="仿宋_GB2312"/>
          <w:b w:val="0"/>
          <w:bCs w:val="0"/>
          <w:color w:val="auto"/>
          <w:sz w:val="32"/>
          <w:szCs w:val="32"/>
          <w:highlight w:val="none"/>
        </w:rPr>
        <w:fldChar w:fldCharType="end"/>
      </w:r>
      <w:r>
        <w:rPr>
          <w:rFonts w:hint="eastAsia" w:ascii="仿宋_GB2312" w:hAnsi="仿宋_GB2312" w:eastAsia="仿宋_GB2312" w:cs="仿宋_GB2312"/>
          <w:b w:val="0"/>
          <w:bCs w:val="0"/>
          <w:color w:val="auto"/>
          <w:sz w:val="32"/>
          <w:szCs w:val="32"/>
          <w:highlight w:val="none"/>
          <w:lang w:val="en-US" w:eastAsia="zh-CN"/>
        </w:rPr>
        <w:t>6</w:t>
      </w:r>
    </w:p>
    <w:p w14:paraId="357229B5">
      <w:pPr>
        <w:pStyle w:val="10"/>
        <w:tabs>
          <w:tab w:val="right" w:leader="dot" w:pos="9072"/>
        </w:tabs>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color w:val="auto"/>
          <w:sz w:val="32"/>
          <w:szCs w:val="32"/>
          <w:highlight w:val="none"/>
        </w:rPr>
        <w:fldChar w:fldCharType="begin"/>
      </w:r>
      <w:r>
        <w:rPr>
          <w:rFonts w:hint="eastAsia" w:ascii="仿宋_GB2312" w:hAnsi="仿宋_GB2312" w:eastAsia="仿宋_GB2312" w:cs="仿宋_GB2312"/>
          <w:b w:val="0"/>
          <w:bCs w:val="0"/>
          <w:sz w:val="32"/>
          <w:szCs w:val="32"/>
          <w:highlight w:val="none"/>
        </w:rPr>
        <w:instrText xml:space="preserve"> HYPERLINK \l _Toc24011 </w:instrText>
      </w:r>
      <w:r>
        <w:rPr>
          <w:rFonts w:hint="eastAsia" w:ascii="仿宋_GB2312" w:hAnsi="仿宋_GB2312" w:eastAsia="仿宋_GB2312" w:cs="仿宋_GB2312"/>
          <w:b w:val="0"/>
          <w:bCs w:val="0"/>
          <w:sz w:val="32"/>
          <w:szCs w:val="32"/>
          <w:highlight w:val="none"/>
        </w:rPr>
        <w:fldChar w:fldCharType="separate"/>
      </w:r>
      <w:r>
        <w:rPr>
          <w:rFonts w:hint="eastAsia" w:ascii="仿宋_GB2312" w:hAnsi="仿宋_GB2312" w:eastAsia="仿宋_GB2312" w:cs="仿宋_GB2312"/>
          <w:b w:val="0"/>
          <w:bCs w:val="0"/>
          <w:sz w:val="32"/>
          <w:szCs w:val="32"/>
          <w:highlight w:val="none"/>
        </w:rPr>
        <w:t>5.工程质量</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lang w:val="en-US" w:eastAsia="zh-CN"/>
        </w:rPr>
        <w:t>3</w:t>
      </w:r>
      <w:r>
        <w:rPr>
          <w:rFonts w:hint="eastAsia" w:ascii="仿宋_GB2312" w:hAnsi="仿宋_GB2312" w:eastAsia="仿宋_GB2312" w:cs="仿宋_GB2312"/>
          <w:b w:val="0"/>
          <w:bCs w:val="0"/>
          <w:color w:val="auto"/>
          <w:sz w:val="32"/>
          <w:szCs w:val="32"/>
          <w:highlight w:val="none"/>
        </w:rPr>
        <w:fldChar w:fldCharType="end"/>
      </w:r>
      <w:r>
        <w:rPr>
          <w:rFonts w:hint="eastAsia" w:ascii="仿宋_GB2312" w:hAnsi="仿宋_GB2312" w:eastAsia="仿宋_GB2312" w:cs="仿宋_GB2312"/>
          <w:b w:val="0"/>
          <w:bCs w:val="0"/>
          <w:color w:val="auto"/>
          <w:sz w:val="32"/>
          <w:szCs w:val="32"/>
          <w:highlight w:val="none"/>
          <w:lang w:val="en-US" w:eastAsia="zh-CN"/>
        </w:rPr>
        <w:t>8</w:t>
      </w:r>
    </w:p>
    <w:p w14:paraId="378BC8B4">
      <w:pPr>
        <w:pStyle w:val="10"/>
        <w:tabs>
          <w:tab w:val="right" w:leader="dot" w:pos="9072"/>
        </w:tabs>
        <w:rPr>
          <w:rFonts w:hint="eastAsia" w:ascii="仿宋_GB2312" w:hAnsi="仿宋_GB2312" w:eastAsia="仿宋_GB2312" w:cs="仿宋_GB2312"/>
          <w:b w:val="0"/>
          <w:bCs w:val="0"/>
          <w:color w:val="auto"/>
          <w:sz w:val="32"/>
          <w:szCs w:val="32"/>
          <w:highlight w:val="none"/>
        </w:rPr>
        <w:sectPr>
          <w:headerReference r:id="rId8" w:type="first"/>
          <w:footerReference r:id="rId10" w:type="first"/>
          <w:headerReference r:id="rId7" w:type="default"/>
          <w:footerReference r:id="rId9" w:type="default"/>
          <w:pgSz w:w="11906" w:h="16838"/>
          <w:pgMar w:top="1417" w:right="1417" w:bottom="1417" w:left="1417" w:header="851" w:footer="992" w:gutter="0"/>
          <w:pgNumType w:fmt="decimal" w:start="1"/>
          <w:cols w:space="720" w:num="1"/>
          <w:titlePg/>
          <w:docGrid w:type="lines" w:linePitch="312" w:charSpace="0"/>
        </w:sectPr>
      </w:pPr>
    </w:p>
    <w:p w14:paraId="7DE01412">
      <w:pPr>
        <w:pStyle w:val="10"/>
        <w:tabs>
          <w:tab w:val="right" w:leader="dot" w:pos="9072"/>
        </w:tabs>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color w:val="auto"/>
          <w:sz w:val="32"/>
          <w:szCs w:val="32"/>
          <w:highlight w:val="none"/>
        </w:rPr>
        <w:fldChar w:fldCharType="begin"/>
      </w:r>
      <w:r>
        <w:rPr>
          <w:rFonts w:hint="eastAsia" w:ascii="仿宋_GB2312" w:hAnsi="仿宋_GB2312" w:eastAsia="仿宋_GB2312" w:cs="仿宋_GB2312"/>
          <w:b w:val="0"/>
          <w:bCs w:val="0"/>
          <w:sz w:val="32"/>
          <w:szCs w:val="32"/>
          <w:highlight w:val="none"/>
        </w:rPr>
        <w:instrText xml:space="preserve"> HYPERLINK \l _Toc3004 </w:instrText>
      </w:r>
      <w:r>
        <w:rPr>
          <w:rFonts w:hint="eastAsia" w:ascii="仿宋_GB2312" w:hAnsi="仿宋_GB2312" w:eastAsia="仿宋_GB2312" w:cs="仿宋_GB2312"/>
          <w:b w:val="0"/>
          <w:bCs w:val="0"/>
          <w:sz w:val="32"/>
          <w:szCs w:val="32"/>
          <w:highlight w:val="none"/>
        </w:rPr>
        <w:fldChar w:fldCharType="separate"/>
      </w:r>
      <w:r>
        <w:rPr>
          <w:rFonts w:hint="eastAsia" w:ascii="仿宋_GB2312" w:hAnsi="仿宋_GB2312" w:eastAsia="仿宋_GB2312" w:cs="仿宋_GB2312"/>
          <w:b w:val="0"/>
          <w:bCs w:val="0"/>
          <w:sz w:val="32"/>
          <w:szCs w:val="32"/>
          <w:highlight w:val="none"/>
        </w:rPr>
        <w:t>6.安全文明施工与环境保护</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lang w:val="en-US" w:eastAsia="zh-CN"/>
        </w:rPr>
        <w:t>4</w:t>
      </w:r>
      <w:r>
        <w:rPr>
          <w:rFonts w:hint="eastAsia" w:ascii="仿宋_GB2312" w:hAnsi="仿宋_GB2312" w:eastAsia="仿宋_GB2312" w:cs="仿宋_GB2312"/>
          <w:b w:val="0"/>
          <w:bCs w:val="0"/>
          <w:color w:val="auto"/>
          <w:sz w:val="32"/>
          <w:szCs w:val="32"/>
          <w:highlight w:val="none"/>
        </w:rPr>
        <w:fldChar w:fldCharType="end"/>
      </w:r>
      <w:r>
        <w:rPr>
          <w:rFonts w:hint="eastAsia" w:ascii="仿宋_GB2312" w:hAnsi="仿宋_GB2312" w:eastAsia="仿宋_GB2312" w:cs="仿宋_GB2312"/>
          <w:b w:val="0"/>
          <w:bCs w:val="0"/>
          <w:color w:val="auto"/>
          <w:sz w:val="32"/>
          <w:szCs w:val="32"/>
          <w:highlight w:val="none"/>
          <w:lang w:val="en-US" w:eastAsia="zh-CN"/>
        </w:rPr>
        <w:t>2</w:t>
      </w:r>
    </w:p>
    <w:p w14:paraId="593742BF">
      <w:pPr>
        <w:pStyle w:val="10"/>
        <w:tabs>
          <w:tab w:val="right" w:leader="dot" w:pos="9072"/>
        </w:tabs>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color w:val="auto"/>
          <w:sz w:val="32"/>
          <w:szCs w:val="32"/>
          <w:highlight w:val="none"/>
        </w:rPr>
        <w:fldChar w:fldCharType="begin"/>
      </w:r>
      <w:r>
        <w:rPr>
          <w:rFonts w:hint="eastAsia" w:ascii="仿宋_GB2312" w:hAnsi="仿宋_GB2312" w:eastAsia="仿宋_GB2312" w:cs="仿宋_GB2312"/>
          <w:b w:val="0"/>
          <w:bCs w:val="0"/>
          <w:sz w:val="32"/>
          <w:szCs w:val="32"/>
          <w:highlight w:val="none"/>
        </w:rPr>
        <w:instrText xml:space="preserve"> HYPERLINK \l _Toc20579 </w:instrText>
      </w:r>
      <w:r>
        <w:rPr>
          <w:rFonts w:hint="eastAsia" w:ascii="仿宋_GB2312" w:hAnsi="仿宋_GB2312" w:eastAsia="仿宋_GB2312" w:cs="仿宋_GB2312"/>
          <w:b w:val="0"/>
          <w:bCs w:val="0"/>
          <w:sz w:val="32"/>
          <w:szCs w:val="32"/>
          <w:highlight w:val="none"/>
        </w:rPr>
        <w:fldChar w:fldCharType="separate"/>
      </w:r>
      <w:r>
        <w:rPr>
          <w:rFonts w:hint="eastAsia" w:ascii="仿宋_GB2312" w:hAnsi="仿宋_GB2312" w:eastAsia="仿宋_GB2312" w:cs="仿宋_GB2312"/>
          <w:b w:val="0"/>
          <w:bCs w:val="0"/>
          <w:sz w:val="32"/>
          <w:szCs w:val="32"/>
          <w:highlight w:val="none"/>
        </w:rPr>
        <w:t>7.工期和进度</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lang w:val="en-US" w:eastAsia="zh-CN"/>
        </w:rPr>
        <w:t>4</w:t>
      </w:r>
      <w:r>
        <w:rPr>
          <w:rFonts w:hint="eastAsia" w:ascii="仿宋_GB2312" w:hAnsi="仿宋_GB2312" w:eastAsia="仿宋_GB2312" w:cs="仿宋_GB2312"/>
          <w:b w:val="0"/>
          <w:bCs w:val="0"/>
          <w:color w:val="auto"/>
          <w:sz w:val="32"/>
          <w:szCs w:val="32"/>
          <w:highlight w:val="none"/>
        </w:rPr>
        <w:fldChar w:fldCharType="end"/>
      </w:r>
      <w:r>
        <w:rPr>
          <w:rFonts w:hint="eastAsia" w:ascii="仿宋_GB2312" w:hAnsi="仿宋_GB2312" w:eastAsia="仿宋_GB2312" w:cs="仿宋_GB2312"/>
          <w:b w:val="0"/>
          <w:bCs w:val="0"/>
          <w:color w:val="auto"/>
          <w:sz w:val="32"/>
          <w:szCs w:val="32"/>
          <w:highlight w:val="none"/>
          <w:lang w:val="en-US" w:eastAsia="zh-CN"/>
        </w:rPr>
        <w:t>8</w:t>
      </w:r>
    </w:p>
    <w:p w14:paraId="6EB65957">
      <w:pPr>
        <w:pStyle w:val="10"/>
        <w:tabs>
          <w:tab w:val="right" w:leader="dot" w:pos="9072"/>
        </w:tabs>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color w:val="auto"/>
          <w:sz w:val="32"/>
          <w:szCs w:val="32"/>
          <w:highlight w:val="none"/>
        </w:rPr>
        <w:fldChar w:fldCharType="begin"/>
      </w:r>
      <w:r>
        <w:rPr>
          <w:rFonts w:hint="eastAsia" w:ascii="仿宋_GB2312" w:hAnsi="仿宋_GB2312" w:eastAsia="仿宋_GB2312" w:cs="仿宋_GB2312"/>
          <w:b w:val="0"/>
          <w:bCs w:val="0"/>
          <w:sz w:val="32"/>
          <w:szCs w:val="32"/>
          <w:highlight w:val="none"/>
        </w:rPr>
        <w:instrText xml:space="preserve"> HYPERLINK \l _Toc14305 </w:instrText>
      </w:r>
      <w:r>
        <w:rPr>
          <w:rFonts w:hint="eastAsia" w:ascii="仿宋_GB2312" w:hAnsi="仿宋_GB2312" w:eastAsia="仿宋_GB2312" w:cs="仿宋_GB2312"/>
          <w:b w:val="0"/>
          <w:bCs w:val="0"/>
          <w:sz w:val="32"/>
          <w:szCs w:val="32"/>
          <w:highlight w:val="none"/>
        </w:rPr>
        <w:fldChar w:fldCharType="separate"/>
      </w:r>
      <w:r>
        <w:rPr>
          <w:rFonts w:hint="eastAsia" w:ascii="仿宋_GB2312" w:hAnsi="仿宋_GB2312" w:eastAsia="仿宋_GB2312" w:cs="仿宋_GB2312"/>
          <w:b w:val="0"/>
          <w:bCs w:val="0"/>
          <w:sz w:val="32"/>
          <w:szCs w:val="32"/>
          <w:highlight w:val="none"/>
        </w:rPr>
        <w:t>8.材料与设备</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lang w:val="en-US" w:eastAsia="zh-CN"/>
        </w:rPr>
        <w:t>5</w:t>
      </w:r>
      <w:r>
        <w:rPr>
          <w:rFonts w:hint="eastAsia" w:ascii="仿宋_GB2312" w:hAnsi="仿宋_GB2312" w:eastAsia="仿宋_GB2312" w:cs="仿宋_GB2312"/>
          <w:b w:val="0"/>
          <w:bCs w:val="0"/>
          <w:color w:val="auto"/>
          <w:sz w:val="32"/>
          <w:szCs w:val="32"/>
          <w:highlight w:val="none"/>
        </w:rPr>
        <w:fldChar w:fldCharType="end"/>
      </w:r>
      <w:r>
        <w:rPr>
          <w:rFonts w:hint="eastAsia" w:ascii="仿宋_GB2312" w:hAnsi="仿宋_GB2312" w:eastAsia="仿宋_GB2312" w:cs="仿宋_GB2312"/>
          <w:b w:val="0"/>
          <w:bCs w:val="0"/>
          <w:color w:val="auto"/>
          <w:sz w:val="32"/>
          <w:szCs w:val="32"/>
          <w:highlight w:val="none"/>
          <w:lang w:val="en-US" w:eastAsia="zh-CN"/>
        </w:rPr>
        <w:t>6</w:t>
      </w:r>
    </w:p>
    <w:p w14:paraId="7BFE6D24">
      <w:pPr>
        <w:pStyle w:val="10"/>
        <w:tabs>
          <w:tab w:val="right" w:leader="dot" w:pos="9072"/>
        </w:tabs>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color w:val="auto"/>
          <w:sz w:val="32"/>
          <w:szCs w:val="32"/>
          <w:highlight w:val="none"/>
        </w:rPr>
        <w:fldChar w:fldCharType="begin"/>
      </w:r>
      <w:r>
        <w:rPr>
          <w:rFonts w:hint="eastAsia" w:ascii="仿宋_GB2312" w:hAnsi="仿宋_GB2312" w:eastAsia="仿宋_GB2312" w:cs="仿宋_GB2312"/>
          <w:b w:val="0"/>
          <w:bCs w:val="0"/>
          <w:sz w:val="32"/>
          <w:szCs w:val="32"/>
          <w:highlight w:val="none"/>
        </w:rPr>
        <w:instrText xml:space="preserve"> HYPERLINK \l _Toc5847 </w:instrText>
      </w:r>
      <w:r>
        <w:rPr>
          <w:rFonts w:hint="eastAsia" w:ascii="仿宋_GB2312" w:hAnsi="仿宋_GB2312" w:eastAsia="仿宋_GB2312" w:cs="仿宋_GB2312"/>
          <w:b w:val="0"/>
          <w:bCs w:val="0"/>
          <w:sz w:val="32"/>
          <w:szCs w:val="32"/>
          <w:highlight w:val="none"/>
        </w:rPr>
        <w:fldChar w:fldCharType="separate"/>
      </w:r>
      <w:r>
        <w:rPr>
          <w:rFonts w:hint="eastAsia" w:ascii="仿宋_GB2312" w:hAnsi="仿宋_GB2312" w:eastAsia="仿宋_GB2312" w:cs="仿宋_GB2312"/>
          <w:b w:val="0"/>
          <w:bCs w:val="0"/>
          <w:sz w:val="32"/>
          <w:szCs w:val="32"/>
          <w:highlight w:val="none"/>
        </w:rPr>
        <w:t>9.试验与检验</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lang w:val="en-US" w:eastAsia="zh-CN"/>
        </w:rPr>
        <w:t>6</w:t>
      </w:r>
      <w:r>
        <w:rPr>
          <w:rFonts w:hint="eastAsia" w:ascii="仿宋_GB2312" w:hAnsi="仿宋_GB2312" w:eastAsia="仿宋_GB2312" w:cs="仿宋_GB2312"/>
          <w:b w:val="0"/>
          <w:bCs w:val="0"/>
          <w:color w:val="auto"/>
          <w:sz w:val="32"/>
          <w:szCs w:val="32"/>
          <w:highlight w:val="none"/>
        </w:rPr>
        <w:fldChar w:fldCharType="end"/>
      </w:r>
      <w:r>
        <w:rPr>
          <w:rFonts w:hint="eastAsia" w:ascii="仿宋_GB2312" w:hAnsi="仿宋_GB2312" w:eastAsia="仿宋_GB2312" w:cs="仿宋_GB2312"/>
          <w:b w:val="0"/>
          <w:bCs w:val="0"/>
          <w:color w:val="auto"/>
          <w:sz w:val="32"/>
          <w:szCs w:val="32"/>
          <w:highlight w:val="none"/>
          <w:lang w:val="en-US" w:eastAsia="zh-CN"/>
        </w:rPr>
        <w:t>2</w:t>
      </w:r>
    </w:p>
    <w:p w14:paraId="5C26A4E7">
      <w:pPr>
        <w:pStyle w:val="10"/>
        <w:tabs>
          <w:tab w:val="right" w:leader="dot" w:pos="9072"/>
        </w:tabs>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color w:val="auto"/>
          <w:sz w:val="32"/>
          <w:szCs w:val="32"/>
          <w:highlight w:val="none"/>
        </w:rPr>
        <w:fldChar w:fldCharType="begin"/>
      </w:r>
      <w:r>
        <w:rPr>
          <w:rFonts w:hint="eastAsia" w:ascii="仿宋_GB2312" w:hAnsi="仿宋_GB2312" w:eastAsia="仿宋_GB2312" w:cs="仿宋_GB2312"/>
          <w:b w:val="0"/>
          <w:bCs w:val="0"/>
          <w:sz w:val="32"/>
          <w:szCs w:val="32"/>
          <w:highlight w:val="none"/>
        </w:rPr>
        <w:instrText xml:space="preserve"> HYPERLINK \l _Toc31127 </w:instrText>
      </w:r>
      <w:r>
        <w:rPr>
          <w:rFonts w:hint="eastAsia" w:ascii="仿宋_GB2312" w:hAnsi="仿宋_GB2312" w:eastAsia="仿宋_GB2312" w:cs="仿宋_GB2312"/>
          <w:b w:val="0"/>
          <w:bCs w:val="0"/>
          <w:sz w:val="32"/>
          <w:szCs w:val="32"/>
          <w:highlight w:val="none"/>
        </w:rPr>
        <w:fldChar w:fldCharType="separate"/>
      </w:r>
      <w:r>
        <w:rPr>
          <w:rFonts w:hint="eastAsia" w:ascii="仿宋_GB2312" w:hAnsi="仿宋_GB2312" w:eastAsia="仿宋_GB2312" w:cs="仿宋_GB2312"/>
          <w:b w:val="0"/>
          <w:bCs w:val="0"/>
          <w:sz w:val="32"/>
          <w:szCs w:val="32"/>
          <w:highlight w:val="none"/>
        </w:rPr>
        <w:t>10.变更</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lang w:val="en-US" w:eastAsia="zh-CN"/>
        </w:rPr>
        <w:t>6</w:t>
      </w:r>
      <w:r>
        <w:rPr>
          <w:rFonts w:hint="eastAsia" w:ascii="仿宋_GB2312" w:hAnsi="仿宋_GB2312" w:eastAsia="仿宋_GB2312" w:cs="仿宋_GB2312"/>
          <w:b w:val="0"/>
          <w:bCs w:val="0"/>
          <w:color w:val="auto"/>
          <w:sz w:val="32"/>
          <w:szCs w:val="32"/>
          <w:highlight w:val="none"/>
        </w:rPr>
        <w:fldChar w:fldCharType="end"/>
      </w:r>
      <w:r>
        <w:rPr>
          <w:rFonts w:hint="eastAsia" w:ascii="仿宋_GB2312" w:hAnsi="仿宋_GB2312" w:eastAsia="仿宋_GB2312" w:cs="仿宋_GB2312"/>
          <w:b w:val="0"/>
          <w:bCs w:val="0"/>
          <w:color w:val="auto"/>
          <w:sz w:val="32"/>
          <w:szCs w:val="32"/>
          <w:highlight w:val="none"/>
          <w:lang w:val="en-US" w:eastAsia="zh-CN"/>
        </w:rPr>
        <w:t>4</w:t>
      </w:r>
    </w:p>
    <w:p w14:paraId="5AE4D0C0">
      <w:pPr>
        <w:pStyle w:val="10"/>
        <w:tabs>
          <w:tab w:val="right" w:leader="dot" w:pos="9072"/>
        </w:tabs>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color w:val="auto"/>
          <w:sz w:val="32"/>
          <w:szCs w:val="32"/>
          <w:highlight w:val="none"/>
        </w:rPr>
        <w:fldChar w:fldCharType="begin"/>
      </w:r>
      <w:r>
        <w:rPr>
          <w:rFonts w:hint="eastAsia" w:ascii="仿宋_GB2312" w:hAnsi="仿宋_GB2312" w:eastAsia="仿宋_GB2312" w:cs="仿宋_GB2312"/>
          <w:b w:val="0"/>
          <w:bCs w:val="0"/>
          <w:sz w:val="32"/>
          <w:szCs w:val="32"/>
          <w:highlight w:val="none"/>
        </w:rPr>
        <w:instrText xml:space="preserve"> HYPERLINK \l _Toc21152 </w:instrText>
      </w:r>
      <w:r>
        <w:rPr>
          <w:rFonts w:hint="eastAsia" w:ascii="仿宋_GB2312" w:hAnsi="仿宋_GB2312" w:eastAsia="仿宋_GB2312" w:cs="仿宋_GB2312"/>
          <w:b w:val="0"/>
          <w:bCs w:val="0"/>
          <w:sz w:val="32"/>
          <w:szCs w:val="32"/>
          <w:highlight w:val="none"/>
        </w:rPr>
        <w:fldChar w:fldCharType="separate"/>
      </w:r>
      <w:r>
        <w:rPr>
          <w:rFonts w:hint="eastAsia" w:ascii="仿宋_GB2312" w:hAnsi="仿宋_GB2312" w:eastAsia="仿宋_GB2312" w:cs="仿宋_GB2312"/>
          <w:b w:val="0"/>
          <w:bCs w:val="0"/>
          <w:sz w:val="32"/>
          <w:szCs w:val="32"/>
          <w:highlight w:val="none"/>
        </w:rPr>
        <w:t>11.价格调整</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color w:val="auto"/>
          <w:sz w:val="32"/>
          <w:szCs w:val="32"/>
          <w:highlight w:val="none"/>
        </w:rPr>
        <w:fldChar w:fldCharType="end"/>
      </w:r>
      <w:r>
        <w:rPr>
          <w:rFonts w:hint="eastAsia" w:ascii="仿宋_GB2312" w:hAnsi="仿宋_GB2312" w:eastAsia="仿宋_GB2312" w:cs="仿宋_GB2312"/>
          <w:b w:val="0"/>
          <w:bCs w:val="0"/>
          <w:sz w:val="32"/>
          <w:szCs w:val="32"/>
          <w:lang w:val="en-US" w:eastAsia="zh-CN"/>
        </w:rPr>
        <w:t>72</w:t>
      </w:r>
    </w:p>
    <w:p w14:paraId="516AB704">
      <w:pPr>
        <w:pStyle w:val="10"/>
        <w:tabs>
          <w:tab w:val="right" w:leader="dot" w:pos="9072"/>
        </w:tabs>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color w:val="auto"/>
          <w:sz w:val="32"/>
          <w:szCs w:val="32"/>
          <w:highlight w:val="none"/>
        </w:rPr>
        <w:fldChar w:fldCharType="begin"/>
      </w:r>
      <w:r>
        <w:rPr>
          <w:rFonts w:hint="eastAsia" w:ascii="仿宋_GB2312" w:hAnsi="仿宋_GB2312" w:eastAsia="仿宋_GB2312" w:cs="仿宋_GB2312"/>
          <w:b w:val="0"/>
          <w:bCs w:val="0"/>
          <w:sz w:val="32"/>
          <w:szCs w:val="32"/>
          <w:highlight w:val="none"/>
        </w:rPr>
        <w:instrText xml:space="preserve"> HYPERLINK \l _Toc794 </w:instrText>
      </w:r>
      <w:r>
        <w:rPr>
          <w:rFonts w:hint="eastAsia" w:ascii="仿宋_GB2312" w:hAnsi="仿宋_GB2312" w:eastAsia="仿宋_GB2312" w:cs="仿宋_GB2312"/>
          <w:b w:val="0"/>
          <w:bCs w:val="0"/>
          <w:sz w:val="32"/>
          <w:szCs w:val="32"/>
          <w:highlight w:val="none"/>
        </w:rPr>
        <w:fldChar w:fldCharType="separate"/>
      </w:r>
      <w:r>
        <w:rPr>
          <w:rFonts w:hint="eastAsia" w:ascii="仿宋_GB2312" w:hAnsi="仿宋_GB2312" w:eastAsia="仿宋_GB2312" w:cs="仿宋_GB2312"/>
          <w:b w:val="0"/>
          <w:bCs w:val="0"/>
          <w:sz w:val="32"/>
          <w:szCs w:val="32"/>
          <w:highlight w:val="none"/>
        </w:rPr>
        <w:t>12.合同价格、计量与支付</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lang w:val="en-US" w:eastAsia="zh-CN"/>
        </w:rPr>
        <w:t>7</w:t>
      </w:r>
      <w:r>
        <w:rPr>
          <w:rFonts w:hint="eastAsia" w:ascii="仿宋_GB2312" w:hAnsi="仿宋_GB2312" w:eastAsia="仿宋_GB2312" w:cs="仿宋_GB2312"/>
          <w:b w:val="0"/>
          <w:bCs w:val="0"/>
          <w:color w:val="auto"/>
          <w:sz w:val="32"/>
          <w:szCs w:val="32"/>
          <w:highlight w:val="none"/>
        </w:rPr>
        <w:fldChar w:fldCharType="end"/>
      </w:r>
      <w:r>
        <w:rPr>
          <w:rFonts w:hint="eastAsia" w:ascii="仿宋_GB2312" w:hAnsi="仿宋_GB2312" w:eastAsia="仿宋_GB2312" w:cs="仿宋_GB2312"/>
          <w:b w:val="0"/>
          <w:bCs w:val="0"/>
          <w:color w:val="auto"/>
          <w:sz w:val="32"/>
          <w:szCs w:val="32"/>
          <w:highlight w:val="none"/>
          <w:lang w:val="en-US" w:eastAsia="zh-CN"/>
        </w:rPr>
        <w:t>5</w:t>
      </w:r>
    </w:p>
    <w:p w14:paraId="5A578F29">
      <w:pPr>
        <w:pStyle w:val="10"/>
        <w:tabs>
          <w:tab w:val="right" w:leader="dot" w:pos="9072"/>
        </w:tabs>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color w:val="auto"/>
          <w:sz w:val="32"/>
          <w:szCs w:val="32"/>
          <w:highlight w:val="none"/>
        </w:rPr>
        <w:fldChar w:fldCharType="begin"/>
      </w:r>
      <w:r>
        <w:rPr>
          <w:rFonts w:hint="eastAsia" w:ascii="仿宋_GB2312" w:hAnsi="仿宋_GB2312" w:eastAsia="仿宋_GB2312" w:cs="仿宋_GB2312"/>
          <w:b w:val="0"/>
          <w:bCs w:val="0"/>
          <w:sz w:val="32"/>
          <w:szCs w:val="32"/>
          <w:highlight w:val="none"/>
        </w:rPr>
        <w:instrText xml:space="preserve"> HYPERLINK \l _Toc16540 </w:instrText>
      </w:r>
      <w:r>
        <w:rPr>
          <w:rFonts w:hint="eastAsia" w:ascii="仿宋_GB2312" w:hAnsi="仿宋_GB2312" w:eastAsia="仿宋_GB2312" w:cs="仿宋_GB2312"/>
          <w:b w:val="0"/>
          <w:bCs w:val="0"/>
          <w:sz w:val="32"/>
          <w:szCs w:val="32"/>
          <w:highlight w:val="none"/>
        </w:rPr>
        <w:fldChar w:fldCharType="separate"/>
      </w:r>
      <w:r>
        <w:rPr>
          <w:rFonts w:hint="eastAsia" w:ascii="仿宋_GB2312" w:hAnsi="仿宋_GB2312" w:eastAsia="仿宋_GB2312" w:cs="仿宋_GB2312"/>
          <w:b w:val="0"/>
          <w:bCs w:val="0"/>
          <w:sz w:val="32"/>
          <w:szCs w:val="32"/>
          <w:highlight w:val="none"/>
        </w:rPr>
        <w:t>13.验收和工程试车</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lang w:val="en-US" w:eastAsia="zh-CN"/>
        </w:rPr>
        <w:t>8</w:t>
      </w:r>
      <w:r>
        <w:rPr>
          <w:rFonts w:hint="eastAsia" w:ascii="仿宋_GB2312" w:hAnsi="仿宋_GB2312" w:eastAsia="仿宋_GB2312" w:cs="仿宋_GB2312"/>
          <w:b w:val="0"/>
          <w:bCs w:val="0"/>
          <w:color w:val="auto"/>
          <w:sz w:val="32"/>
          <w:szCs w:val="32"/>
          <w:highlight w:val="none"/>
        </w:rPr>
        <w:fldChar w:fldCharType="end"/>
      </w:r>
      <w:r>
        <w:rPr>
          <w:rFonts w:hint="eastAsia" w:ascii="仿宋_GB2312" w:hAnsi="仿宋_GB2312" w:eastAsia="仿宋_GB2312" w:cs="仿宋_GB2312"/>
          <w:b w:val="0"/>
          <w:bCs w:val="0"/>
          <w:color w:val="auto"/>
          <w:sz w:val="32"/>
          <w:szCs w:val="32"/>
          <w:highlight w:val="none"/>
          <w:lang w:val="en-US" w:eastAsia="zh-CN"/>
        </w:rPr>
        <w:t>2</w:t>
      </w:r>
    </w:p>
    <w:p w14:paraId="66D3795E">
      <w:pPr>
        <w:pStyle w:val="10"/>
        <w:tabs>
          <w:tab w:val="right" w:leader="dot" w:pos="9072"/>
        </w:tabs>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color w:val="auto"/>
          <w:sz w:val="32"/>
          <w:szCs w:val="32"/>
          <w:highlight w:val="none"/>
        </w:rPr>
        <w:fldChar w:fldCharType="begin"/>
      </w:r>
      <w:r>
        <w:rPr>
          <w:rFonts w:hint="eastAsia" w:ascii="仿宋_GB2312" w:hAnsi="仿宋_GB2312" w:eastAsia="仿宋_GB2312" w:cs="仿宋_GB2312"/>
          <w:b w:val="0"/>
          <w:bCs w:val="0"/>
          <w:sz w:val="32"/>
          <w:szCs w:val="32"/>
          <w:highlight w:val="none"/>
        </w:rPr>
        <w:instrText xml:space="preserve"> HYPERLINK \l _Toc22065 </w:instrText>
      </w:r>
      <w:r>
        <w:rPr>
          <w:rFonts w:hint="eastAsia" w:ascii="仿宋_GB2312" w:hAnsi="仿宋_GB2312" w:eastAsia="仿宋_GB2312" w:cs="仿宋_GB2312"/>
          <w:b w:val="0"/>
          <w:bCs w:val="0"/>
          <w:sz w:val="32"/>
          <w:szCs w:val="32"/>
          <w:highlight w:val="none"/>
        </w:rPr>
        <w:fldChar w:fldCharType="separate"/>
      </w:r>
      <w:r>
        <w:rPr>
          <w:rFonts w:hint="eastAsia" w:ascii="仿宋_GB2312" w:hAnsi="仿宋_GB2312" w:eastAsia="仿宋_GB2312" w:cs="仿宋_GB2312"/>
          <w:b w:val="0"/>
          <w:bCs w:val="0"/>
          <w:sz w:val="32"/>
          <w:szCs w:val="32"/>
          <w:highlight w:val="none"/>
        </w:rPr>
        <w:t>14.竣工结算</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lang w:val="en-US" w:eastAsia="zh-CN"/>
        </w:rPr>
        <w:t>8</w:t>
      </w:r>
      <w:r>
        <w:rPr>
          <w:rFonts w:hint="eastAsia" w:ascii="仿宋_GB2312" w:hAnsi="仿宋_GB2312" w:eastAsia="仿宋_GB2312" w:cs="仿宋_GB2312"/>
          <w:b w:val="0"/>
          <w:bCs w:val="0"/>
          <w:color w:val="auto"/>
          <w:sz w:val="32"/>
          <w:szCs w:val="32"/>
          <w:highlight w:val="none"/>
        </w:rPr>
        <w:fldChar w:fldCharType="end"/>
      </w:r>
      <w:r>
        <w:rPr>
          <w:rFonts w:hint="eastAsia" w:ascii="仿宋_GB2312" w:hAnsi="仿宋_GB2312" w:eastAsia="仿宋_GB2312" w:cs="仿宋_GB2312"/>
          <w:b w:val="0"/>
          <w:bCs w:val="0"/>
          <w:color w:val="auto"/>
          <w:sz w:val="32"/>
          <w:szCs w:val="32"/>
          <w:highlight w:val="none"/>
          <w:lang w:val="en-US" w:eastAsia="zh-CN"/>
        </w:rPr>
        <w:t>9</w:t>
      </w:r>
    </w:p>
    <w:p w14:paraId="7B4D5FD0">
      <w:pPr>
        <w:pStyle w:val="10"/>
        <w:tabs>
          <w:tab w:val="right" w:leader="dot" w:pos="9072"/>
        </w:tabs>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color w:val="auto"/>
          <w:sz w:val="32"/>
          <w:szCs w:val="32"/>
          <w:highlight w:val="none"/>
        </w:rPr>
        <w:fldChar w:fldCharType="begin"/>
      </w:r>
      <w:r>
        <w:rPr>
          <w:rFonts w:hint="eastAsia" w:ascii="仿宋_GB2312" w:hAnsi="仿宋_GB2312" w:eastAsia="仿宋_GB2312" w:cs="仿宋_GB2312"/>
          <w:b w:val="0"/>
          <w:bCs w:val="0"/>
          <w:sz w:val="32"/>
          <w:szCs w:val="32"/>
          <w:highlight w:val="none"/>
        </w:rPr>
        <w:instrText xml:space="preserve"> HYPERLINK \l _Toc14933 </w:instrText>
      </w:r>
      <w:r>
        <w:rPr>
          <w:rFonts w:hint="eastAsia" w:ascii="仿宋_GB2312" w:hAnsi="仿宋_GB2312" w:eastAsia="仿宋_GB2312" w:cs="仿宋_GB2312"/>
          <w:b w:val="0"/>
          <w:bCs w:val="0"/>
          <w:sz w:val="32"/>
          <w:szCs w:val="32"/>
          <w:highlight w:val="none"/>
        </w:rPr>
        <w:fldChar w:fldCharType="separate"/>
      </w:r>
      <w:r>
        <w:rPr>
          <w:rFonts w:hint="eastAsia" w:ascii="仿宋_GB2312" w:hAnsi="仿宋_GB2312" w:eastAsia="仿宋_GB2312" w:cs="仿宋_GB2312"/>
          <w:b w:val="0"/>
          <w:bCs w:val="0"/>
          <w:sz w:val="32"/>
          <w:szCs w:val="32"/>
          <w:highlight w:val="none"/>
        </w:rPr>
        <w:t>15.缺陷责任与保修</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lang w:val="en-US" w:eastAsia="zh-CN"/>
        </w:rPr>
        <w:t>9</w:t>
      </w:r>
      <w:r>
        <w:rPr>
          <w:rFonts w:hint="eastAsia" w:ascii="仿宋_GB2312" w:hAnsi="仿宋_GB2312" w:eastAsia="仿宋_GB2312" w:cs="仿宋_GB2312"/>
          <w:b w:val="0"/>
          <w:bCs w:val="0"/>
          <w:color w:val="auto"/>
          <w:sz w:val="32"/>
          <w:szCs w:val="32"/>
          <w:highlight w:val="none"/>
        </w:rPr>
        <w:fldChar w:fldCharType="end"/>
      </w:r>
      <w:r>
        <w:rPr>
          <w:rFonts w:hint="eastAsia" w:ascii="仿宋_GB2312" w:hAnsi="仿宋_GB2312" w:eastAsia="仿宋_GB2312" w:cs="仿宋_GB2312"/>
          <w:b w:val="0"/>
          <w:bCs w:val="0"/>
          <w:color w:val="auto"/>
          <w:sz w:val="32"/>
          <w:szCs w:val="32"/>
          <w:highlight w:val="none"/>
          <w:lang w:val="en-US" w:eastAsia="zh-CN"/>
        </w:rPr>
        <w:t>2</w:t>
      </w:r>
    </w:p>
    <w:p w14:paraId="09EAC823">
      <w:pPr>
        <w:pStyle w:val="10"/>
        <w:tabs>
          <w:tab w:val="right" w:leader="dot" w:pos="9072"/>
        </w:tabs>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color w:val="auto"/>
          <w:sz w:val="32"/>
          <w:szCs w:val="32"/>
          <w:highlight w:val="none"/>
        </w:rPr>
        <w:fldChar w:fldCharType="begin"/>
      </w:r>
      <w:r>
        <w:rPr>
          <w:rFonts w:hint="eastAsia" w:ascii="仿宋_GB2312" w:hAnsi="仿宋_GB2312" w:eastAsia="仿宋_GB2312" w:cs="仿宋_GB2312"/>
          <w:b w:val="0"/>
          <w:bCs w:val="0"/>
          <w:sz w:val="32"/>
          <w:szCs w:val="32"/>
          <w:highlight w:val="none"/>
        </w:rPr>
        <w:instrText xml:space="preserve"> HYPERLINK \l _Toc12724 </w:instrText>
      </w:r>
      <w:r>
        <w:rPr>
          <w:rFonts w:hint="eastAsia" w:ascii="仿宋_GB2312" w:hAnsi="仿宋_GB2312" w:eastAsia="仿宋_GB2312" w:cs="仿宋_GB2312"/>
          <w:b w:val="0"/>
          <w:bCs w:val="0"/>
          <w:sz w:val="32"/>
          <w:szCs w:val="32"/>
          <w:highlight w:val="none"/>
        </w:rPr>
        <w:fldChar w:fldCharType="separate"/>
      </w:r>
      <w:r>
        <w:rPr>
          <w:rFonts w:hint="eastAsia" w:ascii="仿宋_GB2312" w:hAnsi="仿宋_GB2312" w:eastAsia="仿宋_GB2312" w:cs="仿宋_GB2312"/>
          <w:b w:val="0"/>
          <w:bCs w:val="0"/>
          <w:sz w:val="32"/>
          <w:szCs w:val="32"/>
          <w:highlight w:val="none"/>
        </w:rPr>
        <w:t>16.违约</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lang w:val="en-US" w:eastAsia="zh-CN"/>
        </w:rPr>
        <w:t>9</w:t>
      </w:r>
      <w:r>
        <w:rPr>
          <w:rFonts w:hint="eastAsia" w:ascii="仿宋_GB2312" w:hAnsi="仿宋_GB2312" w:eastAsia="仿宋_GB2312" w:cs="仿宋_GB2312"/>
          <w:b w:val="0"/>
          <w:bCs w:val="0"/>
          <w:color w:val="auto"/>
          <w:sz w:val="32"/>
          <w:szCs w:val="32"/>
          <w:highlight w:val="none"/>
        </w:rPr>
        <w:fldChar w:fldCharType="end"/>
      </w:r>
      <w:r>
        <w:rPr>
          <w:rFonts w:hint="eastAsia" w:ascii="仿宋_GB2312" w:hAnsi="仿宋_GB2312" w:eastAsia="仿宋_GB2312" w:cs="仿宋_GB2312"/>
          <w:b w:val="0"/>
          <w:bCs w:val="0"/>
          <w:color w:val="auto"/>
          <w:sz w:val="32"/>
          <w:szCs w:val="32"/>
          <w:highlight w:val="none"/>
          <w:lang w:val="en-US" w:eastAsia="zh-CN"/>
        </w:rPr>
        <w:t>7</w:t>
      </w:r>
    </w:p>
    <w:p w14:paraId="5E33E8AB">
      <w:pPr>
        <w:pStyle w:val="10"/>
        <w:tabs>
          <w:tab w:val="right" w:leader="dot" w:pos="9072"/>
        </w:tabs>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color w:val="auto"/>
          <w:sz w:val="32"/>
          <w:szCs w:val="32"/>
          <w:highlight w:val="none"/>
        </w:rPr>
        <w:fldChar w:fldCharType="begin"/>
      </w:r>
      <w:r>
        <w:rPr>
          <w:rFonts w:hint="eastAsia" w:ascii="仿宋_GB2312" w:hAnsi="仿宋_GB2312" w:eastAsia="仿宋_GB2312" w:cs="仿宋_GB2312"/>
          <w:b w:val="0"/>
          <w:bCs w:val="0"/>
          <w:sz w:val="32"/>
          <w:szCs w:val="32"/>
          <w:highlight w:val="none"/>
        </w:rPr>
        <w:instrText xml:space="preserve"> HYPERLINK \l _Toc26855 </w:instrText>
      </w:r>
      <w:r>
        <w:rPr>
          <w:rFonts w:hint="eastAsia" w:ascii="仿宋_GB2312" w:hAnsi="仿宋_GB2312" w:eastAsia="仿宋_GB2312" w:cs="仿宋_GB2312"/>
          <w:b w:val="0"/>
          <w:bCs w:val="0"/>
          <w:sz w:val="32"/>
          <w:szCs w:val="32"/>
          <w:highlight w:val="none"/>
        </w:rPr>
        <w:fldChar w:fldCharType="separate"/>
      </w:r>
      <w:r>
        <w:rPr>
          <w:rFonts w:hint="eastAsia" w:ascii="仿宋_GB2312" w:hAnsi="仿宋_GB2312" w:eastAsia="仿宋_GB2312" w:cs="仿宋_GB2312"/>
          <w:b w:val="0"/>
          <w:bCs w:val="0"/>
          <w:sz w:val="32"/>
          <w:szCs w:val="32"/>
          <w:highlight w:val="none"/>
        </w:rPr>
        <w:t>17.不可抗力</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color w:val="auto"/>
          <w:sz w:val="32"/>
          <w:szCs w:val="32"/>
          <w:highlight w:val="none"/>
        </w:rPr>
        <w:fldChar w:fldCharType="end"/>
      </w:r>
      <w:r>
        <w:rPr>
          <w:rFonts w:hint="eastAsia" w:ascii="仿宋_GB2312" w:hAnsi="仿宋_GB2312" w:eastAsia="仿宋_GB2312" w:cs="仿宋_GB2312"/>
          <w:b w:val="0"/>
          <w:bCs w:val="0"/>
          <w:color w:val="auto"/>
          <w:sz w:val="32"/>
          <w:szCs w:val="32"/>
          <w:highlight w:val="none"/>
          <w:lang w:val="en-US" w:eastAsia="zh-CN"/>
        </w:rPr>
        <w:t>02</w:t>
      </w:r>
    </w:p>
    <w:p w14:paraId="252C90C9">
      <w:pPr>
        <w:pStyle w:val="10"/>
        <w:tabs>
          <w:tab w:val="right" w:leader="dot" w:pos="9072"/>
        </w:tabs>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color w:val="auto"/>
          <w:sz w:val="32"/>
          <w:szCs w:val="32"/>
          <w:highlight w:val="none"/>
        </w:rPr>
        <w:fldChar w:fldCharType="begin"/>
      </w:r>
      <w:r>
        <w:rPr>
          <w:rFonts w:hint="eastAsia" w:ascii="仿宋_GB2312" w:hAnsi="仿宋_GB2312" w:eastAsia="仿宋_GB2312" w:cs="仿宋_GB2312"/>
          <w:b w:val="0"/>
          <w:bCs w:val="0"/>
          <w:sz w:val="32"/>
          <w:szCs w:val="32"/>
          <w:highlight w:val="none"/>
        </w:rPr>
        <w:instrText xml:space="preserve"> HYPERLINK \l _Toc4428 </w:instrText>
      </w:r>
      <w:r>
        <w:rPr>
          <w:rFonts w:hint="eastAsia" w:ascii="仿宋_GB2312" w:hAnsi="仿宋_GB2312" w:eastAsia="仿宋_GB2312" w:cs="仿宋_GB2312"/>
          <w:b w:val="0"/>
          <w:bCs w:val="0"/>
          <w:sz w:val="32"/>
          <w:szCs w:val="32"/>
          <w:highlight w:val="none"/>
        </w:rPr>
        <w:fldChar w:fldCharType="separate"/>
      </w:r>
      <w:r>
        <w:rPr>
          <w:rFonts w:hint="eastAsia" w:ascii="仿宋_GB2312" w:hAnsi="仿宋_GB2312" w:eastAsia="仿宋_GB2312" w:cs="仿宋_GB2312"/>
          <w:b w:val="0"/>
          <w:bCs w:val="0"/>
          <w:sz w:val="32"/>
          <w:szCs w:val="32"/>
          <w:highlight w:val="none"/>
        </w:rPr>
        <w:t>18.保险</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color w:val="auto"/>
          <w:sz w:val="32"/>
          <w:szCs w:val="32"/>
          <w:highlight w:val="none"/>
        </w:rPr>
        <w:fldChar w:fldCharType="end"/>
      </w:r>
      <w:r>
        <w:rPr>
          <w:rFonts w:hint="eastAsia" w:ascii="仿宋_GB2312" w:hAnsi="仿宋_GB2312" w:eastAsia="仿宋_GB2312" w:cs="仿宋_GB2312"/>
          <w:b w:val="0"/>
          <w:bCs w:val="0"/>
          <w:color w:val="auto"/>
          <w:sz w:val="32"/>
          <w:szCs w:val="32"/>
          <w:highlight w:val="none"/>
          <w:lang w:val="en-US" w:eastAsia="zh-CN"/>
        </w:rPr>
        <w:t>05</w:t>
      </w:r>
    </w:p>
    <w:p w14:paraId="1F4D81CC">
      <w:pPr>
        <w:pStyle w:val="10"/>
        <w:tabs>
          <w:tab w:val="right" w:leader="dot" w:pos="9072"/>
        </w:tabs>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color w:val="auto"/>
          <w:sz w:val="32"/>
          <w:szCs w:val="32"/>
          <w:highlight w:val="none"/>
        </w:rPr>
        <w:fldChar w:fldCharType="begin"/>
      </w:r>
      <w:r>
        <w:rPr>
          <w:rFonts w:hint="eastAsia" w:ascii="仿宋_GB2312" w:hAnsi="仿宋_GB2312" w:eastAsia="仿宋_GB2312" w:cs="仿宋_GB2312"/>
          <w:b w:val="0"/>
          <w:bCs w:val="0"/>
          <w:sz w:val="32"/>
          <w:szCs w:val="32"/>
          <w:highlight w:val="none"/>
        </w:rPr>
        <w:instrText xml:space="preserve"> HYPERLINK \l _Toc31827 </w:instrText>
      </w:r>
      <w:r>
        <w:rPr>
          <w:rFonts w:hint="eastAsia" w:ascii="仿宋_GB2312" w:hAnsi="仿宋_GB2312" w:eastAsia="仿宋_GB2312" w:cs="仿宋_GB2312"/>
          <w:b w:val="0"/>
          <w:bCs w:val="0"/>
          <w:sz w:val="32"/>
          <w:szCs w:val="32"/>
          <w:highlight w:val="none"/>
        </w:rPr>
        <w:fldChar w:fldCharType="separate"/>
      </w:r>
      <w:r>
        <w:rPr>
          <w:rFonts w:hint="eastAsia" w:ascii="仿宋_GB2312" w:hAnsi="仿宋_GB2312" w:eastAsia="仿宋_GB2312" w:cs="仿宋_GB2312"/>
          <w:b w:val="0"/>
          <w:bCs w:val="0"/>
          <w:sz w:val="32"/>
          <w:szCs w:val="32"/>
          <w:highlight w:val="none"/>
        </w:rPr>
        <w:t>19.索赔</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color w:val="auto"/>
          <w:sz w:val="32"/>
          <w:szCs w:val="32"/>
          <w:highlight w:val="none"/>
        </w:rPr>
        <w:fldChar w:fldCharType="end"/>
      </w:r>
      <w:r>
        <w:rPr>
          <w:rFonts w:hint="eastAsia" w:ascii="仿宋_GB2312" w:hAnsi="仿宋_GB2312" w:eastAsia="仿宋_GB2312" w:cs="仿宋_GB2312"/>
          <w:b w:val="0"/>
          <w:bCs w:val="0"/>
          <w:color w:val="auto"/>
          <w:sz w:val="32"/>
          <w:szCs w:val="32"/>
          <w:highlight w:val="none"/>
          <w:lang w:val="en-US" w:eastAsia="zh-CN"/>
        </w:rPr>
        <w:t>06</w:t>
      </w:r>
    </w:p>
    <w:p w14:paraId="142D8B4B">
      <w:pPr>
        <w:pStyle w:val="10"/>
        <w:tabs>
          <w:tab w:val="right" w:leader="dot" w:pos="9072"/>
        </w:tabs>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color w:val="auto"/>
          <w:sz w:val="32"/>
          <w:szCs w:val="32"/>
          <w:highlight w:val="none"/>
        </w:rPr>
        <w:fldChar w:fldCharType="begin"/>
      </w:r>
      <w:r>
        <w:rPr>
          <w:rFonts w:hint="eastAsia" w:ascii="仿宋_GB2312" w:hAnsi="仿宋_GB2312" w:eastAsia="仿宋_GB2312" w:cs="仿宋_GB2312"/>
          <w:b w:val="0"/>
          <w:bCs w:val="0"/>
          <w:sz w:val="32"/>
          <w:szCs w:val="32"/>
          <w:highlight w:val="none"/>
        </w:rPr>
        <w:instrText xml:space="preserve"> HYPERLINK \l _Toc25609 </w:instrText>
      </w:r>
      <w:r>
        <w:rPr>
          <w:rFonts w:hint="eastAsia" w:ascii="仿宋_GB2312" w:hAnsi="仿宋_GB2312" w:eastAsia="仿宋_GB2312" w:cs="仿宋_GB2312"/>
          <w:b w:val="0"/>
          <w:bCs w:val="0"/>
          <w:sz w:val="32"/>
          <w:szCs w:val="32"/>
          <w:highlight w:val="none"/>
        </w:rPr>
        <w:fldChar w:fldCharType="separate"/>
      </w:r>
      <w:r>
        <w:rPr>
          <w:rFonts w:hint="eastAsia" w:ascii="仿宋_GB2312" w:hAnsi="仿宋_GB2312" w:eastAsia="仿宋_GB2312" w:cs="仿宋_GB2312"/>
          <w:b w:val="0"/>
          <w:bCs w:val="0"/>
          <w:sz w:val="32"/>
          <w:szCs w:val="32"/>
          <w:highlight w:val="none"/>
        </w:rPr>
        <w:t>20.争议解决</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color w:val="auto"/>
          <w:sz w:val="32"/>
          <w:szCs w:val="32"/>
          <w:highlight w:val="none"/>
        </w:rPr>
        <w:fldChar w:fldCharType="end"/>
      </w:r>
      <w:r>
        <w:rPr>
          <w:rFonts w:hint="eastAsia" w:ascii="仿宋_GB2312" w:hAnsi="仿宋_GB2312" w:eastAsia="仿宋_GB2312" w:cs="仿宋_GB2312"/>
          <w:b w:val="0"/>
          <w:bCs w:val="0"/>
          <w:color w:val="auto"/>
          <w:sz w:val="32"/>
          <w:szCs w:val="32"/>
          <w:highlight w:val="none"/>
          <w:lang w:val="en-US" w:eastAsia="zh-CN"/>
        </w:rPr>
        <w:t>09</w:t>
      </w:r>
    </w:p>
    <w:p w14:paraId="060EAB20">
      <w:pPr>
        <w:pStyle w:val="9"/>
        <w:tabs>
          <w:tab w:val="right" w:leader="dot" w:pos="9072"/>
          <w:tab w:val="clear" w:pos="8296"/>
        </w:tabs>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color w:val="auto"/>
          <w:sz w:val="32"/>
          <w:szCs w:val="32"/>
          <w:highlight w:val="none"/>
        </w:rPr>
        <w:fldChar w:fldCharType="begin"/>
      </w:r>
      <w:r>
        <w:rPr>
          <w:rFonts w:hint="eastAsia" w:ascii="仿宋_GB2312" w:hAnsi="仿宋_GB2312" w:eastAsia="仿宋_GB2312" w:cs="仿宋_GB2312"/>
          <w:b w:val="0"/>
          <w:bCs w:val="0"/>
          <w:sz w:val="32"/>
          <w:szCs w:val="32"/>
          <w:highlight w:val="none"/>
        </w:rPr>
        <w:instrText xml:space="preserve"> HYPERLINK \l _Toc29236 </w:instrText>
      </w:r>
      <w:r>
        <w:rPr>
          <w:rFonts w:hint="eastAsia" w:ascii="仿宋_GB2312" w:hAnsi="仿宋_GB2312" w:eastAsia="仿宋_GB2312" w:cs="仿宋_GB2312"/>
          <w:b w:val="0"/>
          <w:bCs w:val="0"/>
          <w:sz w:val="32"/>
          <w:szCs w:val="32"/>
          <w:highlight w:val="none"/>
        </w:rPr>
        <w:fldChar w:fldCharType="separate"/>
      </w:r>
      <w:r>
        <w:rPr>
          <w:rFonts w:hint="eastAsia" w:ascii="仿宋_GB2312" w:hAnsi="仿宋_GB2312" w:eastAsia="仿宋_GB2312" w:cs="仿宋_GB2312"/>
          <w:b w:val="0"/>
          <w:bCs w:val="0"/>
          <w:sz w:val="32"/>
          <w:szCs w:val="32"/>
          <w:highlight w:val="none"/>
        </w:rPr>
        <w:t>第三部分 专用合同条款</w:t>
      </w:r>
      <w:r>
        <w:rPr>
          <w:rFonts w:hint="eastAsia" w:ascii="仿宋_GB2312" w:hAnsi="仿宋_GB2312" w:eastAsia="仿宋_GB2312" w:cs="仿宋_GB2312"/>
          <w:b w:val="0"/>
          <w:bCs w:val="0"/>
          <w:sz w:val="32"/>
          <w:szCs w:val="32"/>
          <w:highlight w:val="none"/>
          <w:lang w:val="en-US" w:eastAsia="zh-CN"/>
        </w:rPr>
        <w:t>....</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color w:val="auto"/>
          <w:sz w:val="32"/>
          <w:szCs w:val="32"/>
          <w:highlight w:val="none"/>
        </w:rPr>
        <w:fldChar w:fldCharType="end"/>
      </w:r>
      <w:r>
        <w:rPr>
          <w:rFonts w:hint="eastAsia" w:ascii="仿宋_GB2312" w:hAnsi="仿宋_GB2312" w:eastAsia="仿宋_GB2312" w:cs="仿宋_GB2312"/>
          <w:b w:val="0"/>
          <w:bCs w:val="0"/>
          <w:color w:val="auto"/>
          <w:sz w:val="32"/>
          <w:szCs w:val="32"/>
          <w:highlight w:val="none"/>
          <w:lang w:val="en-US" w:eastAsia="zh-CN"/>
        </w:rPr>
        <w:t>12</w:t>
      </w:r>
    </w:p>
    <w:p w14:paraId="7710ABF7">
      <w:pPr>
        <w:pStyle w:val="10"/>
        <w:tabs>
          <w:tab w:val="right" w:leader="dot" w:pos="9072"/>
        </w:tabs>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color w:val="auto"/>
          <w:sz w:val="32"/>
          <w:szCs w:val="32"/>
          <w:highlight w:val="none"/>
        </w:rPr>
        <w:fldChar w:fldCharType="begin"/>
      </w:r>
      <w:r>
        <w:rPr>
          <w:rFonts w:hint="eastAsia" w:ascii="仿宋_GB2312" w:hAnsi="仿宋_GB2312" w:eastAsia="仿宋_GB2312" w:cs="仿宋_GB2312"/>
          <w:b w:val="0"/>
          <w:bCs w:val="0"/>
          <w:sz w:val="32"/>
          <w:szCs w:val="32"/>
          <w:highlight w:val="none"/>
        </w:rPr>
        <w:instrText xml:space="preserve"> HYPERLINK \l _Toc30913 </w:instrText>
      </w:r>
      <w:r>
        <w:rPr>
          <w:rFonts w:hint="eastAsia" w:ascii="仿宋_GB2312" w:hAnsi="仿宋_GB2312" w:eastAsia="仿宋_GB2312" w:cs="仿宋_GB2312"/>
          <w:b w:val="0"/>
          <w:bCs w:val="0"/>
          <w:sz w:val="32"/>
          <w:szCs w:val="32"/>
          <w:highlight w:val="none"/>
        </w:rPr>
        <w:fldChar w:fldCharType="separate"/>
      </w:r>
      <w:r>
        <w:rPr>
          <w:rFonts w:hint="eastAsia" w:ascii="仿宋_GB2312" w:hAnsi="仿宋_GB2312" w:eastAsia="仿宋_GB2312" w:cs="仿宋_GB2312"/>
          <w:b w:val="0"/>
          <w:bCs w:val="0"/>
          <w:sz w:val="32"/>
          <w:szCs w:val="32"/>
          <w:highlight w:val="none"/>
        </w:rPr>
        <w:t>1.一般约定</w:t>
      </w:r>
      <w:r>
        <w:rPr>
          <w:rFonts w:hint="eastAsia" w:ascii="仿宋_GB2312" w:hAnsi="仿宋_GB2312" w:eastAsia="仿宋_GB2312" w:cs="仿宋_GB2312"/>
          <w:b w:val="0"/>
          <w:bCs w:val="0"/>
          <w:sz w:val="32"/>
          <w:szCs w:val="32"/>
          <w:highlight w:val="none"/>
          <w:lang w:val="en-US" w:eastAsia="zh-CN"/>
        </w:rPr>
        <w:t>....</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color w:val="auto"/>
          <w:sz w:val="32"/>
          <w:szCs w:val="32"/>
          <w:highlight w:val="none"/>
        </w:rPr>
        <w:fldChar w:fldCharType="end"/>
      </w:r>
      <w:r>
        <w:rPr>
          <w:rFonts w:hint="eastAsia" w:ascii="仿宋_GB2312" w:hAnsi="仿宋_GB2312" w:eastAsia="仿宋_GB2312" w:cs="仿宋_GB2312"/>
          <w:b w:val="0"/>
          <w:bCs w:val="0"/>
          <w:color w:val="auto"/>
          <w:sz w:val="32"/>
          <w:szCs w:val="32"/>
          <w:highlight w:val="none"/>
          <w:lang w:val="en-US" w:eastAsia="zh-CN"/>
        </w:rPr>
        <w:t>12</w:t>
      </w:r>
    </w:p>
    <w:p w14:paraId="4DBC3816">
      <w:pPr>
        <w:pStyle w:val="10"/>
        <w:tabs>
          <w:tab w:val="right" w:leader="dot" w:pos="9072"/>
        </w:tabs>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color w:val="auto"/>
          <w:sz w:val="32"/>
          <w:szCs w:val="32"/>
          <w:highlight w:val="none"/>
        </w:rPr>
        <w:fldChar w:fldCharType="begin"/>
      </w:r>
      <w:r>
        <w:rPr>
          <w:rFonts w:hint="eastAsia" w:ascii="仿宋_GB2312" w:hAnsi="仿宋_GB2312" w:eastAsia="仿宋_GB2312" w:cs="仿宋_GB2312"/>
          <w:b w:val="0"/>
          <w:bCs w:val="0"/>
          <w:sz w:val="32"/>
          <w:szCs w:val="32"/>
          <w:highlight w:val="none"/>
        </w:rPr>
        <w:instrText xml:space="preserve"> HYPERLINK \l _Toc3874 </w:instrText>
      </w:r>
      <w:r>
        <w:rPr>
          <w:rFonts w:hint="eastAsia" w:ascii="仿宋_GB2312" w:hAnsi="仿宋_GB2312" w:eastAsia="仿宋_GB2312" w:cs="仿宋_GB2312"/>
          <w:b w:val="0"/>
          <w:bCs w:val="0"/>
          <w:sz w:val="32"/>
          <w:szCs w:val="32"/>
          <w:highlight w:val="none"/>
        </w:rPr>
        <w:fldChar w:fldCharType="separate"/>
      </w:r>
      <w:r>
        <w:rPr>
          <w:rFonts w:hint="eastAsia" w:ascii="仿宋_GB2312" w:hAnsi="仿宋_GB2312" w:eastAsia="仿宋_GB2312" w:cs="仿宋_GB2312"/>
          <w:b w:val="0"/>
          <w:bCs w:val="0"/>
          <w:sz w:val="32"/>
          <w:szCs w:val="32"/>
          <w:highlight w:val="none"/>
        </w:rPr>
        <w:t>2.发包人</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color w:val="auto"/>
          <w:sz w:val="32"/>
          <w:szCs w:val="32"/>
          <w:highlight w:val="none"/>
        </w:rPr>
        <w:fldChar w:fldCharType="end"/>
      </w:r>
      <w:r>
        <w:rPr>
          <w:rFonts w:hint="eastAsia" w:ascii="仿宋_GB2312" w:hAnsi="仿宋_GB2312" w:eastAsia="仿宋_GB2312" w:cs="仿宋_GB2312"/>
          <w:b w:val="0"/>
          <w:bCs w:val="0"/>
          <w:color w:val="auto"/>
          <w:sz w:val="32"/>
          <w:szCs w:val="32"/>
          <w:highlight w:val="none"/>
          <w:lang w:val="en-US" w:eastAsia="zh-CN"/>
        </w:rPr>
        <w:t>21</w:t>
      </w:r>
    </w:p>
    <w:p w14:paraId="663FAB62">
      <w:pPr>
        <w:pStyle w:val="10"/>
        <w:tabs>
          <w:tab w:val="right" w:leader="dot" w:pos="9072"/>
        </w:tabs>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color w:val="auto"/>
          <w:sz w:val="32"/>
          <w:szCs w:val="32"/>
          <w:highlight w:val="none"/>
        </w:rPr>
        <w:fldChar w:fldCharType="begin"/>
      </w:r>
      <w:r>
        <w:rPr>
          <w:rFonts w:hint="eastAsia" w:ascii="仿宋_GB2312" w:hAnsi="仿宋_GB2312" w:eastAsia="仿宋_GB2312" w:cs="仿宋_GB2312"/>
          <w:b w:val="0"/>
          <w:bCs w:val="0"/>
          <w:sz w:val="32"/>
          <w:szCs w:val="32"/>
          <w:highlight w:val="none"/>
        </w:rPr>
        <w:instrText xml:space="preserve"> HYPERLINK \l _Toc22104 </w:instrText>
      </w:r>
      <w:r>
        <w:rPr>
          <w:rFonts w:hint="eastAsia" w:ascii="仿宋_GB2312" w:hAnsi="仿宋_GB2312" w:eastAsia="仿宋_GB2312" w:cs="仿宋_GB2312"/>
          <w:b w:val="0"/>
          <w:bCs w:val="0"/>
          <w:sz w:val="32"/>
          <w:szCs w:val="32"/>
          <w:highlight w:val="none"/>
        </w:rPr>
        <w:fldChar w:fldCharType="separate"/>
      </w:r>
      <w:r>
        <w:rPr>
          <w:rFonts w:hint="eastAsia" w:ascii="仿宋_GB2312" w:hAnsi="仿宋_GB2312" w:eastAsia="仿宋_GB2312" w:cs="仿宋_GB2312"/>
          <w:b w:val="0"/>
          <w:bCs w:val="0"/>
          <w:sz w:val="32"/>
          <w:szCs w:val="32"/>
          <w:highlight w:val="none"/>
        </w:rPr>
        <w:t>3.承包人</w:t>
      </w:r>
      <w:r>
        <w:rPr>
          <w:rFonts w:hint="eastAsia" w:ascii="仿宋_GB2312" w:hAnsi="仿宋_GB2312" w:eastAsia="仿宋_GB2312" w:cs="仿宋_GB2312"/>
          <w:b w:val="0"/>
          <w:bCs w:val="0"/>
          <w:sz w:val="32"/>
          <w:szCs w:val="32"/>
          <w:highlight w:val="none"/>
          <w:lang w:val="en-US" w:eastAsia="zh-CN"/>
        </w:rPr>
        <w:t>..</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color w:val="auto"/>
          <w:sz w:val="32"/>
          <w:szCs w:val="32"/>
          <w:highlight w:val="none"/>
        </w:rPr>
        <w:fldChar w:fldCharType="end"/>
      </w:r>
      <w:r>
        <w:rPr>
          <w:rFonts w:hint="eastAsia" w:ascii="仿宋_GB2312" w:hAnsi="仿宋_GB2312" w:eastAsia="仿宋_GB2312" w:cs="仿宋_GB2312"/>
          <w:b w:val="0"/>
          <w:bCs w:val="0"/>
          <w:color w:val="auto"/>
          <w:sz w:val="32"/>
          <w:szCs w:val="32"/>
          <w:highlight w:val="none"/>
          <w:lang w:val="en-US" w:eastAsia="zh-CN"/>
        </w:rPr>
        <w:t>25</w:t>
      </w:r>
    </w:p>
    <w:p w14:paraId="128ABC45">
      <w:pPr>
        <w:pStyle w:val="10"/>
        <w:tabs>
          <w:tab w:val="right" w:leader="dot" w:pos="9072"/>
        </w:tabs>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color w:val="auto"/>
          <w:sz w:val="32"/>
          <w:szCs w:val="32"/>
          <w:highlight w:val="none"/>
        </w:rPr>
        <w:fldChar w:fldCharType="begin"/>
      </w:r>
      <w:r>
        <w:rPr>
          <w:rFonts w:hint="eastAsia" w:ascii="仿宋_GB2312" w:hAnsi="仿宋_GB2312" w:eastAsia="仿宋_GB2312" w:cs="仿宋_GB2312"/>
          <w:b w:val="0"/>
          <w:bCs w:val="0"/>
          <w:sz w:val="32"/>
          <w:szCs w:val="32"/>
          <w:highlight w:val="none"/>
        </w:rPr>
        <w:instrText xml:space="preserve"> HYPERLINK \l _Toc2135 </w:instrText>
      </w:r>
      <w:r>
        <w:rPr>
          <w:rFonts w:hint="eastAsia" w:ascii="仿宋_GB2312" w:hAnsi="仿宋_GB2312" w:eastAsia="仿宋_GB2312" w:cs="仿宋_GB2312"/>
          <w:b w:val="0"/>
          <w:bCs w:val="0"/>
          <w:sz w:val="32"/>
          <w:szCs w:val="32"/>
          <w:highlight w:val="none"/>
        </w:rPr>
        <w:fldChar w:fldCharType="separate"/>
      </w:r>
      <w:r>
        <w:rPr>
          <w:rFonts w:hint="eastAsia" w:ascii="仿宋_GB2312" w:hAnsi="仿宋_GB2312" w:eastAsia="仿宋_GB2312" w:cs="仿宋_GB2312"/>
          <w:b w:val="0"/>
          <w:bCs w:val="0"/>
          <w:sz w:val="32"/>
          <w:szCs w:val="32"/>
          <w:highlight w:val="none"/>
        </w:rPr>
        <w:t>4.监理人</w:t>
      </w:r>
      <w:r>
        <w:rPr>
          <w:rFonts w:hint="eastAsia" w:ascii="仿宋_GB2312" w:hAnsi="仿宋_GB2312" w:eastAsia="仿宋_GB2312" w:cs="仿宋_GB2312"/>
          <w:b w:val="0"/>
          <w:bCs w:val="0"/>
          <w:sz w:val="32"/>
          <w:szCs w:val="32"/>
          <w:highlight w:val="none"/>
          <w:lang w:val="en-US" w:eastAsia="zh-CN"/>
        </w:rPr>
        <w:t>.</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color w:val="auto"/>
          <w:sz w:val="32"/>
          <w:szCs w:val="32"/>
          <w:highlight w:val="none"/>
        </w:rPr>
        <w:fldChar w:fldCharType="end"/>
      </w:r>
      <w:r>
        <w:rPr>
          <w:rFonts w:hint="eastAsia" w:ascii="仿宋_GB2312" w:hAnsi="仿宋_GB2312" w:eastAsia="仿宋_GB2312" w:cs="仿宋_GB2312"/>
          <w:b w:val="0"/>
          <w:bCs w:val="0"/>
          <w:color w:val="auto"/>
          <w:sz w:val="32"/>
          <w:szCs w:val="32"/>
          <w:highlight w:val="none"/>
          <w:lang w:val="en-US" w:eastAsia="zh-CN"/>
        </w:rPr>
        <w:t>48</w:t>
      </w:r>
    </w:p>
    <w:p w14:paraId="7B476987">
      <w:pPr>
        <w:pStyle w:val="10"/>
        <w:tabs>
          <w:tab w:val="right" w:leader="dot" w:pos="9072"/>
        </w:tabs>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color w:val="auto"/>
          <w:sz w:val="32"/>
          <w:szCs w:val="32"/>
          <w:highlight w:val="none"/>
        </w:rPr>
        <w:fldChar w:fldCharType="begin"/>
      </w:r>
      <w:r>
        <w:rPr>
          <w:rFonts w:hint="eastAsia" w:ascii="仿宋_GB2312" w:hAnsi="仿宋_GB2312" w:eastAsia="仿宋_GB2312" w:cs="仿宋_GB2312"/>
          <w:b w:val="0"/>
          <w:bCs w:val="0"/>
          <w:sz w:val="32"/>
          <w:szCs w:val="32"/>
          <w:highlight w:val="none"/>
        </w:rPr>
        <w:instrText xml:space="preserve"> HYPERLINK \l _Toc10085 </w:instrText>
      </w:r>
      <w:r>
        <w:rPr>
          <w:rFonts w:hint="eastAsia" w:ascii="仿宋_GB2312" w:hAnsi="仿宋_GB2312" w:eastAsia="仿宋_GB2312" w:cs="仿宋_GB2312"/>
          <w:b w:val="0"/>
          <w:bCs w:val="0"/>
          <w:sz w:val="32"/>
          <w:szCs w:val="32"/>
          <w:highlight w:val="none"/>
        </w:rPr>
        <w:fldChar w:fldCharType="separate"/>
      </w:r>
      <w:r>
        <w:rPr>
          <w:rFonts w:hint="eastAsia" w:ascii="仿宋_GB2312" w:hAnsi="仿宋_GB2312" w:eastAsia="仿宋_GB2312" w:cs="仿宋_GB2312"/>
          <w:b w:val="0"/>
          <w:bCs w:val="0"/>
          <w:sz w:val="32"/>
          <w:szCs w:val="32"/>
          <w:highlight w:val="none"/>
        </w:rPr>
        <w:t>5.工程质量</w:t>
      </w:r>
      <w:r>
        <w:rPr>
          <w:rFonts w:hint="eastAsia" w:ascii="仿宋_GB2312" w:hAnsi="仿宋_GB2312" w:eastAsia="仿宋_GB2312" w:cs="仿宋_GB2312"/>
          <w:b w:val="0"/>
          <w:bCs w:val="0"/>
          <w:sz w:val="32"/>
          <w:szCs w:val="32"/>
          <w:highlight w:val="none"/>
          <w:lang w:val="en-US" w:eastAsia="zh-CN"/>
        </w:rPr>
        <w:t>.</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color w:val="auto"/>
          <w:sz w:val="32"/>
          <w:szCs w:val="32"/>
          <w:highlight w:val="none"/>
        </w:rPr>
        <w:fldChar w:fldCharType="end"/>
      </w:r>
      <w:r>
        <w:rPr>
          <w:rFonts w:hint="eastAsia" w:ascii="仿宋_GB2312" w:hAnsi="仿宋_GB2312" w:eastAsia="仿宋_GB2312" w:cs="仿宋_GB2312"/>
          <w:b w:val="0"/>
          <w:bCs w:val="0"/>
          <w:color w:val="auto"/>
          <w:sz w:val="32"/>
          <w:szCs w:val="32"/>
          <w:highlight w:val="none"/>
          <w:lang w:val="en-US" w:eastAsia="zh-CN"/>
        </w:rPr>
        <w:t>49</w:t>
      </w:r>
    </w:p>
    <w:p w14:paraId="0DFCCF7F">
      <w:pPr>
        <w:pStyle w:val="10"/>
        <w:tabs>
          <w:tab w:val="right" w:leader="dot" w:pos="9072"/>
        </w:tabs>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color w:val="auto"/>
          <w:sz w:val="32"/>
          <w:szCs w:val="32"/>
          <w:highlight w:val="none"/>
        </w:rPr>
        <w:fldChar w:fldCharType="begin"/>
      </w:r>
      <w:r>
        <w:rPr>
          <w:rFonts w:hint="eastAsia" w:ascii="仿宋_GB2312" w:hAnsi="仿宋_GB2312" w:eastAsia="仿宋_GB2312" w:cs="仿宋_GB2312"/>
          <w:b w:val="0"/>
          <w:bCs w:val="0"/>
          <w:sz w:val="32"/>
          <w:szCs w:val="32"/>
          <w:highlight w:val="none"/>
        </w:rPr>
        <w:instrText xml:space="preserve"> HYPERLINK \l _Toc1869 </w:instrText>
      </w:r>
      <w:r>
        <w:rPr>
          <w:rFonts w:hint="eastAsia" w:ascii="仿宋_GB2312" w:hAnsi="仿宋_GB2312" w:eastAsia="仿宋_GB2312" w:cs="仿宋_GB2312"/>
          <w:b w:val="0"/>
          <w:bCs w:val="0"/>
          <w:sz w:val="32"/>
          <w:szCs w:val="32"/>
          <w:highlight w:val="none"/>
        </w:rPr>
        <w:fldChar w:fldCharType="separate"/>
      </w:r>
      <w:r>
        <w:rPr>
          <w:rFonts w:hint="eastAsia" w:ascii="仿宋_GB2312" w:hAnsi="仿宋_GB2312" w:eastAsia="仿宋_GB2312" w:cs="仿宋_GB2312"/>
          <w:b w:val="0"/>
          <w:bCs w:val="0"/>
          <w:sz w:val="32"/>
          <w:szCs w:val="32"/>
          <w:highlight w:val="none"/>
        </w:rPr>
        <w:t>6.安全文明施工与环境保护</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color w:val="auto"/>
          <w:sz w:val="32"/>
          <w:szCs w:val="32"/>
          <w:highlight w:val="none"/>
        </w:rPr>
        <w:fldChar w:fldCharType="end"/>
      </w:r>
      <w:r>
        <w:rPr>
          <w:rFonts w:hint="eastAsia" w:ascii="仿宋_GB2312" w:hAnsi="仿宋_GB2312" w:eastAsia="仿宋_GB2312" w:cs="仿宋_GB2312"/>
          <w:b w:val="0"/>
          <w:bCs w:val="0"/>
          <w:color w:val="auto"/>
          <w:sz w:val="32"/>
          <w:szCs w:val="32"/>
          <w:highlight w:val="none"/>
          <w:lang w:val="en-US" w:eastAsia="zh-CN"/>
        </w:rPr>
        <w:t>51</w:t>
      </w:r>
    </w:p>
    <w:p w14:paraId="2E0FB2C8">
      <w:pPr>
        <w:pStyle w:val="10"/>
        <w:tabs>
          <w:tab w:val="right" w:leader="dot" w:pos="9072"/>
        </w:tabs>
        <w:rPr>
          <w:rFonts w:hint="eastAsia" w:ascii="仿宋_GB2312" w:hAnsi="仿宋_GB2312" w:eastAsia="仿宋_GB2312" w:cs="仿宋_GB2312"/>
          <w:b w:val="0"/>
          <w:bCs w:val="0"/>
          <w:color w:val="auto"/>
          <w:sz w:val="32"/>
          <w:szCs w:val="32"/>
          <w:highlight w:val="none"/>
        </w:rPr>
        <w:sectPr>
          <w:footerReference r:id="rId12" w:type="first"/>
          <w:footerReference r:id="rId11" w:type="default"/>
          <w:pgSz w:w="11906" w:h="16838"/>
          <w:pgMar w:top="1417" w:right="1417" w:bottom="1417" w:left="1417" w:header="851" w:footer="992" w:gutter="0"/>
          <w:pgNumType w:fmt="decimal" w:start="1"/>
          <w:cols w:space="720" w:num="1"/>
          <w:docGrid w:type="lines" w:linePitch="312" w:charSpace="0"/>
        </w:sectPr>
      </w:pPr>
    </w:p>
    <w:p w14:paraId="6410E693">
      <w:pPr>
        <w:pStyle w:val="10"/>
        <w:tabs>
          <w:tab w:val="right" w:leader="dot" w:pos="9072"/>
        </w:tabs>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color w:val="auto"/>
          <w:sz w:val="32"/>
          <w:szCs w:val="32"/>
          <w:highlight w:val="none"/>
        </w:rPr>
        <w:fldChar w:fldCharType="begin"/>
      </w:r>
      <w:r>
        <w:rPr>
          <w:rFonts w:hint="eastAsia" w:ascii="仿宋_GB2312" w:hAnsi="仿宋_GB2312" w:eastAsia="仿宋_GB2312" w:cs="仿宋_GB2312"/>
          <w:b w:val="0"/>
          <w:bCs w:val="0"/>
          <w:sz w:val="32"/>
          <w:szCs w:val="32"/>
          <w:highlight w:val="none"/>
        </w:rPr>
        <w:instrText xml:space="preserve"> HYPERLINK \l _Toc23496 </w:instrText>
      </w:r>
      <w:r>
        <w:rPr>
          <w:rFonts w:hint="eastAsia" w:ascii="仿宋_GB2312" w:hAnsi="仿宋_GB2312" w:eastAsia="仿宋_GB2312" w:cs="仿宋_GB2312"/>
          <w:b w:val="0"/>
          <w:bCs w:val="0"/>
          <w:sz w:val="32"/>
          <w:szCs w:val="32"/>
          <w:highlight w:val="none"/>
        </w:rPr>
        <w:fldChar w:fldCharType="separate"/>
      </w:r>
      <w:r>
        <w:rPr>
          <w:rFonts w:hint="eastAsia" w:ascii="仿宋_GB2312" w:hAnsi="仿宋_GB2312" w:eastAsia="仿宋_GB2312" w:cs="仿宋_GB2312"/>
          <w:b w:val="0"/>
          <w:bCs w:val="0"/>
          <w:sz w:val="32"/>
          <w:szCs w:val="32"/>
          <w:highlight w:val="none"/>
        </w:rPr>
        <w:t>7.工期和进度</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color w:val="auto"/>
          <w:sz w:val="32"/>
          <w:szCs w:val="32"/>
          <w:highlight w:val="none"/>
        </w:rPr>
        <w:fldChar w:fldCharType="end"/>
      </w:r>
      <w:r>
        <w:rPr>
          <w:rFonts w:hint="eastAsia" w:ascii="仿宋_GB2312" w:hAnsi="仿宋_GB2312" w:eastAsia="仿宋_GB2312" w:cs="仿宋_GB2312"/>
          <w:b w:val="0"/>
          <w:bCs w:val="0"/>
          <w:color w:val="auto"/>
          <w:sz w:val="32"/>
          <w:szCs w:val="32"/>
          <w:highlight w:val="none"/>
          <w:lang w:val="en-US" w:eastAsia="zh-CN"/>
        </w:rPr>
        <w:t>67</w:t>
      </w:r>
    </w:p>
    <w:p w14:paraId="03D5CE5E">
      <w:pPr>
        <w:pStyle w:val="10"/>
        <w:tabs>
          <w:tab w:val="right" w:leader="dot" w:pos="9072"/>
        </w:tabs>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color w:val="auto"/>
          <w:sz w:val="32"/>
          <w:szCs w:val="32"/>
          <w:highlight w:val="none"/>
        </w:rPr>
        <w:fldChar w:fldCharType="begin"/>
      </w:r>
      <w:r>
        <w:rPr>
          <w:rFonts w:hint="eastAsia" w:ascii="仿宋_GB2312" w:hAnsi="仿宋_GB2312" w:eastAsia="仿宋_GB2312" w:cs="仿宋_GB2312"/>
          <w:b w:val="0"/>
          <w:bCs w:val="0"/>
          <w:sz w:val="32"/>
          <w:szCs w:val="32"/>
          <w:highlight w:val="none"/>
        </w:rPr>
        <w:instrText xml:space="preserve"> HYPERLINK \l _Toc16237 </w:instrText>
      </w:r>
      <w:r>
        <w:rPr>
          <w:rFonts w:hint="eastAsia" w:ascii="仿宋_GB2312" w:hAnsi="仿宋_GB2312" w:eastAsia="仿宋_GB2312" w:cs="仿宋_GB2312"/>
          <w:b w:val="0"/>
          <w:bCs w:val="0"/>
          <w:sz w:val="32"/>
          <w:szCs w:val="32"/>
          <w:highlight w:val="none"/>
        </w:rPr>
        <w:fldChar w:fldCharType="separate"/>
      </w:r>
      <w:r>
        <w:rPr>
          <w:rFonts w:hint="eastAsia" w:ascii="仿宋_GB2312" w:hAnsi="仿宋_GB2312" w:eastAsia="仿宋_GB2312" w:cs="仿宋_GB2312"/>
          <w:b w:val="0"/>
          <w:bCs w:val="0"/>
          <w:sz w:val="32"/>
          <w:szCs w:val="32"/>
          <w:highlight w:val="none"/>
        </w:rPr>
        <w:t>8.材料与设备</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color w:val="auto"/>
          <w:sz w:val="32"/>
          <w:szCs w:val="32"/>
          <w:highlight w:val="none"/>
        </w:rPr>
        <w:fldChar w:fldCharType="end"/>
      </w:r>
      <w:r>
        <w:rPr>
          <w:rFonts w:hint="eastAsia" w:ascii="仿宋_GB2312" w:hAnsi="仿宋_GB2312" w:eastAsia="仿宋_GB2312" w:cs="仿宋_GB2312"/>
          <w:b w:val="0"/>
          <w:bCs w:val="0"/>
          <w:color w:val="auto"/>
          <w:sz w:val="32"/>
          <w:szCs w:val="32"/>
          <w:highlight w:val="none"/>
          <w:lang w:val="en-US" w:eastAsia="zh-CN"/>
        </w:rPr>
        <w:t>73</w:t>
      </w:r>
    </w:p>
    <w:p w14:paraId="2A6F7BC7">
      <w:pPr>
        <w:pStyle w:val="10"/>
        <w:tabs>
          <w:tab w:val="right" w:leader="dot" w:pos="9072"/>
        </w:tabs>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rPr>
        <w:fldChar w:fldCharType="begin"/>
      </w:r>
      <w:r>
        <w:rPr>
          <w:rFonts w:hint="eastAsia" w:ascii="仿宋_GB2312" w:hAnsi="仿宋_GB2312" w:eastAsia="仿宋_GB2312" w:cs="仿宋_GB2312"/>
          <w:b w:val="0"/>
          <w:bCs w:val="0"/>
          <w:sz w:val="32"/>
          <w:szCs w:val="32"/>
          <w:highlight w:val="none"/>
        </w:rPr>
        <w:instrText xml:space="preserve"> HYPERLINK \l _Toc2730 </w:instrText>
      </w:r>
      <w:r>
        <w:rPr>
          <w:rFonts w:hint="eastAsia" w:ascii="仿宋_GB2312" w:hAnsi="仿宋_GB2312" w:eastAsia="仿宋_GB2312" w:cs="仿宋_GB2312"/>
          <w:b w:val="0"/>
          <w:bCs w:val="0"/>
          <w:sz w:val="32"/>
          <w:szCs w:val="32"/>
          <w:highlight w:val="none"/>
        </w:rPr>
        <w:fldChar w:fldCharType="separate"/>
      </w:r>
      <w:r>
        <w:rPr>
          <w:rFonts w:hint="eastAsia" w:ascii="仿宋_GB2312" w:hAnsi="仿宋_GB2312" w:eastAsia="仿宋_GB2312" w:cs="仿宋_GB2312"/>
          <w:b w:val="0"/>
          <w:bCs w:val="0"/>
          <w:sz w:val="32"/>
          <w:szCs w:val="32"/>
          <w:highlight w:val="none"/>
          <w:lang w:val="en-US" w:eastAsia="zh-CN"/>
        </w:rPr>
        <w:t>9</w:t>
      </w:r>
      <w:r>
        <w:rPr>
          <w:rFonts w:hint="eastAsia" w:ascii="仿宋_GB2312" w:hAnsi="仿宋_GB2312" w:eastAsia="仿宋_GB2312" w:cs="仿宋_GB2312"/>
          <w:b w:val="0"/>
          <w:bCs w:val="0"/>
          <w:sz w:val="32"/>
          <w:szCs w:val="32"/>
          <w:highlight w:val="none"/>
        </w:rPr>
        <w:t>.</w:t>
      </w:r>
      <w:r>
        <w:rPr>
          <w:rFonts w:hint="eastAsia" w:ascii="仿宋_GB2312" w:hAnsi="仿宋_GB2312" w:eastAsia="仿宋_GB2312" w:cs="仿宋_GB2312"/>
          <w:b w:val="0"/>
          <w:bCs w:val="0"/>
          <w:sz w:val="32"/>
          <w:szCs w:val="32"/>
          <w:highlight w:val="none"/>
          <w:lang w:val="en-US" w:eastAsia="zh-CN"/>
        </w:rPr>
        <w:t>试验与检验</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color w:val="auto"/>
          <w:sz w:val="32"/>
          <w:szCs w:val="32"/>
          <w:highlight w:val="none"/>
        </w:rPr>
        <w:fldChar w:fldCharType="end"/>
      </w:r>
      <w:r>
        <w:rPr>
          <w:rFonts w:hint="eastAsia" w:ascii="仿宋_GB2312" w:hAnsi="仿宋_GB2312" w:eastAsia="仿宋_GB2312" w:cs="仿宋_GB2312"/>
          <w:b w:val="0"/>
          <w:bCs w:val="0"/>
          <w:color w:val="auto"/>
          <w:sz w:val="32"/>
          <w:szCs w:val="32"/>
          <w:highlight w:val="none"/>
          <w:lang w:val="en-US" w:eastAsia="zh-CN"/>
        </w:rPr>
        <w:t>61</w:t>
      </w:r>
    </w:p>
    <w:p w14:paraId="049A314A">
      <w:pPr>
        <w:pStyle w:val="10"/>
        <w:tabs>
          <w:tab w:val="right" w:leader="dot" w:pos="9072"/>
        </w:tabs>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color w:val="auto"/>
          <w:sz w:val="32"/>
          <w:szCs w:val="32"/>
          <w:highlight w:val="none"/>
        </w:rPr>
        <w:fldChar w:fldCharType="begin"/>
      </w:r>
      <w:r>
        <w:rPr>
          <w:rFonts w:hint="eastAsia" w:ascii="仿宋_GB2312" w:hAnsi="仿宋_GB2312" w:eastAsia="仿宋_GB2312" w:cs="仿宋_GB2312"/>
          <w:b w:val="0"/>
          <w:bCs w:val="0"/>
          <w:sz w:val="32"/>
          <w:szCs w:val="32"/>
          <w:highlight w:val="none"/>
        </w:rPr>
        <w:instrText xml:space="preserve"> HYPERLINK \l _Toc16237 </w:instrText>
      </w:r>
      <w:r>
        <w:rPr>
          <w:rFonts w:hint="eastAsia" w:ascii="仿宋_GB2312" w:hAnsi="仿宋_GB2312" w:eastAsia="仿宋_GB2312" w:cs="仿宋_GB2312"/>
          <w:b w:val="0"/>
          <w:bCs w:val="0"/>
          <w:sz w:val="32"/>
          <w:szCs w:val="32"/>
          <w:highlight w:val="none"/>
        </w:rPr>
        <w:fldChar w:fldCharType="separate"/>
      </w:r>
      <w:r>
        <w:rPr>
          <w:rFonts w:hint="eastAsia" w:ascii="仿宋_GB2312" w:hAnsi="仿宋_GB2312" w:eastAsia="仿宋_GB2312" w:cs="仿宋_GB2312"/>
          <w:b w:val="0"/>
          <w:bCs w:val="0"/>
          <w:sz w:val="32"/>
          <w:szCs w:val="32"/>
          <w:highlight w:val="none"/>
          <w:lang w:val="en-US" w:eastAsia="zh-CN"/>
        </w:rPr>
        <w:t>10</w:t>
      </w:r>
      <w:r>
        <w:rPr>
          <w:rFonts w:hint="eastAsia" w:ascii="仿宋_GB2312" w:hAnsi="仿宋_GB2312" w:eastAsia="仿宋_GB2312" w:cs="仿宋_GB2312"/>
          <w:b w:val="0"/>
          <w:bCs w:val="0"/>
          <w:sz w:val="32"/>
          <w:szCs w:val="32"/>
          <w:highlight w:val="none"/>
        </w:rPr>
        <w:t>.</w:t>
      </w:r>
      <w:r>
        <w:rPr>
          <w:rFonts w:hint="eastAsia" w:ascii="仿宋_GB2312" w:hAnsi="仿宋_GB2312" w:eastAsia="仿宋_GB2312" w:cs="仿宋_GB2312"/>
          <w:b w:val="0"/>
          <w:bCs w:val="0"/>
          <w:sz w:val="32"/>
          <w:szCs w:val="32"/>
          <w:highlight w:val="none"/>
          <w:lang w:val="en-US" w:eastAsia="zh-CN"/>
        </w:rPr>
        <w:t>变更</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color w:val="auto"/>
          <w:sz w:val="32"/>
          <w:szCs w:val="32"/>
          <w:highlight w:val="none"/>
        </w:rPr>
        <w:fldChar w:fldCharType="end"/>
      </w:r>
      <w:r>
        <w:rPr>
          <w:rFonts w:hint="eastAsia" w:ascii="仿宋_GB2312" w:hAnsi="仿宋_GB2312" w:eastAsia="仿宋_GB2312" w:cs="仿宋_GB2312"/>
          <w:b w:val="0"/>
          <w:bCs w:val="0"/>
          <w:color w:val="auto"/>
          <w:sz w:val="32"/>
          <w:szCs w:val="32"/>
          <w:highlight w:val="none"/>
          <w:lang w:val="en-US" w:eastAsia="zh-CN"/>
        </w:rPr>
        <w:t>62</w:t>
      </w:r>
    </w:p>
    <w:p w14:paraId="3F5DEC60">
      <w:pPr>
        <w:pStyle w:val="10"/>
        <w:tabs>
          <w:tab w:val="right" w:leader="dot" w:pos="9072"/>
        </w:tabs>
        <w:rPr>
          <w:rFonts w:hint="default"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rPr>
        <w:fldChar w:fldCharType="begin"/>
      </w:r>
      <w:r>
        <w:rPr>
          <w:rFonts w:hint="eastAsia" w:ascii="仿宋_GB2312" w:hAnsi="仿宋_GB2312" w:eastAsia="仿宋_GB2312" w:cs="仿宋_GB2312"/>
          <w:b w:val="0"/>
          <w:bCs w:val="0"/>
          <w:sz w:val="32"/>
          <w:szCs w:val="32"/>
          <w:highlight w:val="none"/>
        </w:rPr>
        <w:instrText xml:space="preserve"> HYPERLINK \l _Toc2730 </w:instrText>
      </w:r>
      <w:r>
        <w:rPr>
          <w:rFonts w:hint="eastAsia" w:ascii="仿宋_GB2312" w:hAnsi="仿宋_GB2312" w:eastAsia="仿宋_GB2312" w:cs="仿宋_GB2312"/>
          <w:b w:val="0"/>
          <w:bCs w:val="0"/>
          <w:sz w:val="32"/>
          <w:szCs w:val="32"/>
          <w:highlight w:val="none"/>
        </w:rPr>
        <w:fldChar w:fldCharType="separate"/>
      </w:r>
      <w:r>
        <w:rPr>
          <w:rFonts w:hint="eastAsia" w:ascii="仿宋_GB2312" w:hAnsi="仿宋_GB2312" w:eastAsia="仿宋_GB2312" w:cs="仿宋_GB2312"/>
          <w:b w:val="0"/>
          <w:bCs w:val="0"/>
          <w:sz w:val="32"/>
          <w:szCs w:val="32"/>
          <w:highlight w:val="none"/>
          <w:lang w:val="en-US" w:eastAsia="zh-CN"/>
        </w:rPr>
        <w:t>11</w:t>
      </w:r>
      <w:r>
        <w:rPr>
          <w:rFonts w:hint="eastAsia" w:ascii="仿宋_GB2312" w:hAnsi="仿宋_GB2312" w:eastAsia="仿宋_GB2312" w:cs="仿宋_GB2312"/>
          <w:b w:val="0"/>
          <w:bCs w:val="0"/>
          <w:sz w:val="32"/>
          <w:szCs w:val="32"/>
          <w:highlight w:val="none"/>
        </w:rPr>
        <w:t>.</w:t>
      </w:r>
      <w:r>
        <w:rPr>
          <w:rFonts w:hint="eastAsia" w:ascii="仿宋_GB2312" w:hAnsi="仿宋_GB2312" w:eastAsia="仿宋_GB2312" w:cs="仿宋_GB2312"/>
          <w:b w:val="0"/>
          <w:bCs w:val="0"/>
          <w:sz w:val="32"/>
          <w:szCs w:val="32"/>
          <w:highlight w:val="none"/>
          <w:lang w:val="en-US" w:eastAsia="zh-CN"/>
        </w:rPr>
        <w:t>价格调整</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color w:val="auto"/>
          <w:sz w:val="32"/>
          <w:szCs w:val="32"/>
          <w:highlight w:val="none"/>
        </w:rPr>
        <w:fldChar w:fldCharType="end"/>
      </w:r>
      <w:r>
        <w:rPr>
          <w:rFonts w:hint="eastAsia" w:ascii="仿宋_GB2312" w:hAnsi="仿宋_GB2312" w:eastAsia="仿宋_GB2312" w:cs="仿宋_GB2312"/>
          <w:b w:val="0"/>
          <w:bCs w:val="0"/>
          <w:color w:val="auto"/>
          <w:sz w:val="32"/>
          <w:szCs w:val="32"/>
          <w:highlight w:val="none"/>
          <w:lang w:val="en-US" w:eastAsia="zh-CN"/>
        </w:rPr>
        <w:t>68</w:t>
      </w:r>
    </w:p>
    <w:p w14:paraId="2DF52E66">
      <w:pPr>
        <w:pStyle w:val="10"/>
        <w:tabs>
          <w:tab w:val="right" w:leader="dot" w:pos="9072"/>
        </w:tabs>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color w:val="auto"/>
          <w:sz w:val="32"/>
          <w:szCs w:val="32"/>
          <w:highlight w:val="none"/>
        </w:rPr>
        <w:fldChar w:fldCharType="begin"/>
      </w:r>
      <w:r>
        <w:rPr>
          <w:rFonts w:hint="eastAsia" w:ascii="仿宋_GB2312" w:hAnsi="仿宋_GB2312" w:eastAsia="仿宋_GB2312" w:cs="仿宋_GB2312"/>
          <w:b w:val="0"/>
          <w:bCs w:val="0"/>
          <w:sz w:val="32"/>
          <w:szCs w:val="32"/>
          <w:highlight w:val="none"/>
        </w:rPr>
        <w:instrText xml:space="preserve"> HYPERLINK \l _Toc7954 </w:instrText>
      </w:r>
      <w:r>
        <w:rPr>
          <w:rFonts w:hint="eastAsia" w:ascii="仿宋_GB2312" w:hAnsi="仿宋_GB2312" w:eastAsia="仿宋_GB2312" w:cs="仿宋_GB2312"/>
          <w:b w:val="0"/>
          <w:bCs w:val="0"/>
          <w:sz w:val="32"/>
          <w:szCs w:val="32"/>
          <w:highlight w:val="none"/>
        </w:rPr>
        <w:fldChar w:fldCharType="separate"/>
      </w:r>
      <w:r>
        <w:rPr>
          <w:rFonts w:hint="eastAsia" w:ascii="仿宋_GB2312" w:hAnsi="仿宋_GB2312" w:eastAsia="仿宋_GB2312" w:cs="仿宋_GB2312"/>
          <w:b w:val="0"/>
          <w:bCs w:val="0"/>
          <w:sz w:val="32"/>
          <w:szCs w:val="32"/>
          <w:highlight w:val="none"/>
        </w:rPr>
        <w:t>1</w:t>
      </w:r>
      <w:r>
        <w:rPr>
          <w:rFonts w:hint="eastAsia" w:ascii="仿宋_GB2312" w:hAnsi="仿宋_GB2312" w:eastAsia="仿宋_GB2312" w:cs="仿宋_GB2312"/>
          <w:b w:val="0"/>
          <w:bCs w:val="0"/>
          <w:sz w:val="32"/>
          <w:szCs w:val="32"/>
          <w:highlight w:val="none"/>
          <w:lang w:val="en-US" w:eastAsia="zh-CN"/>
        </w:rPr>
        <w:t>2</w:t>
      </w:r>
      <w:r>
        <w:rPr>
          <w:rFonts w:hint="eastAsia" w:ascii="仿宋_GB2312" w:hAnsi="仿宋_GB2312" w:eastAsia="仿宋_GB2312" w:cs="仿宋_GB2312"/>
          <w:b w:val="0"/>
          <w:bCs w:val="0"/>
          <w:sz w:val="32"/>
          <w:szCs w:val="32"/>
          <w:highlight w:val="none"/>
        </w:rPr>
        <w:t>.</w:t>
      </w:r>
      <w:r>
        <w:rPr>
          <w:rFonts w:hint="eastAsia" w:ascii="仿宋_GB2312" w:hAnsi="仿宋_GB2312" w:eastAsia="仿宋_GB2312" w:cs="仿宋_GB2312"/>
          <w:b w:val="0"/>
          <w:bCs w:val="0"/>
          <w:sz w:val="32"/>
          <w:szCs w:val="32"/>
          <w:highlight w:val="none"/>
          <w:lang w:val="en-US" w:eastAsia="zh-CN"/>
        </w:rPr>
        <w:t>合同价格、计量与支付</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color w:val="auto"/>
          <w:sz w:val="32"/>
          <w:szCs w:val="32"/>
          <w:highlight w:val="none"/>
        </w:rPr>
        <w:fldChar w:fldCharType="end"/>
      </w:r>
      <w:r>
        <w:rPr>
          <w:rFonts w:hint="eastAsia" w:ascii="仿宋_GB2312" w:hAnsi="仿宋_GB2312" w:eastAsia="仿宋_GB2312" w:cs="仿宋_GB2312"/>
          <w:b w:val="0"/>
          <w:bCs w:val="0"/>
          <w:sz w:val="32"/>
          <w:szCs w:val="32"/>
          <w:lang w:val="en-US" w:eastAsia="zh-CN"/>
        </w:rPr>
        <w:t>7</w:t>
      </w:r>
      <w:r>
        <w:rPr>
          <w:rFonts w:hint="eastAsia" w:ascii="仿宋_GB2312" w:hAnsi="仿宋_GB2312" w:eastAsia="仿宋_GB2312" w:cs="仿宋_GB2312"/>
          <w:b w:val="0"/>
          <w:bCs w:val="0"/>
          <w:color w:val="auto"/>
          <w:sz w:val="32"/>
          <w:szCs w:val="32"/>
          <w:highlight w:val="none"/>
          <w:lang w:val="en-US" w:eastAsia="zh-CN"/>
        </w:rPr>
        <w:t>1</w:t>
      </w:r>
    </w:p>
    <w:p w14:paraId="6B776B43">
      <w:pPr>
        <w:pStyle w:val="10"/>
        <w:tabs>
          <w:tab w:val="right" w:leader="dot" w:pos="9072"/>
        </w:tabs>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color w:val="auto"/>
          <w:sz w:val="32"/>
          <w:szCs w:val="32"/>
          <w:highlight w:val="none"/>
        </w:rPr>
        <w:fldChar w:fldCharType="begin"/>
      </w:r>
      <w:r>
        <w:rPr>
          <w:rFonts w:hint="eastAsia" w:ascii="仿宋_GB2312" w:hAnsi="仿宋_GB2312" w:eastAsia="仿宋_GB2312" w:cs="仿宋_GB2312"/>
          <w:b w:val="0"/>
          <w:bCs w:val="0"/>
          <w:sz w:val="32"/>
          <w:szCs w:val="32"/>
          <w:highlight w:val="none"/>
        </w:rPr>
        <w:instrText xml:space="preserve"> HYPERLINK \l _Toc13472 </w:instrText>
      </w:r>
      <w:r>
        <w:rPr>
          <w:rFonts w:hint="eastAsia" w:ascii="仿宋_GB2312" w:hAnsi="仿宋_GB2312" w:eastAsia="仿宋_GB2312" w:cs="仿宋_GB2312"/>
          <w:b w:val="0"/>
          <w:bCs w:val="0"/>
          <w:sz w:val="32"/>
          <w:szCs w:val="32"/>
          <w:highlight w:val="none"/>
        </w:rPr>
        <w:fldChar w:fldCharType="separate"/>
      </w:r>
      <w:r>
        <w:rPr>
          <w:rFonts w:hint="eastAsia" w:ascii="仿宋_GB2312" w:hAnsi="仿宋_GB2312" w:eastAsia="仿宋_GB2312" w:cs="仿宋_GB2312"/>
          <w:b w:val="0"/>
          <w:bCs w:val="0"/>
          <w:sz w:val="32"/>
          <w:szCs w:val="32"/>
          <w:highlight w:val="none"/>
        </w:rPr>
        <w:t>1</w:t>
      </w:r>
      <w:r>
        <w:rPr>
          <w:rFonts w:hint="eastAsia" w:ascii="仿宋_GB2312" w:hAnsi="仿宋_GB2312" w:eastAsia="仿宋_GB2312" w:cs="仿宋_GB2312"/>
          <w:b w:val="0"/>
          <w:bCs w:val="0"/>
          <w:sz w:val="32"/>
          <w:szCs w:val="32"/>
          <w:highlight w:val="none"/>
          <w:lang w:val="en-US" w:eastAsia="zh-CN"/>
        </w:rPr>
        <w:t>3</w:t>
      </w:r>
      <w:r>
        <w:rPr>
          <w:rFonts w:hint="eastAsia" w:ascii="仿宋_GB2312" w:hAnsi="仿宋_GB2312" w:eastAsia="仿宋_GB2312" w:cs="仿宋_GB2312"/>
          <w:b w:val="0"/>
          <w:bCs w:val="0"/>
          <w:sz w:val="32"/>
          <w:szCs w:val="32"/>
          <w:highlight w:val="none"/>
        </w:rPr>
        <w:t>.验收和工程试车</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color w:val="auto"/>
          <w:sz w:val="32"/>
          <w:szCs w:val="32"/>
          <w:highlight w:val="none"/>
        </w:rPr>
        <w:fldChar w:fldCharType="end"/>
      </w:r>
      <w:r>
        <w:rPr>
          <w:rFonts w:hint="eastAsia" w:ascii="仿宋_GB2312" w:hAnsi="仿宋_GB2312" w:eastAsia="仿宋_GB2312" w:cs="仿宋_GB2312"/>
          <w:b w:val="0"/>
          <w:bCs w:val="0"/>
          <w:color w:val="auto"/>
          <w:sz w:val="32"/>
          <w:szCs w:val="32"/>
          <w:highlight w:val="none"/>
          <w:lang w:val="en-US" w:eastAsia="zh-CN"/>
        </w:rPr>
        <w:t>80</w:t>
      </w:r>
    </w:p>
    <w:p w14:paraId="27BB341C">
      <w:pPr>
        <w:pStyle w:val="10"/>
        <w:tabs>
          <w:tab w:val="right" w:leader="dot" w:pos="9072"/>
        </w:tabs>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color w:val="auto"/>
          <w:sz w:val="32"/>
          <w:szCs w:val="32"/>
          <w:highlight w:val="none"/>
        </w:rPr>
        <w:fldChar w:fldCharType="begin"/>
      </w:r>
      <w:r>
        <w:rPr>
          <w:rFonts w:hint="eastAsia" w:ascii="仿宋_GB2312" w:hAnsi="仿宋_GB2312" w:eastAsia="仿宋_GB2312" w:cs="仿宋_GB2312"/>
          <w:b w:val="0"/>
          <w:bCs w:val="0"/>
          <w:sz w:val="32"/>
          <w:szCs w:val="32"/>
          <w:highlight w:val="none"/>
        </w:rPr>
        <w:instrText xml:space="preserve"> HYPERLINK \l _Toc9686 </w:instrText>
      </w:r>
      <w:r>
        <w:rPr>
          <w:rFonts w:hint="eastAsia" w:ascii="仿宋_GB2312" w:hAnsi="仿宋_GB2312" w:eastAsia="仿宋_GB2312" w:cs="仿宋_GB2312"/>
          <w:b w:val="0"/>
          <w:bCs w:val="0"/>
          <w:sz w:val="32"/>
          <w:szCs w:val="32"/>
          <w:highlight w:val="none"/>
        </w:rPr>
        <w:fldChar w:fldCharType="separate"/>
      </w:r>
      <w:r>
        <w:rPr>
          <w:rFonts w:hint="eastAsia" w:ascii="仿宋_GB2312" w:hAnsi="仿宋_GB2312" w:eastAsia="仿宋_GB2312" w:cs="仿宋_GB2312"/>
          <w:b w:val="0"/>
          <w:bCs w:val="0"/>
          <w:sz w:val="32"/>
          <w:szCs w:val="32"/>
          <w:highlight w:val="none"/>
        </w:rPr>
        <w:t>1</w:t>
      </w:r>
      <w:r>
        <w:rPr>
          <w:rFonts w:hint="eastAsia" w:ascii="仿宋_GB2312" w:hAnsi="仿宋_GB2312" w:eastAsia="仿宋_GB2312" w:cs="仿宋_GB2312"/>
          <w:b w:val="0"/>
          <w:bCs w:val="0"/>
          <w:sz w:val="32"/>
          <w:szCs w:val="32"/>
          <w:highlight w:val="none"/>
          <w:lang w:val="en-US" w:eastAsia="zh-CN"/>
        </w:rPr>
        <w:t>4</w:t>
      </w:r>
      <w:r>
        <w:rPr>
          <w:rFonts w:hint="eastAsia" w:ascii="仿宋_GB2312" w:hAnsi="仿宋_GB2312" w:eastAsia="仿宋_GB2312" w:cs="仿宋_GB2312"/>
          <w:b w:val="0"/>
          <w:bCs w:val="0"/>
          <w:sz w:val="32"/>
          <w:szCs w:val="32"/>
          <w:highlight w:val="none"/>
        </w:rPr>
        <w:t>.竣工结算</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color w:val="auto"/>
          <w:sz w:val="32"/>
          <w:szCs w:val="32"/>
          <w:highlight w:val="none"/>
        </w:rPr>
        <w:fldChar w:fldCharType="end"/>
      </w:r>
      <w:r>
        <w:rPr>
          <w:rFonts w:hint="eastAsia" w:ascii="仿宋_GB2312" w:hAnsi="仿宋_GB2312" w:eastAsia="仿宋_GB2312" w:cs="仿宋_GB2312"/>
          <w:b w:val="0"/>
          <w:bCs w:val="0"/>
          <w:color w:val="auto"/>
          <w:sz w:val="32"/>
          <w:szCs w:val="32"/>
          <w:highlight w:val="none"/>
          <w:lang w:val="en-US" w:eastAsia="zh-CN"/>
        </w:rPr>
        <w:t>183</w:t>
      </w:r>
    </w:p>
    <w:p w14:paraId="165B6331">
      <w:pPr>
        <w:pStyle w:val="10"/>
        <w:tabs>
          <w:tab w:val="right" w:leader="dot" w:pos="9072"/>
        </w:tabs>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color w:val="auto"/>
          <w:sz w:val="32"/>
          <w:szCs w:val="32"/>
          <w:highlight w:val="none"/>
        </w:rPr>
        <w:fldChar w:fldCharType="begin"/>
      </w:r>
      <w:r>
        <w:rPr>
          <w:rFonts w:hint="eastAsia" w:ascii="仿宋_GB2312" w:hAnsi="仿宋_GB2312" w:eastAsia="仿宋_GB2312" w:cs="仿宋_GB2312"/>
          <w:b w:val="0"/>
          <w:bCs w:val="0"/>
          <w:sz w:val="32"/>
          <w:szCs w:val="32"/>
          <w:highlight w:val="none"/>
        </w:rPr>
        <w:instrText xml:space="preserve"> HYPERLINK \l _Toc28116 </w:instrText>
      </w:r>
      <w:r>
        <w:rPr>
          <w:rFonts w:hint="eastAsia" w:ascii="仿宋_GB2312" w:hAnsi="仿宋_GB2312" w:eastAsia="仿宋_GB2312" w:cs="仿宋_GB2312"/>
          <w:b w:val="0"/>
          <w:bCs w:val="0"/>
          <w:sz w:val="32"/>
          <w:szCs w:val="32"/>
          <w:highlight w:val="none"/>
        </w:rPr>
        <w:fldChar w:fldCharType="separate"/>
      </w:r>
      <w:r>
        <w:rPr>
          <w:rFonts w:hint="eastAsia" w:ascii="仿宋_GB2312" w:hAnsi="仿宋_GB2312" w:eastAsia="仿宋_GB2312" w:cs="仿宋_GB2312"/>
          <w:b w:val="0"/>
          <w:bCs w:val="0"/>
          <w:sz w:val="32"/>
          <w:szCs w:val="32"/>
          <w:highlight w:val="none"/>
        </w:rPr>
        <w:t>1</w:t>
      </w:r>
      <w:r>
        <w:rPr>
          <w:rFonts w:hint="eastAsia" w:ascii="仿宋_GB2312" w:hAnsi="仿宋_GB2312" w:eastAsia="仿宋_GB2312" w:cs="仿宋_GB2312"/>
          <w:b w:val="0"/>
          <w:bCs w:val="0"/>
          <w:sz w:val="32"/>
          <w:szCs w:val="32"/>
          <w:highlight w:val="none"/>
          <w:lang w:val="en-US" w:eastAsia="zh-CN"/>
        </w:rPr>
        <w:t>5</w:t>
      </w:r>
      <w:r>
        <w:rPr>
          <w:rFonts w:hint="eastAsia" w:ascii="仿宋_GB2312" w:hAnsi="仿宋_GB2312" w:eastAsia="仿宋_GB2312" w:cs="仿宋_GB2312"/>
          <w:b w:val="0"/>
          <w:bCs w:val="0"/>
          <w:sz w:val="32"/>
          <w:szCs w:val="32"/>
          <w:highlight w:val="none"/>
        </w:rPr>
        <w:t>.缺陷责任期与保修</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color w:val="auto"/>
          <w:sz w:val="32"/>
          <w:szCs w:val="32"/>
          <w:highlight w:val="none"/>
        </w:rPr>
        <w:fldChar w:fldCharType="end"/>
      </w: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color w:val="auto"/>
          <w:sz w:val="32"/>
          <w:szCs w:val="32"/>
          <w:highlight w:val="none"/>
          <w:lang w:val="en-US" w:eastAsia="zh-CN"/>
        </w:rPr>
        <w:t>84</w:t>
      </w:r>
    </w:p>
    <w:p w14:paraId="3BD8707B">
      <w:pPr>
        <w:pStyle w:val="10"/>
        <w:tabs>
          <w:tab w:val="right" w:leader="dot" w:pos="9072"/>
        </w:tabs>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color w:val="auto"/>
          <w:sz w:val="32"/>
          <w:szCs w:val="32"/>
          <w:highlight w:val="none"/>
        </w:rPr>
        <w:fldChar w:fldCharType="begin"/>
      </w:r>
      <w:r>
        <w:rPr>
          <w:rFonts w:hint="eastAsia" w:ascii="仿宋_GB2312" w:hAnsi="仿宋_GB2312" w:eastAsia="仿宋_GB2312" w:cs="仿宋_GB2312"/>
          <w:b w:val="0"/>
          <w:bCs w:val="0"/>
          <w:sz w:val="32"/>
          <w:szCs w:val="32"/>
          <w:highlight w:val="none"/>
        </w:rPr>
        <w:instrText xml:space="preserve"> HYPERLINK \l _Toc601 </w:instrText>
      </w:r>
      <w:r>
        <w:rPr>
          <w:rFonts w:hint="eastAsia" w:ascii="仿宋_GB2312" w:hAnsi="仿宋_GB2312" w:eastAsia="仿宋_GB2312" w:cs="仿宋_GB2312"/>
          <w:b w:val="0"/>
          <w:bCs w:val="0"/>
          <w:sz w:val="32"/>
          <w:szCs w:val="32"/>
          <w:highlight w:val="none"/>
        </w:rPr>
        <w:fldChar w:fldCharType="separate"/>
      </w:r>
      <w:r>
        <w:rPr>
          <w:rFonts w:hint="eastAsia" w:ascii="仿宋_GB2312" w:hAnsi="仿宋_GB2312" w:eastAsia="仿宋_GB2312" w:cs="仿宋_GB2312"/>
          <w:b w:val="0"/>
          <w:bCs w:val="0"/>
          <w:sz w:val="32"/>
          <w:szCs w:val="32"/>
          <w:highlight w:val="none"/>
        </w:rPr>
        <w:t>1</w:t>
      </w:r>
      <w:r>
        <w:rPr>
          <w:rFonts w:hint="eastAsia" w:ascii="仿宋_GB2312" w:hAnsi="仿宋_GB2312" w:eastAsia="仿宋_GB2312" w:cs="仿宋_GB2312"/>
          <w:b w:val="0"/>
          <w:bCs w:val="0"/>
          <w:sz w:val="32"/>
          <w:szCs w:val="32"/>
          <w:highlight w:val="none"/>
          <w:lang w:val="en-US" w:eastAsia="zh-CN"/>
        </w:rPr>
        <w:t>6</w:t>
      </w:r>
      <w:r>
        <w:rPr>
          <w:rFonts w:hint="eastAsia" w:ascii="仿宋_GB2312" w:hAnsi="仿宋_GB2312" w:eastAsia="仿宋_GB2312" w:cs="仿宋_GB2312"/>
          <w:b w:val="0"/>
          <w:bCs w:val="0"/>
          <w:sz w:val="32"/>
          <w:szCs w:val="32"/>
          <w:highlight w:val="none"/>
        </w:rPr>
        <w:t>.违约</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lang w:val="en-US" w:eastAsia="zh-CN"/>
        </w:rPr>
        <w:t>.</w:t>
      </w:r>
      <w:r>
        <w:rPr>
          <w:rFonts w:hint="eastAsia" w:ascii="仿宋_GB2312" w:hAnsi="仿宋_GB2312" w:eastAsia="仿宋_GB2312" w:cs="仿宋_GB2312"/>
          <w:b w:val="0"/>
          <w:bCs w:val="0"/>
          <w:color w:val="auto"/>
          <w:sz w:val="32"/>
          <w:szCs w:val="32"/>
          <w:highlight w:val="none"/>
        </w:rPr>
        <w:fldChar w:fldCharType="end"/>
      </w: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color w:val="auto"/>
          <w:sz w:val="32"/>
          <w:szCs w:val="32"/>
          <w:highlight w:val="none"/>
          <w:lang w:val="en-US" w:eastAsia="zh-CN"/>
        </w:rPr>
        <w:t>86</w:t>
      </w:r>
    </w:p>
    <w:p w14:paraId="25EF4081">
      <w:pPr>
        <w:pStyle w:val="10"/>
        <w:tabs>
          <w:tab w:val="right" w:leader="dot" w:pos="9072"/>
        </w:tabs>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color w:val="auto"/>
          <w:sz w:val="32"/>
          <w:szCs w:val="32"/>
          <w:highlight w:val="none"/>
        </w:rPr>
        <w:fldChar w:fldCharType="begin"/>
      </w:r>
      <w:r>
        <w:rPr>
          <w:rFonts w:hint="eastAsia" w:ascii="仿宋_GB2312" w:hAnsi="仿宋_GB2312" w:eastAsia="仿宋_GB2312" w:cs="仿宋_GB2312"/>
          <w:b w:val="0"/>
          <w:bCs w:val="0"/>
          <w:sz w:val="32"/>
          <w:szCs w:val="32"/>
          <w:highlight w:val="none"/>
        </w:rPr>
        <w:instrText xml:space="preserve"> HYPERLINK \l _Toc29165 </w:instrText>
      </w:r>
      <w:r>
        <w:rPr>
          <w:rFonts w:hint="eastAsia" w:ascii="仿宋_GB2312" w:hAnsi="仿宋_GB2312" w:eastAsia="仿宋_GB2312" w:cs="仿宋_GB2312"/>
          <w:b w:val="0"/>
          <w:bCs w:val="0"/>
          <w:sz w:val="32"/>
          <w:szCs w:val="32"/>
          <w:highlight w:val="none"/>
        </w:rPr>
        <w:fldChar w:fldCharType="separate"/>
      </w:r>
      <w:r>
        <w:rPr>
          <w:rFonts w:hint="eastAsia" w:ascii="仿宋_GB2312" w:hAnsi="仿宋_GB2312" w:eastAsia="仿宋_GB2312" w:cs="仿宋_GB2312"/>
          <w:b w:val="0"/>
          <w:bCs w:val="0"/>
          <w:sz w:val="32"/>
          <w:szCs w:val="32"/>
          <w:highlight w:val="none"/>
        </w:rPr>
        <w:t>1</w:t>
      </w:r>
      <w:r>
        <w:rPr>
          <w:rFonts w:hint="eastAsia" w:ascii="仿宋_GB2312" w:hAnsi="仿宋_GB2312" w:eastAsia="仿宋_GB2312" w:cs="仿宋_GB2312"/>
          <w:b w:val="0"/>
          <w:bCs w:val="0"/>
          <w:sz w:val="32"/>
          <w:szCs w:val="32"/>
          <w:highlight w:val="none"/>
          <w:lang w:val="en-US" w:eastAsia="zh-CN"/>
        </w:rPr>
        <w:t>7</w:t>
      </w:r>
      <w:r>
        <w:rPr>
          <w:rFonts w:hint="eastAsia" w:ascii="仿宋_GB2312" w:hAnsi="仿宋_GB2312" w:eastAsia="仿宋_GB2312" w:cs="仿宋_GB2312"/>
          <w:b w:val="0"/>
          <w:bCs w:val="0"/>
          <w:sz w:val="32"/>
          <w:szCs w:val="32"/>
          <w:highlight w:val="none"/>
        </w:rPr>
        <w:t>.不可抗力</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lang w:val="en-US" w:eastAsia="zh-CN"/>
        </w:rPr>
        <w:t>2</w:t>
      </w:r>
      <w:r>
        <w:rPr>
          <w:rFonts w:hint="eastAsia" w:ascii="仿宋_GB2312" w:hAnsi="仿宋_GB2312" w:eastAsia="仿宋_GB2312" w:cs="仿宋_GB2312"/>
          <w:b w:val="0"/>
          <w:bCs w:val="0"/>
          <w:color w:val="auto"/>
          <w:sz w:val="32"/>
          <w:szCs w:val="32"/>
          <w:highlight w:val="none"/>
        </w:rPr>
        <w:fldChar w:fldCharType="end"/>
      </w:r>
      <w:r>
        <w:rPr>
          <w:rFonts w:hint="eastAsia" w:ascii="仿宋_GB2312" w:hAnsi="仿宋_GB2312" w:eastAsia="仿宋_GB2312" w:cs="仿宋_GB2312"/>
          <w:b w:val="0"/>
          <w:bCs w:val="0"/>
          <w:color w:val="auto"/>
          <w:sz w:val="32"/>
          <w:szCs w:val="32"/>
          <w:highlight w:val="none"/>
          <w:lang w:val="en-US" w:eastAsia="zh-CN"/>
        </w:rPr>
        <w:t>03</w:t>
      </w:r>
    </w:p>
    <w:p w14:paraId="3345D9CF">
      <w:pPr>
        <w:pStyle w:val="10"/>
        <w:tabs>
          <w:tab w:val="right" w:leader="dot" w:pos="9072"/>
        </w:tabs>
        <w:rPr>
          <w:rFonts w:hint="default"/>
          <w:lang w:val="en-US" w:eastAsia="zh-CN"/>
        </w:rPr>
      </w:pPr>
      <w:r>
        <w:rPr>
          <w:rFonts w:hint="eastAsia" w:ascii="仿宋_GB2312" w:hAnsi="仿宋_GB2312" w:eastAsia="仿宋_GB2312" w:cs="仿宋_GB2312"/>
          <w:b w:val="0"/>
          <w:bCs w:val="0"/>
          <w:color w:val="auto"/>
          <w:sz w:val="32"/>
          <w:szCs w:val="32"/>
          <w:highlight w:val="none"/>
        </w:rPr>
        <w:fldChar w:fldCharType="begin"/>
      </w:r>
      <w:r>
        <w:rPr>
          <w:rFonts w:hint="eastAsia" w:ascii="仿宋_GB2312" w:hAnsi="仿宋_GB2312" w:eastAsia="仿宋_GB2312" w:cs="仿宋_GB2312"/>
          <w:b w:val="0"/>
          <w:bCs w:val="0"/>
          <w:sz w:val="32"/>
          <w:szCs w:val="32"/>
          <w:highlight w:val="none"/>
        </w:rPr>
        <w:instrText xml:space="preserve"> HYPERLINK \l _Toc20538 </w:instrText>
      </w:r>
      <w:r>
        <w:rPr>
          <w:rFonts w:hint="eastAsia" w:ascii="仿宋_GB2312" w:hAnsi="仿宋_GB2312" w:eastAsia="仿宋_GB2312" w:cs="仿宋_GB2312"/>
          <w:b w:val="0"/>
          <w:bCs w:val="0"/>
          <w:sz w:val="32"/>
          <w:szCs w:val="32"/>
          <w:highlight w:val="none"/>
        </w:rPr>
        <w:fldChar w:fldCharType="separate"/>
      </w:r>
      <w:r>
        <w:rPr>
          <w:rFonts w:hint="eastAsia" w:ascii="仿宋_GB2312" w:hAnsi="仿宋_GB2312" w:eastAsia="仿宋_GB2312" w:cs="仿宋_GB2312"/>
          <w:b w:val="0"/>
          <w:bCs w:val="0"/>
          <w:sz w:val="32"/>
          <w:szCs w:val="32"/>
          <w:highlight w:val="none"/>
        </w:rPr>
        <w:t>1</w:t>
      </w:r>
      <w:r>
        <w:rPr>
          <w:rFonts w:hint="eastAsia" w:ascii="仿宋_GB2312" w:hAnsi="仿宋_GB2312" w:eastAsia="仿宋_GB2312" w:cs="仿宋_GB2312"/>
          <w:b w:val="0"/>
          <w:bCs w:val="0"/>
          <w:sz w:val="32"/>
          <w:szCs w:val="32"/>
          <w:highlight w:val="none"/>
          <w:lang w:val="en-US" w:eastAsia="zh-CN"/>
        </w:rPr>
        <w:t>8</w:t>
      </w:r>
      <w:r>
        <w:rPr>
          <w:rFonts w:hint="eastAsia" w:ascii="仿宋_GB2312" w:hAnsi="仿宋_GB2312" w:eastAsia="仿宋_GB2312" w:cs="仿宋_GB2312"/>
          <w:b w:val="0"/>
          <w:bCs w:val="0"/>
          <w:sz w:val="32"/>
          <w:szCs w:val="32"/>
          <w:highlight w:val="none"/>
        </w:rPr>
        <w:t>.保险</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lang w:val="en-US" w:eastAsia="zh-CN"/>
        </w:rPr>
        <w:t>2</w:t>
      </w:r>
      <w:r>
        <w:rPr>
          <w:rFonts w:hint="eastAsia" w:ascii="仿宋_GB2312" w:hAnsi="仿宋_GB2312" w:eastAsia="仿宋_GB2312" w:cs="仿宋_GB2312"/>
          <w:b w:val="0"/>
          <w:bCs w:val="0"/>
          <w:color w:val="auto"/>
          <w:sz w:val="32"/>
          <w:szCs w:val="32"/>
          <w:highlight w:val="none"/>
        </w:rPr>
        <w:fldChar w:fldCharType="end"/>
      </w:r>
      <w:r>
        <w:rPr>
          <w:rFonts w:hint="eastAsia" w:ascii="仿宋_GB2312" w:hAnsi="仿宋_GB2312" w:eastAsia="仿宋_GB2312" w:cs="仿宋_GB2312"/>
          <w:b w:val="0"/>
          <w:bCs w:val="0"/>
          <w:color w:val="auto"/>
          <w:sz w:val="32"/>
          <w:szCs w:val="32"/>
          <w:highlight w:val="none"/>
          <w:lang w:val="en-US" w:eastAsia="zh-CN"/>
        </w:rPr>
        <w:t>04</w:t>
      </w:r>
    </w:p>
    <w:p w14:paraId="498F94FA">
      <w:pPr>
        <w:pStyle w:val="10"/>
        <w:tabs>
          <w:tab w:val="right" w:leader="dot" w:pos="9072"/>
        </w:tabs>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color w:val="auto"/>
          <w:sz w:val="32"/>
          <w:szCs w:val="32"/>
          <w:highlight w:val="none"/>
        </w:rPr>
        <w:fldChar w:fldCharType="begin"/>
      </w:r>
      <w:r>
        <w:rPr>
          <w:rFonts w:hint="eastAsia" w:ascii="仿宋_GB2312" w:hAnsi="仿宋_GB2312" w:eastAsia="仿宋_GB2312" w:cs="仿宋_GB2312"/>
          <w:b w:val="0"/>
          <w:bCs w:val="0"/>
          <w:sz w:val="32"/>
          <w:szCs w:val="32"/>
          <w:highlight w:val="none"/>
        </w:rPr>
        <w:instrText xml:space="preserve"> HYPERLINK \l _Toc20712 </w:instrText>
      </w:r>
      <w:r>
        <w:rPr>
          <w:rFonts w:hint="eastAsia" w:ascii="仿宋_GB2312" w:hAnsi="仿宋_GB2312" w:eastAsia="仿宋_GB2312" w:cs="仿宋_GB2312"/>
          <w:b w:val="0"/>
          <w:bCs w:val="0"/>
          <w:sz w:val="32"/>
          <w:szCs w:val="32"/>
          <w:highlight w:val="none"/>
        </w:rPr>
        <w:fldChar w:fldCharType="separate"/>
      </w:r>
      <w:r>
        <w:rPr>
          <w:rFonts w:hint="eastAsia" w:ascii="仿宋_GB2312" w:hAnsi="仿宋_GB2312" w:eastAsia="仿宋_GB2312" w:cs="仿宋_GB2312"/>
          <w:b w:val="0"/>
          <w:bCs w:val="0"/>
          <w:sz w:val="32"/>
          <w:szCs w:val="32"/>
          <w:highlight w:val="none"/>
          <w:lang w:val="en-US" w:eastAsia="zh-CN"/>
        </w:rPr>
        <w:t>19</w:t>
      </w:r>
      <w:r>
        <w:rPr>
          <w:rFonts w:hint="eastAsia" w:ascii="仿宋_GB2312" w:hAnsi="仿宋_GB2312" w:eastAsia="仿宋_GB2312" w:cs="仿宋_GB2312"/>
          <w:b w:val="0"/>
          <w:bCs w:val="0"/>
          <w:sz w:val="32"/>
          <w:szCs w:val="32"/>
          <w:highlight w:val="none"/>
        </w:rPr>
        <w:t>.</w:t>
      </w:r>
      <w:r>
        <w:rPr>
          <w:rFonts w:hint="eastAsia" w:ascii="仿宋_GB2312" w:hAnsi="仿宋_GB2312" w:eastAsia="仿宋_GB2312" w:cs="仿宋_GB2312"/>
          <w:b w:val="0"/>
          <w:bCs w:val="0"/>
          <w:sz w:val="32"/>
          <w:szCs w:val="32"/>
          <w:highlight w:val="none"/>
          <w:lang w:val="en-US" w:eastAsia="zh-CN"/>
        </w:rPr>
        <w:t>索赔</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lang w:val="en-US" w:eastAsia="zh-CN"/>
        </w:rPr>
        <w:t>2</w:t>
      </w:r>
      <w:r>
        <w:rPr>
          <w:rFonts w:hint="eastAsia" w:ascii="仿宋_GB2312" w:hAnsi="仿宋_GB2312" w:eastAsia="仿宋_GB2312" w:cs="仿宋_GB2312"/>
          <w:b w:val="0"/>
          <w:bCs w:val="0"/>
          <w:color w:val="auto"/>
          <w:sz w:val="32"/>
          <w:szCs w:val="32"/>
          <w:highlight w:val="none"/>
        </w:rPr>
        <w:fldChar w:fldCharType="end"/>
      </w:r>
      <w:r>
        <w:rPr>
          <w:rFonts w:hint="eastAsia" w:ascii="仿宋_GB2312" w:hAnsi="仿宋_GB2312" w:eastAsia="仿宋_GB2312" w:cs="仿宋_GB2312"/>
          <w:b w:val="0"/>
          <w:bCs w:val="0"/>
          <w:color w:val="auto"/>
          <w:sz w:val="32"/>
          <w:szCs w:val="32"/>
          <w:highlight w:val="none"/>
          <w:lang w:val="en-US" w:eastAsia="zh-CN"/>
        </w:rPr>
        <w:t>05</w:t>
      </w:r>
    </w:p>
    <w:p w14:paraId="1C599DAC">
      <w:pPr>
        <w:pStyle w:val="10"/>
        <w:tabs>
          <w:tab w:val="right" w:leader="dot" w:pos="9072"/>
        </w:tabs>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rPr>
        <w:fldChar w:fldCharType="begin"/>
      </w:r>
      <w:r>
        <w:rPr>
          <w:rFonts w:hint="eastAsia" w:ascii="仿宋_GB2312" w:hAnsi="仿宋_GB2312" w:eastAsia="仿宋_GB2312" w:cs="仿宋_GB2312"/>
          <w:b w:val="0"/>
          <w:bCs w:val="0"/>
          <w:sz w:val="32"/>
          <w:szCs w:val="32"/>
          <w:highlight w:val="none"/>
        </w:rPr>
        <w:instrText xml:space="preserve"> HYPERLINK \l _Toc21518 </w:instrText>
      </w:r>
      <w:r>
        <w:rPr>
          <w:rFonts w:hint="eastAsia" w:ascii="仿宋_GB2312" w:hAnsi="仿宋_GB2312" w:eastAsia="仿宋_GB2312" w:cs="仿宋_GB2312"/>
          <w:b w:val="0"/>
          <w:bCs w:val="0"/>
          <w:sz w:val="32"/>
          <w:szCs w:val="32"/>
          <w:highlight w:val="none"/>
        </w:rPr>
        <w:fldChar w:fldCharType="separate"/>
      </w:r>
      <w:r>
        <w:rPr>
          <w:rFonts w:hint="eastAsia" w:ascii="仿宋_GB2312" w:hAnsi="仿宋_GB2312" w:eastAsia="仿宋_GB2312" w:cs="仿宋_GB2312"/>
          <w:b w:val="0"/>
          <w:bCs w:val="0"/>
          <w:sz w:val="32"/>
          <w:szCs w:val="32"/>
          <w:highlight w:val="none"/>
          <w:lang w:val="en-US" w:eastAsia="zh-CN"/>
        </w:rPr>
        <w:t>20</w:t>
      </w:r>
      <w:r>
        <w:rPr>
          <w:rFonts w:hint="eastAsia" w:ascii="仿宋_GB2312" w:hAnsi="仿宋_GB2312" w:eastAsia="仿宋_GB2312" w:cs="仿宋_GB2312"/>
          <w:b w:val="0"/>
          <w:bCs w:val="0"/>
          <w:sz w:val="32"/>
          <w:szCs w:val="32"/>
          <w:highlight w:val="none"/>
        </w:rPr>
        <w:t>.</w:t>
      </w:r>
      <w:r>
        <w:rPr>
          <w:rFonts w:hint="eastAsia" w:ascii="仿宋_GB2312" w:hAnsi="仿宋_GB2312" w:eastAsia="仿宋_GB2312" w:cs="仿宋_GB2312"/>
          <w:b w:val="0"/>
          <w:bCs w:val="0"/>
          <w:sz w:val="32"/>
          <w:szCs w:val="32"/>
          <w:highlight w:val="none"/>
          <w:lang w:val="en-US" w:eastAsia="zh-CN"/>
        </w:rPr>
        <w:t>争议解决</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lang w:val="en-US" w:eastAsia="zh-CN"/>
        </w:rPr>
        <w:t>2</w:t>
      </w:r>
      <w:r>
        <w:rPr>
          <w:rFonts w:hint="eastAsia" w:ascii="仿宋_GB2312" w:hAnsi="仿宋_GB2312" w:eastAsia="仿宋_GB2312" w:cs="仿宋_GB2312"/>
          <w:b w:val="0"/>
          <w:bCs w:val="0"/>
          <w:color w:val="auto"/>
          <w:sz w:val="32"/>
          <w:szCs w:val="32"/>
          <w:highlight w:val="none"/>
        </w:rPr>
        <w:fldChar w:fldCharType="end"/>
      </w:r>
      <w:r>
        <w:rPr>
          <w:rFonts w:hint="eastAsia" w:ascii="仿宋_GB2312" w:hAnsi="仿宋_GB2312" w:eastAsia="仿宋_GB2312" w:cs="仿宋_GB2312"/>
          <w:b w:val="0"/>
          <w:bCs w:val="0"/>
          <w:color w:val="auto"/>
          <w:sz w:val="32"/>
          <w:szCs w:val="32"/>
          <w:highlight w:val="none"/>
          <w:lang w:val="en-US" w:eastAsia="zh-CN"/>
        </w:rPr>
        <w:t>05</w:t>
      </w:r>
    </w:p>
    <w:p w14:paraId="0C5CD7B0">
      <w:pPr>
        <w:pStyle w:val="10"/>
        <w:tabs>
          <w:tab w:val="right" w:leader="dot" w:pos="9072"/>
        </w:tabs>
        <w:rPr>
          <w:rFonts w:hint="default"/>
          <w:sz w:val="32"/>
          <w:szCs w:val="32"/>
          <w:lang w:val="en-US" w:eastAsia="zh-CN"/>
        </w:rPr>
      </w:pPr>
      <w:r>
        <w:rPr>
          <w:rFonts w:hint="eastAsia" w:ascii="仿宋_GB2312" w:hAnsi="仿宋_GB2312" w:eastAsia="仿宋_GB2312" w:cs="仿宋_GB2312"/>
          <w:b w:val="0"/>
          <w:bCs w:val="0"/>
          <w:color w:val="auto"/>
          <w:sz w:val="32"/>
          <w:szCs w:val="32"/>
          <w:highlight w:val="none"/>
        </w:rPr>
        <w:fldChar w:fldCharType="begin"/>
      </w:r>
      <w:r>
        <w:rPr>
          <w:rFonts w:hint="eastAsia" w:ascii="仿宋_GB2312" w:hAnsi="仿宋_GB2312" w:eastAsia="仿宋_GB2312" w:cs="仿宋_GB2312"/>
          <w:b w:val="0"/>
          <w:bCs w:val="0"/>
          <w:sz w:val="32"/>
          <w:szCs w:val="32"/>
          <w:highlight w:val="none"/>
        </w:rPr>
        <w:instrText xml:space="preserve"> HYPERLINK \l _Toc21518 </w:instrText>
      </w:r>
      <w:r>
        <w:rPr>
          <w:rFonts w:hint="eastAsia" w:ascii="仿宋_GB2312" w:hAnsi="仿宋_GB2312" w:eastAsia="仿宋_GB2312" w:cs="仿宋_GB2312"/>
          <w:b w:val="0"/>
          <w:bCs w:val="0"/>
          <w:sz w:val="32"/>
          <w:szCs w:val="32"/>
          <w:highlight w:val="none"/>
        </w:rPr>
        <w:fldChar w:fldCharType="separate"/>
      </w:r>
      <w:r>
        <w:rPr>
          <w:rFonts w:hint="eastAsia" w:ascii="仿宋_GB2312" w:hAnsi="仿宋_GB2312" w:eastAsia="仿宋_GB2312" w:cs="仿宋_GB2312"/>
          <w:b w:val="0"/>
          <w:bCs w:val="0"/>
          <w:sz w:val="32"/>
          <w:szCs w:val="32"/>
          <w:highlight w:val="none"/>
          <w:lang w:val="en-US" w:eastAsia="zh-CN"/>
        </w:rPr>
        <w:t>21</w:t>
      </w:r>
      <w:r>
        <w:rPr>
          <w:rFonts w:hint="eastAsia" w:ascii="仿宋_GB2312" w:hAnsi="仿宋_GB2312" w:eastAsia="仿宋_GB2312" w:cs="仿宋_GB2312"/>
          <w:b w:val="0"/>
          <w:bCs w:val="0"/>
          <w:sz w:val="32"/>
          <w:szCs w:val="32"/>
          <w:highlight w:val="none"/>
        </w:rPr>
        <w:t>.</w:t>
      </w:r>
      <w:r>
        <w:rPr>
          <w:rFonts w:hint="eastAsia" w:ascii="仿宋_GB2312" w:hAnsi="仿宋_GB2312" w:eastAsia="仿宋_GB2312" w:cs="仿宋_GB2312"/>
          <w:b w:val="0"/>
          <w:bCs w:val="0"/>
          <w:sz w:val="32"/>
          <w:szCs w:val="32"/>
          <w:highlight w:val="none"/>
          <w:lang w:val="en-US" w:eastAsia="zh-CN"/>
        </w:rPr>
        <w:t>补充条款</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lang w:val="en-US" w:eastAsia="zh-CN"/>
        </w:rPr>
        <w:t>2</w:t>
      </w:r>
      <w:r>
        <w:rPr>
          <w:rFonts w:hint="eastAsia" w:ascii="仿宋_GB2312" w:hAnsi="仿宋_GB2312" w:eastAsia="仿宋_GB2312" w:cs="仿宋_GB2312"/>
          <w:b w:val="0"/>
          <w:bCs w:val="0"/>
          <w:color w:val="auto"/>
          <w:sz w:val="32"/>
          <w:szCs w:val="32"/>
          <w:highlight w:val="none"/>
        </w:rPr>
        <w:fldChar w:fldCharType="end"/>
      </w:r>
      <w:r>
        <w:rPr>
          <w:rFonts w:hint="eastAsia" w:ascii="仿宋_GB2312" w:hAnsi="仿宋_GB2312" w:eastAsia="仿宋_GB2312" w:cs="仿宋_GB2312"/>
          <w:b w:val="0"/>
          <w:bCs w:val="0"/>
          <w:color w:val="auto"/>
          <w:sz w:val="32"/>
          <w:szCs w:val="32"/>
          <w:highlight w:val="none"/>
          <w:lang w:val="en-US" w:eastAsia="zh-CN"/>
        </w:rPr>
        <w:t>06</w:t>
      </w:r>
    </w:p>
    <w:p w14:paraId="2CD0A044">
      <w:pPr>
        <w:pStyle w:val="10"/>
        <w:tabs>
          <w:tab w:val="right" w:leader="dot" w:pos="9072"/>
        </w:tabs>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color w:val="auto"/>
          <w:sz w:val="32"/>
          <w:szCs w:val="32"/>
          <w:highlight w:val="none"/>
        </w:rPr>
        <w:fldChar w:fldCharType="begin"/>
      </w:r>
      <w:r>
        <w:rPr>
          <w:rFonts w:hint="eastAsia" w:ascii="仿宋_GB2312" w:hAnsi="仿宋_GB2312" w:eastAsia="仿宋_GB2312" w:cs="仿宋_GB2312"/>
          <w:b w:val="0"/>
          <w:bCs w:val="0"/>
          <w:sz w:val="32"/>
          <w:szCs w:val="32"/>
          <w:highlight w:val="none"/>
        </w:rPr>
        <w:instrText xml:space="preserve"> HYPERLINK \l _Toc29499 </w:instrText>
      </w:r>
      <w:r>
        <w:rPr>
          <w:rFonts w:hint="eastAsia" w:ascii="仿宋_GB2312" w:hAnsi="仿宋_GB2312" w:eastAsia="仿宋_GB2312" w:cs="仿宋_GB2312"/>
          <w:b w:val="0"/>
          <w:bCs w:val="0"/>
          <w:sz w:val="32"/>
          <w:szCs w:val="32"/>
          <w:highlight w:val="none"/>
        </w:rPr>
        <w:fldChar w:fldCharType="separate"/>
      </w:r>
      <w:r>
        <w:rPr>
          <w:rFonts w:hint="eastAsia" w:ascii="仿宋_GB2312" w:hAnsi="仿宋_GB2312" w:eastAsia="仿宋_GB2312" w:cs="仿宋_GB2312"/>
          <w:b w:val="0"/>
          <w:bCs w:val="0"/>
          <w:sz w:val="32"/>
          <w:szCs w:val="32"/>
          <w:highlight w:val="none"/>
          <w:lang w:val="en-US" w:eastAsia="zh-CN"/>
        </w:rPr>
        <w:t>22.</w:t>
      </w:r>
      <w:r>
        <w:rPr>
          <w:rFonts w:hint="eastAsia" w:ascii="仿宋_GB2312" w:hAnsi="仿宋_GB2312" w:eastAsia="仿宋_GB2312" w:cs="仿宋_GB2312"/>
          <w:b w:val="0"/>
          <w:bCs w:val="0"/>
          <w:sz w:val="32"/>
          <w:szCs w:val="32"/>
          <w:highlight w:val="none"/>
        </w:rPr>
        <w:t>附件</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lang w:val="en-US" w:eastAsia="zh-CN"/>
        </w:rPr>
        <w:t>2</w:t>
      </w:r>
      <w:r>
        <w:rPr>
          <w:rFonts w:hint="eastAsia" w:ascii="仿宋_GB2312" w:hAnsi="仿宋_GB2312" w:eastAsia="仿宋_GB2312" w:cs="仿宋_GB2312"/>
          <w:b w:val="0"/>
          <w:bCs w:val="0"/>
          <w:color w:val="auto"/>
          <w:sz w:val="32"/>
          <w:szCs w:val="32"/>
          <w:highlight w:val="none"/>
        </w:rPr>
        <w:fldChar w:fldCharType="end"/>
      </w:r>
      <w:r>
        <w:rPr>
          <w:rFonts w:hint="eastAsia" w:ascii="仿宋_GB2312" w:hAnsi="仿宋_GB2312" w:eastAsia="仿宋_GB2312" w:cs="仿宋_GB2312"/>
          <w:b w:val="0"/>
          <w:bCs w:val="0"/>
          <w:color w:val="auto"/>
          <w:sz w:val="32"/>
          <w:szCs w:val="32"/>
          <w:highlight w:val="none"/>
          <w:lang w:val="en-US" w:eastAsia="zh-CN"/>
        </w:rPr>
        <w:t>07</w:t>
      </w:r>
    </w:p>
    <w:p w14:paraId="1BB03D88">
      <w:pPr>
        <w:pStyle w:val="9"/>
        <w:tabs>
          <w:tab w:val="right" w:leader="dot" w:pos="9072"/>
          <w:tab w:val="clear" w:pos="8296"/>
        </w:tabs>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color w:val="auto"/>
          <w:sz w:val="32"/>
          <w:szCs w:val="32"/>
          <w:highlight w:val="none"/>
        </w:rPr>
        <w:fldChar w:fldCharType="begin"/>
      </w:r>
      <w:r>
        <w:rPr>
          <w:rFonts w:hint="eastAsia" w:ascii="仿宋_GB2312" w:hAnsi="仿宋_GB2312" w:eastAsia="仿宋_GB2312" w:cs="仿宋_GB2312"/>
          <w:b w:val="0"/>
          <w:bCs w:val="0"/>
          <w:sz w:val="32"/>
          <w:szCs w:val="32"/>
          <w:highlight w:val="none"/>
        </w:rPr>
        <w:instrText xml:space="preserve"> HYPERLINK \l _Toc13127 </w:instrText>
      </w:r>
      <w:r>
        <w:rPr>
          <w:rFonts w:hint="eastAsia" w:ascii="仿宋_GB2312" w:hAnsi="仿宋_GB2312" w:eastAsia="仿宋_GB2312" w:cs="仿宋_GB2312"/>
          <w:b w:val="0"/>
          <w:bCs w:val="0"/>
          <w:sz w:val="32"/>
          <w:szCs w:val="32"/>
          <w:highlight w:val="none"/>
        </w:rPr>
        <w:fldChar w:fldCharType="separate"/>
      </w:r>
      <w:r>
        <w:rPr>
          <w:rFonts w:hint="eastAsia" w:ascii="仿宋_GB2312" w:hAnsi="仿宋_GB2312" w:eastAsia="仿宋_GB2312" w:cs="仿宋_GB2312"/>
          <w:b w:val="0"/>
          <w:bCs w:val="0"/>
          <w:sz w:val="32"/>
          <w:szCs w:val="32"/>
          <w:highlight w:val="none"/>
        </w:rPr>
        <w:t>第四部分 中标通知书</w:t>
      </w:r>
      <w:r>
        <w:rPr>
          <w:rFonts w:hint="eastAsia" w:ascii="仿宋_GB2312" w:hAnsi="仿宋_GB2312" w:eastAsia="仿宋_GB2312" w:cs="仿宋_GB2312"/>
          <w:b w:val="0"/>
          <w:bCs w:val="0"/>
          <w:sz w:val="32"/>
          <w:szCs w:val="32"/>
          <w:highlight w:val="none"/>
          <w:lang w:val="en-US" w:eastAsia="zh-CN"/>
        </w:rPr>
        <w:t>..</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lang w:val="en-US" w:eastAsia="zh-CN"/>
        </w:rPr>
        <w:t>2</w:t>
      </w:r>
      <w:r>
        <w:rPr>
          <w:rFonts w:hint="eastAsia" w:ascii="仿宋_GB2312" w:hAnsi="仿宋_GB2312" w:eastAsia="仿宋_GB2312" w:cs="仿宋_GB2312"/>
          <w:b w:val="0"/>
          <w:bCs w:val="0"/>
          <w:color w:val="auto"/>
          <w:sz w:val="32"/>
          <w:szCs w:val="32"/>
          <w:highlight w:val="none"/>
        </w:rPr>
        <w:fldChar w:fldCharType="end"/>
      </w:r>
      <w:r>
        <w:rPr>
          <w:rFonts w:hint="eastAsia" w:ascii="仿宋_GB2312" w:hAnsi="仿宋_GB2312" w:eastAsia="仿宋_GB2312" w:cs="仿宋_GB2312"/>
          <w:b w:val="0"/>
          <w:bCs w:val="0"/>
          <w:color w:val="auto"/>
          <w:sz w:val="32"/>
          <w:szCs w:val="32"/>
          <w:highlight w:val="none"/>
          <w:lang w:val="en-US" w:eastAsia="zh-CN"/>
        </w:rPr>
        <w:t>65</w:t>
      </w:r>
    </w:p>
    <w:p w14:paraId="392B9DE2">
      <w:pPr>
        <w:pStyle w:val="9"/>
        <w:tabs>
          <w:tab w:val="right" w:leader="dot" w:pos="9072"/>
          <w:tab w:val="clear" w:pos="8296"/>
        </w:tabs>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color w:val="auto"/>
          <w:sz w:val="32"/>
          <w:szCs w:val="32"/>
          <w:highlight w:val="none"/>
        </w:rPr>
        <w:fldChar w:fldCharType="begin"/>
      </w:r>
      <w:r>
        <w:rPr>
          <w:rFonts w:hint="eastAsia" w:ascii="仿宋_GB2312" w:hAnsi="仿宋_GB2312" w:eastAsia="仿宋_GB2312" w:cs="仿宋_GB2312"/>
          <w:b w:val="0"/>
          <w:bCs w:val="0"/>
          <w:sz w:val="32"/>
          <w:szCs w:val="32"/>
          <w:highlight w:val="none"/>
        </w:rPr>
        <w:instrText xml:space="preserve"> HYPERLINK \l _Toc5148 </w:instrText>
      </w:r>
      <w:r>
        <w:rPr>
          <w:rFonts w:hint="eastAsia" w:ascii="仿宋_GB2312" w:hAnsi="仿宋_GB2312" w:eastAsia="仿宋_GB2312" w:cs="仿宋_GB2312"/>
          <w:b w:val="0"/>
          <w:bCs w:val="0"/>
          <w:sz w:val="32"/>
          <w:szCs w:val="32"/>
          <w:highlight w:val="none"/>
        </w:rPr>
        <w:fldChar w:fldCharType="separate"/>
      </w:r>
      <w:r>
        <w:rPr>
          <w:rFonts w:hint="eastAsia" w:ascii="仿宋_GB2312" w:hAnsi="仿宋_GB2312" w:eastAsia="仿宋_GB2312" w:cs="仿宋_GB2312"/>
          <w:b w:val="0"/>
          <w:bCs w:val="0"/>
          <w:sz w:val="32"/>
          <w:szCs w:val="32"/>
          <w:highlight w:val="none"/>
        </w:rPr>
        <w:t>第五部分 技术条款</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color w:val="auto"/>
          <w:sz w:val="32"/>
          <w:szCs w:val="32"/>
          <w:highlight w:val="none"/>
        </w:rPr>
        <w:fldChar w:fldCharType="end"/>
      </w:r>
      <w:r>
        <w:rPr>
          <w:rFonts w:hint="eastAsia" w:ascii="仿宋_GB2312" w:hAnsi="仿宋_GB2312" w:eastAsia="仿宋_GB2312" w:cs="仿宋_GB2312"/>
          <w:b w:val="0"/>
          <w:bCs w:val="0"/>
          <w:color w:val="auto"/>
          <w:sz w:val="32"/>
          <w:szCs w:val="32"/>
          <w:highlight w:val="none"/>
          <w:lang w:val="en-US" w:eastAsia="zh-CN"/>
        </w:rPr>
        <w:t>266</w:t>
      </w:r>
    </w:p>
    <w:p w14:paraId="5A4F4004">
      <w:pPr>
        <w:pStyle w:val="9"/>
        <w:tabs>
          <w:tab w:val="right" w:leader="dot" w:pos="9072"/>
          <w:tab w:val="clear" w:pos="8296"/>
        </w:tabs>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color w:val="auto"/>
          <w:sz w:val="32"/>
          <w:szCs w:val="32"/>
          <w:highlight w:val="none"/>
        </w:rPr>
        <w:fldChar w:fldCharType="begin"/>
      </w:r>
      <w:r>
        <w:rPr>
          <w:rFonts w:hint="eastAsia" w:ascii="仿宋_GB2312" w:hAnsi="仿宋_GB2312" w:eastAsia="仿宋_GB2312" w:cs="仿宋_GB2312"/>
          <w:b w:val="0"/>
          <w:bCs w:val="0"/>
          <w:sz w:val="32"/>
          <w:szCs w:val="32"/>
          <w:highlight w:val="none"/>
        </w:rPr>
        <w:instrText xml:space="preserve"> HYPERLINK \l _Toc24996 </w:instrText>
      </w:r>
      <w:r>
        <w:rPr>
          <w:rFonts w:hint="eastAsia" w:ascii="仿宋_GB2312" w:hAnsi="仿宋_GB2312" w:eastAsia="仿宋_GB2312" w:cs="仿宋_GB2312"/>
          <w:b w:val="0"/>
          <w:bCs w:val="0"/>
          <w:sz w:val="32"/>
          <w:szCs w:val="32"/>
          <w:highlight w:val="none"/>
        </w:rPr>
        <w:fldChar w:fldCharType="separate"/>
      </w:r>
      <w:r>
        <w:rPr>
          <w:rFonts w:hint="eastAsia" w:ascii="仿宋_GB2312" w:hAnsi="仿宋_GB2312" w:eastAsia="仿宋_GB2312" w:cs="仿宋_GB2312"/>
          <w:b w:val="0"/>
          <w:bCs w:val="0"/>
          <w:sz w:val="32"/>
          <w:szCs w:val="32"/>
          <w:highlight w:val="none"/>
        </w:rPr>
        <w:t>第六部分 合同图纸</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color w:val="auto"/>
          <w:sz w:val="32"/>
          <w:szCs w:val="32"/>
          <w:highlight w:val="none"/>
        </w:rPr>
        <w:fldChar w:fldCharType="end"/>
      </w:r>
      <w:r>
        <w:rPr>
          <w:rFonts w:hint="eastAsia" w:ascii="仿宋_GB2312" w:hAnsi="仿宋_GB2312" w:eastAsia="仿宋_GB2312" w:cs="仿宋_GB2312"/>
          <w:b w:val="0"/>
          <w:bCs w:val="0"/>
          <w:color w:val="auto"/>
          <w:sz w:val="32"/>
          <w:szCs w:val="32"/>
          <w:highlight w:val="none"/>
          <w:lang w:val="en-US" w:eastAsia="zh-CN"/>
        </w:rPr>
        <w:t>267</w:t>
      </w:r>
    </w:p>
    <w:p w14:paraId="44E26778">
      <w:pPr>
        <w:pStyle w:val="9"/>
        <w:tabs>
          <w:tab w:val="right" w:leader="dot" w:pos="9072"/>
          <w:tab w:val="clear" w:pos="8296"/>
        </w:tabs>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color w:val="auto"/>
          <w:sz w:val="32"/>
          <w:szCs w:val="32"/>
          <w:highlight w:val="none"/>
        </w:rPr>
        <w:fldChar w:fldCharType="begin"/>
      </w:r>
      <w:r>
        <w:rPr>
          <w:rFonts w:hint="eastAsia" w:ascii="仿宋_GB2312" w:hAnsi="仿宋_GB2312" w:eastAsia="仿宋_GB2312" w:cs="仿宋_GB2312"/>
          <w:b w:val="0"/>
          <w:bCs w:val="0"/>
          <w:sz w:val="32"/>
          <w:szCs w:val="32"/>
          <w:highlight w:val="none"/>
        </w:rPr>
        <w:instrText xml:space="preserve"> HYPERLINK \l _Toc28708 </w:instrText>
      </w:r>
      <w:r>
        <w:rPr>
          <w:rFonts w:hint="eastAsia" w:ascii="仿宋_GB2312" w:hAnsi="仿宋_GB2312" w:eastAsia="仿宋_GB2312" w:cs="仿宋_GB2312"/>
          <w:b w:val="0"/>
          <w:bCs w:val="0"/>
          <w:sz w:val="32"/>
          <w:szCs w:val="32"/>
          <w:highlight w:val="none"/>
        </w:rPr>
        <w:fldChar w:fldCharType="separate"/>
      </w:r>
      <w:r>
        <w:rPr>
          <w:rFonts w:hint="eastAsia" w:ascii="仿宋_GB2312" w:hAnsi="仿宋_GB2312" w:eastAsia="仿宋_GB2312" w:cs="仿宋_GB2312"/>
          <w:b w:val="0"/>
          <w:bCs w:val="0"/>
          <w:sz w:val="32"/>
          <w:szCs w:val="32"/>
          <w:highlight w:val="none"/>
        </w:rPr>
        <w:t>第七部分 构成本合同组成部分的其他文件</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lang w:val="en-US" w:eastAsia="zh-CN"/>
        </w:rPr>
        <w:t>2</w:t>
      </w:r>
      <w:r>
        <w:rPr>
          <w:rFonts w:hint="eastAsia" w:ascii="仿宋_GB2312" w:hAnsi="仿宋_GB2312" w:eastAsia="仿宋_GB2312" w:cs="仿宋_GB2312"/>
          <w:b w:val="0"/>
          <w:bCs w:val="0"/>
          <w:color w:val="auto"/>
          <w:sz w:val="32"/>
          <w:szCs w:val="32"/>
          <w:highlight w:val="none"/>
        </w:rPr>
        <w:fldChar w:fldCharType="end"/>
      </w:r>
      <w:r>
        <w:rPr>
          <w:rFonts w:hint="eastAsia" w:ascii="仿宋_GB2312" w:hAnsi="仿宋_GB2312" w:eastAsia="仿宋_GB2312" w:cs="仿宋_GB2312"/>
          <w:b w:val="0"/>
          <w:bCs w:val="0"/>
          <w:color w:val="auto"/>
          <w:sz w:val="32"/>
          <w:szCs w:val="32"/>
          <w:highlight w:val="none"/>
          <w:lang w:val="en-US" w:eastAsia="zh-CN"/>
        </w:rPr>
        <w:t>68</w:t>
      </w:r>
    </w:p>
    <w:p w14:paraId="57F2B573">
      <w:pPr>
        <w:pStyle w:val="9"/>
        <w:tabs>
          <w:tab w:val="right" w:leader="dot" w:pos="9072"/>
          <w:tab w:val="clear" w:pos="8296"/>
        </w:tabs>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color w:val="auto"/>
          <w:sz w:val="32"/>
          <w:szCs w:val="32"/>
          <w:highlight w:val="none"/>
        </w:rPr>
        <w:fldChar w:fldCharType="begin"/>
      </w:r>
      <w:r>
        <w:rPr>
          <w:rFonts w:hint="eastAsia" w:ascii="仿宋_GB2312" w:hAnsi="仿宋_GB2312" w:eastAsia="仿宋_GB2312" w:cs="仿宋_GB2312"/>
          <w:b w:val="0"/>
          <w:bCs w:val="0"/>
          <w:sz w:val="32"/>
          <w:szCs w:val="32"/>
          <w:highlight w:val="none"/>
        </w:rPr>
        <w:instrText xml:space="preserve"> HYPERLINK \l _Toc18891 </w:instrText>
      </w:r>
      <w:r>
        <w:rPr>
          <w:rFonts w:hint="eastAsia" w:ascii="仿宋_GB2312" w:hAnsi="仿宋_GB2312" w:eastAsia="仿宋_GB2312" w:cs="仿宋_GB2312"/>
          <w:b w:val="0"/>
          <w:bCs w:val="0"/>
          <w:sz w:val="32"/>
          <w:szCs w:val="32"/>
          <w:highlight w:val="none"/>
        </w:rPr>
        <w:fldChar w:fldCharType="separate"/>
      </w:r>
      <w:r>
        <w:rPr>
          <w:rFonts w:hint="eastAsia" w:ascii="仿宋_GB2312" w:hAnsi="仿宋_GB2312" w:eastAsia="仿宋_GB2312" w:cs="仿宋_GB2312"/>
          <w:b w:val="0"/>
          <w:bCs w:val="0"/>
          <w:sz w:val="32"/>
          <w:szCs w:val="32"/>
          <w:lang w:val="en-US" w:eastAsia="zh-CN"/>
        </w:rPr>
        <w:t xml:space="preserve">第八部分 </w:t>
      </w:r>
      <w:r>
        <w:rPr>
          <w:rFonts w:hint="eastAsia" w:ascii="仿宋_GB2312" w:hAnsi="仿宋_GB2312" w:eastAsia="仿宋_GB2312" w:cs="仿宋_GB2312"/>
          <w:b w:val="0"/>
          <w:bCs w:val="0"/>
          <w:sz w:val="32"/>
          <w:szCs w:val="32"/>
          <w:highlight w:val="none"/>
        </w:rPr>
        <w:t>投标函及</w:t>
      </w:r>
      <w:r>
        <w:rPr>
          <w:rFonts w:hint="eastAsia" w:ascii="仿宋_GB2312" w:hAnsi="仿宋_GB2312" w:eastAsia="仿宋_GB2312" w:cs="仿宋_GB2312"/>
          <w:b w:val="0"/>
          <w:bCs w:val="0"/>
          <w:sz w:val="32"/>
          <w:szCs w:val="32"/>
          <w:highlight w:val="none"/>
          <w:lang w:val="en-US" w:eastAsia="zh-CN"/>
        </w:rPr>
        <w:t>投标函附录</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color w:val="auto"/>
          <w:sz w:val="32"/>
          <w:szCs w:val="32"/>
          <w:highlight w:val="none"/>
        </w:rPr>
        <w:fldChar w:fldCharType="end"/>
      </w:r>
      <w:r>
        <w:rPr>
          <w:rFonts w:hint="eastAsia" w:ascii="仿宋_GB2312" w:hAnsi="仿宋_GB2312" w:eastAsia="仿宋_GB2312" w:cs="仿宋_GB2312"/>
          <w:b w:val="0"/>
          <w:bCs w:val="0"/>
          <w:color w:val="auto"/>
          <w:sz w:val="32"/>
          <w:szCs w:val="32"/>
          <w:highlight w:val="none"/>
          <w:lang w:val="en-US" w:eastAsia="zh-CN"/>
        </w:rPr>
        <w:t>269</w:t>
      </w:r>
    </w:p>
    <w:p w14:paraId="3A7D79AE">
      <w:pPr>
        <w:pStyle w:val="9"/>
        <w:tabs>
          <w:tab w:val="right" w:leader="dot" w:pos="9072"/>
          <w:tab w:val="clear" w:pos="8296"/>
        </w:tabs>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color w:val="auto"/>
          <w:sz w:val="32"/>
          <w:szCs w:val="32"/>
          <w:highlight w:val="none"/>
        </w:rPr>
        <w:fldChar w:fldCharType="begin"/>
      </w:r>
      <w:r>
        <w:rPr>
          <w:rFonts w:hint="eastAsia" w:ascii="仿宋_GB2312" w:hAnsi="仿宋_GB2312" w:eastAsia="仿宋_GB2312" w:cs="仿宋_GB2312"/>
          <w:b w:val="0"/>
          <w:bCs w:val="0"/>
          <w:sz w:val="32"/>
          <w:szCs w:val="32"/>
          <w:highlight w:val="none"/>
        </w:rPr>
        <w:instrText xml:space="preserve"> HYPERLINK \l _Toc11789 </w:instrText>
      </w:r>
      <w:r>
        <w:rPr>
          <w:rFonts w:hint="eastAsia" w:ascii="仿宋_GB2312" w:hAnsi="仿宋_GB2312" w:eastAsia="仿宋_GB2312" w:cs="仿宋_GB2312"/>
          <w:b w:val="0"/>
          <w:bCs w:val="0"/>
          <w:sz w:val="32"/>
          <w:szCs w:val="32"/>
          <w:highlight w:val="none"/>
        </w:rPr>
        <w:fldChar w:fldCharType="separate"/>
      </w:r>
      <w:r>
        <w:rPr>
          <w:rFonts w:hint="eastAsia" w:ascii="仿宋_GB2312" w:hAnsi="仿宋_GB2312" w:eastAsia="仿宋_GB2312" w:cs="仿宋_GB2312"/>
          <w:b w:val="0"/>
          <w:bCs w:val="0"/>
          <w:sz w:val="32"/>
          <w:szCs w:val="32"/>
        </w:rPr>
        <w:t xml:space="preserve">第九部分 </w:t>
      </w:r>
      <w:r>
        <w:rPr>
          <w:rFonts w:hint="eastAsia" w:ascii="仿宋_GB2312" w:hAnsi="仿宋_GB2312" w:eastAsia="仿宋_GB2312" w:cs="仿宋_GB2312"/>
          <w:b w:val="0"/>
          <w:bCs w:val="0"/>
          <w:sz w:val="32"/>
          <w:szCs w:val="32"/>
          <w:highlight w:val="none"/>
        </w:rPr>
        <w:t>已标价工程量清单</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color w:val="auto"/>
          <w:sz w:val="32"/>
          <w:szCs w:val="32"/>
          <w:highlight w:val="none"/>
        </w:rPr>
        <w:fldChar w:fldCharType="end"/>
      </w:r>
      <w:r>
        <w:rPr>
          <w:rFonts w:hint="eastAsia" w:ascii="仿宋_GB2312" w:hAnsi="仿宋_GB2312" w:eastAsia="仿宋_GB2312" w:cs="仿宋_GB2312"/>
          <w:b w:val="0"/>
          <w:bCs w:val="0"/>
          <w:color w:val="auto"/>
          <w:sz w:val="32"/>
          <w:szCs w:val="32"/>
          <w:highlight w:val="none"/>
          <w:lang w:val="en-US" w:eastAsia="zh-CN"/>
        </w:rPr>
        <w:t>270</w:t>
      </w:r>
    </w:p>
    <w:p w14:paraId="2ABA36D1">
      <w:pPr>
        <w:pStyle w:val="2"/>
        <w:pageBreakBefore w:val="0"/>
        <w:widowControl w:val="0"/>
        <w:kinsoku/>
        <w:wordWrap/>
        <w:overflowPunct/>
        <w:topLinePunct w:val="0"/>
        <w:autoSpaceDE/>
        <w:autoSpaceDN/>
        <w:bidi w:val="0"/>
        <w:adjustRightInd/>
        <w:snapToGrid w:val="0"/>
        <w:spacing w:before="0" w:after="0" w:line="500" w:lineRule="exact"/>
        <w:jc w:val="distribute"/>
        <w:textAlignment w:val="auto"/>
        <w:rPr>
          <w:rFonts w:ascii="仿宋" w:hAnsi="仿宋" w:eastAsia="仿宋" w:cs="仿宋"/>
          <w:color w:val="auto"/>
          <w:sz w:val="28"/>
          <w:szCs w:val="28"/>
          <w:highlight w:val="none"/>
        </w:rPr>
        <w:sectPr>
          <w:footerReference r:id="rId13" w:type="default"/>
          <w:pgSz w:w="11906" w:h="16838"/>
          <w:pgMar w:top="1417" w:right="1417" w:bottom="1417" w:left="1417" w:header="851" w:footer="992" w:gutter="0"/>
          <w:pgNumType w:fmt="decimal" w:start="1"/>
          <w:cols w:space="720" w:num="1"/>
          <w:docGrid w:type="lines" w:linePitch="312" w:charSpace="0"/>
        </w:sectPr>
      </w:pPr>
      <w:r>
        <w:rPr>
          <w:rFonts w:hint="eastAsia" w:ascii="仿宋_GB2312" w:hAnsi="仿宋_GB2312" w:eastAsia="仿宋_GB2312" w:cs="仿宋_GB2312"/>
          <w:b w:val="0"/>
          <w:bCs w:val="0"/>
          <w:color w:val="auto"/>
          <w:sz w:val="32"/>
          <w:szCs w:val="32"/>
          <w:highlight w:val="none"/>
        </w:rPr>
        <w:fldChar w:fldCharType="end"/>
      </w:r>
    </w:p>
    <w:p w14:paraId="14CF4F10">
      <w:pPr>
        <w:spacing w:line="360" w:lineRule="auto"/>
        <w:jc w:val="center"/>
        <w:outlineLvl w:val="0"/>
        <w:rPr>
          <w:rFonts w:hint="eastAsia" w:ascii="方正小标宋简体" w:hAnsi="方正小标宋简体" w:eastAsia="方正小标宋简体" w:cs="方正小标宋简体"/>
          <w:b w:val="0"/>
          <w:bCs w:val="0"/>
          <w:color w:val="auto"/>
          <w:sz w:val="44"/>
          <w:szCs w:val="44"/>
          <w:highlight w:val="none"/>
        </w:rPr>
      </w:pPr>
      <w:bookmarkStart w:id="0" w:name="_Toc7731"/>
      <w:bookmarkStart w:id="1" w:name="_Toc7713"/>
      <w:bookmarkStart w:id="2" w:name="_Toc14037"/>
      <w:bookmarkStart w:id="3" w:name="_Toc3397"/>
      <w:bookmarkStart w:id="4" w:name="_Toc27331"/>
      <w:bookmarkStart w:id="5" w:name="_Toc28971"/>
      <w:bookmarkStart w:id="6" w:name="_Toc22169"/>
      <w:bookmarkStart w:id="7" w:name="_Toc9749"/>
      <w:bookmarkStart w:id="8" w:name="_Toc24725"/>
      <w:bookmarkStart w:id="9" w:name="_Toc12668"/>
      <w:r>
        <w:rPr>
          <w:rFonts w:hint="eastAsia" w:ascii="方正小标宋简体" w:hAnsi="方正小标宋简体" w:eastAsia="方正小标宋简体" w:cs="方正小标宋简体"/>
          <w:b w:val="0"/>
          <w:bCs w:val="0"/>
          <w:color w:val="auto"/>
          <w:sz w:val="44"/>
          <w:szCs w:val="44"/>
          <w:highlight w:val="none"/>
        </w:rPr>
        <w:t>第一部分 合同协议书</w:t>
      </w:r>
      <w:bookmarkEnd w:id="0"/>
      <w:bookmarkEnd w:id="1"/>
      <w:bookmarkEnd w:id="2"/>
      <w:bookmarkEnd w:id="3"/>
      <w:bookmarkEnd w:id="4"/>
      <w:bookmarkEnd w:id="5"/>
      <w:bookmarkEnd w:id="6"/>
      <w:bookmarkEnd w:id="7"/>
      <w:bookmarkEnd w:id="8"/>
      <w:bookmarkEnd w:id="9"/>
    </w:p>
    <w:p w14:paraId="54D1CAFE">
      <w:pPr>
        <w:keepNext w:val="0"/>
        <w:keepLines w:val="0"/>
        <w:pageBreakBefore w:val="0"/>
        <w:widowControl w:val="0"/>
        <w:kinsoku/>
        <w:wordWrap/>
        <w:overflowPunct/>
        <w:topLinePunct w:val="0"/>
        <w:bidi w:val="0"/>
        <w:adjustRightInd/>
        <w:snapToGrid/>
        <w:spacing w:line="560" w:lineRule="exact"/>
        <w:ind w:firstLine="0" w:firstLineChars="0"/>
        <w:textAlignment w:val="auto"/>
        <w:rPr>
          <w:rFonts w:hint="default" w:ascii="仿宋_GB2312" w:hAnsi="仿宋_GB2312" w:eastAsia="黑体" w:cs="仿宋_GB2312"/>
          <w:b/>
          <w:color w:val="auto"/>
          <w:spacing w:val="2"/>
          <w:sz w:val="32"/>
          <w:szCs w:val="32"/>
          <w:highlight w:val="none"/>
          <w:u w:val="single"/>
          <w:lang w:val="en-US" w:eastAsia="zh-CN"/>
        </w:rPr>
      </w:pPr>
      <w:r>
        <w:rPr>
          <w:rFonts w:hint="eastAsia" w:ascii="黑体" w:hAnsi="黑体" w:eastAsia="黑体" w:cs="黑体"/>
          <w:b w:val="0"/>
          <w:bCs w:val="0"/>
          <w:color w:val="auto"/>
          <w:sz w:val="32"/>
          <w:szCs w:val="32"/>
          <w:highlight w:val="none"/>
          <w:lang w:val="en-US" w:eastAsia="zh-CN"/>
        </w:rPr>
        <w:t>发包</w:t>
      </w:r>
      <w:r>
        <w:rPr>
          <w:rFonts w:hint="eastAsia" w:ascii="黑体" w:hAnsi="黑体" w:eastAsia="黑体" w:cs="黑体"/>
          <w:b w:val="0"/>
          <w:bCs w:val="0"/>
          <w:color w:val="auto"/>
          <w:sz w:val="32"/>
          <w:szCs w:val="32"/>
          <w:highlight w:val="none"/>
        </w:rPr>
        <w:t>人</w:t>
      </w:r>
      <w:r>
        <w:rPr>
          <w:rFonts w:hint="eastAsia" w:ascii="黑体" w:hAnsi="黑体" w:eastAsia="黑体" w:cs="黑体"/>
          <w:b w:val="0"/>
          <w:bCs w:val="0"/>
          <w:sz w:val="32"/>
          <w:szCs w:val="32"/>
        </w:rPr>
        <w:t>（以下简称甲方）</w:t>
      </w:r>
      <w:r>
        <w:rPr>
          <w:rFonts w:hint="eastAsia" w:ascii="黑体" w:hAnsi="黑体" w:eastAsia="黑体" w:cs="黑体"/>
          <w:b w:val="0"/>
          <w:bCs w:val="0"/>
          <w:color w:val="auto"/>
          <w:sz w:val="32"/>
          <w:szCs w:val="32"/>
          <w:highlight w:val="none"/>
        </w:rPr>
        <w:t>：</w:t>
      </w:r>
      <w:permStart w:id="6" w:edGrp="everyone"/>
      <w:r>
        <w:rPr>
          <w:rFonts w:hint="eastAsia" w:ascii="黑体" w:hAnsi="黑体" w:eastAsia="黑体" w:cs="黑体"/>
          <w:b w:val="0"/>
          <w:bCs w:val="0"/>
          <w:color w:val="auto"/>
          <w:sz w:val="32"/>
          <w:szCs w:val="32"/>
          <w:highlight w:val="none"/>
          <w:lang w:val="en-US" w:eastAsia="zh-CN"/>
        </w:rPr>
        <w:t xml:space="preserve">                </w:t>
      </w:r>
    </w:p>
    <w:permEnd w:id="6"/>
    <w:p w14:paraId="4D9D310F">
      <w:pPr>
        <w:keepNext w:val="0"/>
        <w:keepLines w:val="0"/>
        <w:pageBreakBefore w:val="0"/>
        <w:kinsoku/>
        <w:wordWrap/>
        <w:overflowPunct/>
        <w:topLinePunct w:val="0"/>
        <w:bidi w:val="0"/>
        <w:snapToGrid/>
        <w:spacing w:line="560" w:lineRule="exact"/>
        <w:ind w:firstLine="0" w:firstLineChars="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统一社会信用代码：</w:t>
      </w:r>
      <w:permStart w:id="7" w:edGrp="everyone"/>
      <w:r>
        <w:rPr>
          <w:rFonts w:hint="eastAsia" w:hAnsi="仿宋_GB2312" w:cs="仿宋_GB2312"/>
          <w:sz w:val="32"/>
          <w:szCs w:val="32"/>
          <w:lang w:val="en-US" w:eastAsia="zh-CN"/>
        </w:rPr>
        <w:t xml:space="preserve">                 </w:t>
      </w:r>
    </w:p>
    <w:permEnd w:id="7"/>
    <w:p w14:paraId="321A35D8">
      <w:pPr>
        <w:keepNext w:val="0"/>
        <w:keepLines w:val="0"/>
        <w:pageBreakBefore w:val="0"/>
        <w:kinsoku/>
        <w:wordWrap/>
        <w:overflowPunct/>
        <w:topLinePunct w:val="0"/>
        <w:bidi w:val="0"/>
        <w:snapToGrid/>
        <w:spacing w:line="560" w:lineRule="exact"/>
        <w:ind w:firstLine="0" w:firstLineChars="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经营地址：</w:t>
      </w:r>
      <w:permStart w:id="8" w:edGrp="everyone"/>
      <w:r>
        <w:rPr>
          <w:rFonts w:hint="eastAsia" w:ascii="仿宋_GB2312" w:hAnsi="仿宋_GB2312" w:eastAsia="仿宋_GB2312" w:cs="仿宋_GB2312"/>
          <w:sz w:val="32"/>
          <w:szCs w:val="32"/>
          <w:lang w:val="en-US" w:eastAsia="zh-CN"/>
        </w:rPr>
        <w:t xml:space="preserve">                         </w:t>
      </w:r>
    </w:p>
    <w:permEnd w:id="8"/>
    <w:p w14:paraId="75A72B7A">
      <w:pPr>
        <w:keepNext w:val="0"/>
        <w:keepLines w:val="0"/>
        <w:pageBreakBefore w:val="0"/>
        <w:kinsoku/>
        <w:wordWrap/>
        <w:overflowPunct/>
        <w:topLinePunct w:val="0"/>
        <w:bidi w:val="0"/>
        <w:snapToGrid/>
        <w:spacing w:line="560" w:lineRule="exact"/>
        <w:ind w:firstLine="0" w:firstLineChars="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法定代表人：</w:t>
      </w:r>
      <w:permStart w:id="9" w:edGrp="everyone"/>
      <w:r>
        <w:rPr>
          <w:rFonts w:hint="eastAsia" w:hAnsi="仿宋_GB2312" w:cs="仿宋_GB2312"/>
          <w:sz w:val="32"/>
          <w:szCs w:val="32"/>
          <w:lang w:val="en-US" w:eastAsia="zh-CN"/>
        </w:rPr>
        <w:t xml:space="preserve">         </w:t>
      </w:r>
    </w:p>
    <w:permEnd w:id="9"/>
    <w:p w14:paraId="6EA92E1D">
      <w:pPr>
        <w:keepNext w:val="0"/>
        <w:keepLines w:val="0"/>
        <w:pageBreakBefore w:val="0"/>
        <w:kinsoku/>
        <w:wordWrap/>
        <w:overflowPunct/>
        <w:topLinePunct w:val="0"/>
        <w:bidi w:val="0"/>
        <w:snapToGrid/>
        <w:spacing w:line="560" w:lineRule="exact"/>
        <w:ind w:firstLine="0" w:firstLineChars="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联系方式：</w:t>
      </w:r>
      <w:permStart w:id="10" w:edGrp="everyone"/>
      <w:r>
        <w:rPr>
          <w:rFonts w:hint="eastAsia" w:hAnsi="仿宋_GB2312" w:cs="仿宋_GB2312"/>
          <w:sz w:val="32"/>
          <w:szCs w:val="32"/>
          <w:lang w:val="en-US" w:eastAsia="zh-CN"/>
        </w:rPr>
        <w:t xml:space="preserve">           </w:t>
      </w:r>
    </w:p>
    <w:permEnd w:id="10"/>
    <w:p w14:paraId="3225F017">
      <w:pPr>
        <w:keepNext w:val="0"/>
        <w:keepLines w:val="0"/>
        <w:pageBreakBefore w:val="0"/>
        <w:kinsoku/>
        <w:wordWrap/>
        <w:overflowPunct/>
        <w:topLinePunct w:val="0"/>
        <w:bidi w:val="0"/>
        <w:snapToGrid/>
        <w:spacing w:line="560" w:lineRule="exact"/>
        <w:ind w:firstLine="0" w:firstLineChars="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电子邮箱：</w:t>
      </w:r>
      <w:permStart w:id="11" w:edGrp="everyone"/>
      <w:r>
        <w:rPr>
          <w:rFonts w:hint="eastAsia" w:hAnsi="仿宋_GB2312" w:cs="仿宋_GB2312"/>
          <w:sz w:val="32"/>
          <w:szCs w:val="32"/>
          <w:lang w:val="en-US" w:eastAsia="zh-CN"/>
        </w:rPr>
        <w:t xml:space="preserve">           </w:t>
      </w:r>
    </w:p>
    <w:permEnd w:id="11"/>
    <w:p w14:paraId="5861CC13">
      <w:pPr>
        <w:keepNext w:val="0"/>
        <w:keepLines w:val="0"/>
        <w:pageBreakBefore w:val="0"/>
        <w:kinsoku/>
        <w:wordWrap/>
        <w:overflowPunct/>
        <w:topLinePunct w:val="0"/>
        <w:autoSpaceDE/>
        <w:autoSpaceDN/>
        <w:bidi w:val="0"/>
        <w:adjustRightInd w:val="0"/>
        <w:snapToGrid/>
        <w:spacing w:line="560" w:lineRule="exact"/>
        <w:ind w:firstLine="0"/>
        <w:textAlignment w:val="auto"/>
        <w:rPr>
          <w:rFonts w:hint="eastAsia" w:ascii="仿宋_GB2312" w:hAnsi="仿宋_GB2312" w:eastAsia="仿宋_GB2312" w:cs="仿宋_GB2312"/>
          <w:b w:val="0"/>
          <w:bCs w:val="0"/>
          <w:color w:val="auto"/>
          <w:sz w:val="32"/>
          <w:szCs w:val="32"/>
          <w:highlight w:val="none"/>
        </w:rPr>
      </w:pPr>
      <w:r>
        <w:rPr>
          <w:rFonts w:hint="eastAsia" w:ascii="黑体" w:hAnsi="黑体" w:eastAsia="黑体" w:cs="黑体"/>
          <w:b w:val="0"/>
          <w:bCs w:val="0"/>
          <w:color w:val="auto"/>
          <w:sz w:val="32"/>
          <w:szCs w:val="32"/>
          <w:highlight w:val="none"/>
          <w:lang w:val="en-US" w:eastAsia="zh-CN"/>
        </w:rPr>
        <w:t>承包人</w:t>
      </w:r>
      <w:r>
        <w:rPr>
          <w:rFonts w:hint="eastAsia" w:ascii="黑体" w:hAnsi="黑体" w:eastAsia="黑体" w:cs="黑体"/>
          <w:b w:val="0"/>
          <w:bCs w:val="0"/>
          <w:sz w:val="32"/>
          <w:szCs w:val="32"/>
        </w:rPr>
        <w:t>（以下简称乙方）</w:t>
      </w:r>
      <w:r>
        <w:rPr>
          <w:rFonts w:hint="eastAsia" w:ascii="黑体" w:hAnsi="黑体" w:eastAsia="黑体" w:cs="黑体"/>
          <w:b w:val="0"/>
          <w:bCs w:val="0"/>
          <w:color w:val="auto"/>
          <w:sz w:val="32"/>
          <w:szCs w:val="32"/>
          <w:highlight w:val="none"/>
        </w:rPr>
        <w:t>：</w:t>
      </w:r>
      <w:permStart w:id="12" w:edGrp="everyone"/>
      <w:r>
        <w:rPr>
          <w:rFonts w:hint="eastAsia" w:ascii="仿宋_GB2312" w:hAnsi="仿宋_GB2312" w:eastAsia="仿宋_GB2312" w:cs="仿宋_GB2312"/>
          <w:b w:val="0"/>
          <w:bCs w:val="0"/>
          <w:color w:val="auto"/>
          <w:spacing w:val="2"/>
          <w:sz w:val="32"/>
          <w:szCs w:val="32"/>
          <w:highlight w:val="none"/>
          <w:u w:val="none"/>
        </w:rPr>
        <w:t xml:space="preserve">                     </w:t>
      </w:r>
    </w:p>
    <w:permEnd w:id="12"/>
    <w:p w14:paraId="0CB8B8E9">
      <w:pPr>
        <w:keepNext w:val="0"/>
        <w:keepLines w:val="0"/>
        <w:pageBreakBefore w:val="0"/>
        <w:kinsoku/>
        <w:wordWrap/>
        <w:overflowPunct/>
        <w:topLinePunct w:val="0"/>
        <w:bidi w:val="0"/>
        <w:snapToGrid/>
        <w:spacing w:line="560" w:lineRule="exact"/>
        <w:ind w:firstLine="0" w:firstLineChars="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统一社会信用代码：</w:t>
      </w:r>
      <w:permStart w:id="13" w:edGrp="everyone"/>
      <w:r>
        <w:rPr>
          <w:rFonts w:hint="eastAsia" w:hAnsi="仿宋_GB2312" w:cs="仿宋_GB2312"/>
          <w:sz w:val="32"/>
          <w:szCs w:val="32"/>
          <w:lang w:val="en-US" w:eastAsia="zh-CN"/>
        </w:rPr>
        <w:t xml:space="preserve">               </w:t>
      </w:r>
    </w:p>
    <w:permEnd w:id="13"/>
    <w:p w14:paraId="0BB637DA">
      <w:pPr>
        <w:keepNext w:val="0"/>
        <w:keepLines w:val="0"/>
        <w:pageBreakBefore w:val="0"/>
        <w:kinsoku/>
        <w:wordWrap/>
        <w:overflowPunct/>
        <w:topLinePunct w:val="0"/>
        <w:bidi w:val="0"/>
        <w:snapToGrid/>
        <w:spacing w:line="560" w:lineRule="exact"/>
        <w:ind w:firstLine="0" w:firstLineChars="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经营地址：</w:t>
      </w:r>
      <w:permStart w:id="14" w:edGrp="everyone"/>
      <w:r>
        <w:rPr>
          <w:rFonts w:hint="eastAsia" w:hAnsi="仿宋_GB2312" w:cs="仿宋_GB2312"/>
          <w:sz w:val="32"/>
          <w:szCs w:val="32"/>
          <w:lang w:val="en-US" w:eastAsia="zh-CN"/>
        </w:rPr>
        <w:t xml:space="preserve">                </w:t>
      </w:r>
    </w:p>
    <w:permEnd w:id="14"/>
    <w:p w14:paraId="33ADC50F">
      <w:pPr>
        <w:keepNext w:val="0"/>
        <w:keepLines w:val="0"/>
        <w:pageBreakBefore w:val="0"/>
        <w:kinsoku/>
        <w:wordWrap/>
        <w:overflowPunct/>
        <w:topLinePunct w:val="0"/>
        <w:bidi w:val="0"/>
        <w:snapToGrid/>
        <w:spacing w:line="560" w:lineRule="exact"/>
        <w:ind w:firstLine="0" w:firstLineChars="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法定代表人：</w:t>
      </w:r>
      <w:permStart w:id="15" w:edGrp="everyone"/>
      <w:r>
        <w:rPr>
          <w:rFonts w:hint="eastAsia" w:hAnsi="仿宋_GB2312" w:cs="仿宋_GB2312"/>
          <w:sz w:val="32"/>
          <w:szCs w:val="32"/>
          <w:lang w:val="en-US" w:eastAsia="zh-CN"/>
        </w:rPr>
        <w:t xml:space="preserve">               </w:t>
      </w:r>
    </w:p>
    <w:permEnd w:id="15"/>
    <w:p w14:paraId="6B48CD5E">
      <w:pPr>
        <w:keepNext w:val="0"/>
        <w:keepLines w:val="0"/>
        <w:pageBreakBefore w:val="0"/>
        <w:kinsoku/>
        <w:wordWrap/>
        <w:overflowPunct/>
        <w:topLinePunct w:val="0"/>
        <w:bidi w:val="0"/>
        <w:snapToGrid/>
        <w:spacing w:line="560" w:lineRule="exact"/>
        <w:ind w:firstLine="0" w:firstLineChars="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联系方式：</w:t>
      </w:r>
      <w:permStart w:id="16" w:edGrp="everyone"/>
      <w:r>
        <w:rPr>
          <w:rFonts w:hint="eastAsia" w:hAnsi="仿宋_GB2312" w:cs="仿宋_GB2312"/>
          <w:sz w:val="32"/>
          <w:szCs w:val="32"/>
          <w:lang w:val="en-US" w:eastAsia="zh-CN"/>
        </w:rPr>
        <w:t xml:space="preserve">                </w:t>
      </w:r>
    </w:p>
    <w:permEnd w:id="16"/>
    <w:p w14:paraId="418AE4CF">
      <w:pPr>
        <w:keepNext w:val="0"/>
        <w:keepLines w:val="0"/>
        <w:pageBreakBefore w:val="0"/>
        <w:kinsoku/>
        <w:wordWrap/>
        <w:overflowPunct/>
        <w:topLinePunct w:val="0"/>
        <w:bidi w:val="0"/>
        <w:snapToGrid/>
        <w:spacing w:line="560" w:lineRule="exact"/>
        <w:ind w:firstLine="0" w:firstLineChars="0"/>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sz w:val="32"/>
          <w:szCs w:val="32"/>
        </w:rPr>
        <w:t>电子邮箱：</w:t>
      </w:r>
      <w:permStart w:id="17" w:edGrp="everyone"/>
      <w:r>
        <w:rPr>
          <w:rFonts w:hint="eastAsia" w:hAnsi="仿宋_GB2312" w:cs="仿宋_GB2312"/>
          <w:sz w:val="32"/>
          <w:szCs w:val="32"/>
          <w:lang w:val="en-US" w:eastAsia="zh-CN"/>
        </w:rPr>
        <w:t xml:space="preserve">                </w:t>
      </w:r>
    </w:p>
    <w:permEnd w:id="17"/>
    <w:p w14:paraId="10E9AF8A">
      <w:pPr>
        <w:keepNext w:val="0"/>
        <w:keepLines w:val="0"/>
        <w:pageBreakBefore w:val="0"/>
        <w:widowControl w:val="0"/>
        <w:kinsoku/>
        <w:wordWrap/>
        <w:overflowPunct/>
        <w:topLinePunct w:val="0"/>
        <w:bidi w:val="0"/>
        <w:adjustRightInd/>
        <w:snapToGrid/>
        <w:spacing w:line="560" w:lineRule="exact"/>
        <w:ind w:firstLine="0" w:firstLineChars="0"/>
        <w:textAlignment w:val="auto"/>
        <w:rPr>
          <w:rFonts w:hint="eastAsia" w:ascii="黑体" w:hAnsi="黑体" w:eastAsia="黑体" w:cs="黑体"/>
          <w:b w:val="0"/>
          <w:bCs/>
          <w:color w:val="000000"/>
          <w:sz w:val="32"/>
          <w:szCs w:val="32"/>
          <w:lang w:val="en-US" w:eastAsia="zh-CN"/>
        </w:rPr>
      </w:pPr>
    </w:p>
    <w:p w14:paraId="12936CEB">
      <w:pPr>
        <w:keepNext w:val="0"/>
        <w:keepLines w:val="0"/>
        <w:pageBreakBefore w:val="0"/>
        <w:widowControl w:val="0"/>
        <w:kinsoku/>
        <w:wordWrap/>
        <w:overflowPunct/>
        <w:topLinePunct w:val="0"/>
        <w:bidi w:val="0"/>
        <w:adjustRightInd/>
        <w:snapToGrid/>
        <w:spacing w:line="560" w:lineRule="exact"/>
        <w:ind w:firstLine="0" w:firstLineChars="0"/>
        <w:textAlignment w:val="auto"/>
        <w:rPr>
          <w:rFonts w:ascii="仿宋" w:hAnsi="仿宋" w:eastAsia="仿宋" w:cs="仿宋"/>
          <w:b/>
          <w:color w:val="auto"/>
          <w:sz w:val="28"/>
          <w:szCs w:val="28"/>
          <w:highlight w:val="none"/>
        </w:rPr>
      </w:pPr>
      <w:r>
        <w:rPr>
          <w:rFonts w:hint="eastAsia" w:ascii="黑体" w:hAnsi="黑体" w:eastAsia="黑体" w:cs="黑体"/>
          <w:b w:val="0"/>
          <w:bCs/>
          <w:color w:val="000000"/>
          <w:sz w:val="32"/>
          <w:szCs w:val="32"/>
          <w:lang w:val="en-US" w:eastAsia="zh-CN"/>
        </w:rPr>
        <w:t>鉴于：</w:t>
      </w:r>
    </w:p>
    <w:p w14:paraId="4F7D28FF">
      <w:pPr>
        <w:keepNext w:val="0"/>
        <w:keepLines w:val="0"/>
        <w:pageBreakBefore w:val="0"/>
        <w:kinsoku/>
        <w:wordWrap/>
        <w:overflowPunct/>
        <w:topLinePunct w:val="0"/>
        <w:bidi w:val="0"/>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根据《中华人民共和国民法典</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中华人民共和国建筑法》及有关法律规定，遵循平等、自愿、公平和诚实信用的原则，双方就</w:t>
      </w:r>
      <w:permStart w:id="18" w:edGrp="everyone"/>
      <w:r>
        <w:rPr>
          <w:rFonts w:hint="eastAsia" w:ascii="仿宋_GB2312" w:hAnsi="仿宋_GB2312" w:eastAsia="仿宋_GB2312" w:cs="仿宋_GB2312"/>
          <w:color w:val="auto"/>
          <w:sz w:val="32"/>
          <w:szCs w:val="32"/>
          <w:highlight w:val="none"/>
          <w:u w:val="single"/>
        </w:rPr>
        <w:t xml:space="preserve">     </w:t>
      </w:r>
      <w:permEnd w:id="18"/>
      <w:r>
        <w:rPr>
          <w:rFonts w:hint="eastAsia" w:ascii="仿宋_GB2312" w:hAnsi="仿宋_GB2312" w:eastAsia="仿宋_GB2312" w:cs="仿宋_GB2312"/>
          <w:color w:val="auto"/>
          <w:sz w:val="32"/>
          <w:szCs w:val="32"/>
          <w:highlight w:val="none"/>
        </w:rPr>
        <w:t>工程施工及有关事项协商一致，共同达成如下协议：</w:t>
      </w:r>
      <w:bookmarkStart w:id="10" w:name="_Toc351203481"/>
    </w:p>
    <w:p w14:paraId="2B663F35">
      <w:pPr>
        <w:keepNext w:val="0"/>
        <w:keepLines w:val="0"/>
        <w:pageBreakBefore w:val="0"/>
        <w:widowControl/>
        <w:kinsoku/>
        <w:wordWrap/>
        <w:overflowPunct/>
        <w:topLinePunct w:val="0"/>
        <w:bidi w:val="0"/>
        <w:adjustRightInd/>
        <w:snapToGrid/>
        <w:spacing w:line="560" w:lineRule="exact"/>
        <w:ind w:firstLine="640" w:firstLineChars="200"/>
        <w:jc w:val="both"/>
        <w:textAlignment w:val="auto"/>
        <w:outlineLvl w:val="1"/>
        <w:rPr>
          <w:rFonts w:hint="eastAsia" w:ascii="黑体" w:hAnsi="黑体" w:eastAsia="黑体" w:cs="黑体"/>
          <w:b w:val="0"/>
          <w:bCs/>
          <w:color w:val="auto"/>
          <w:sz w:val="32"/>
          <w:szCs w:val="32"/>
          <w:highlight w:val="none"/>
        </w:rPr>
      </w:pPr>
      <w:bookmarkStart w:id="11" w:name="_Toc17952"/>
      <w:bookmarkStart w:id="12" w:name="_Toc10696"/>
      <w:bookmarkStart w:id="13" w:name="_Toc26460"/>
      <w:bookmarkStart w:id="14" w:name="_Toc27838"/>
      <w:bookmarkStart w:id="15" w:name="_Toc2309"/>
      <w:bookmarkStart w:id="16" w:name="_Toc364"/>
      <w:bookmarkStart w:id="17" w:name="_Toc13705"/>
      <w:bookmarkStart w:id="18" w:name="_Toc2631"/>
      <w:bookmarkStart w:id="19" w:name="_Toc19854"/>
      <w:bookmarkStart w:id="20" w:name="_Toc30461"/>
      <w:r>
        <w:rPr>
          <w:rFonts w:hint="eastAsia" w:ascii="黑体" w:hAnsi="黑体" w:eastAsia="黑体" w:cs="黑体"/>
          <w:b w:val="0"/>
          <w:bCs/>
          <w:color w:val="auto"/>
          <w:sz w:val="32"/>
          <w:szCs w:val="32"/>
          <w:highlight w:val="none"/>
        </w:rPr>
        <w:t>一、工程概</w:t>
      </w:r>
      <w:bookmarkEnd w:id="10"/>
      <w:r>
        <w:rPr>
          <w:rFonts w:hint="eastAsia" w:ascii="黑体" w:hAnsi="黑体" w:eastAsia="黑体" w:cs="黑体"/>
          <w:b w:val="0"/>
          <w:bCs/>
          <w:color w:val="auto"/>
          <w:sz w:val="32"/>
          <w:szCs w:val="32"/>
          <w:highlight w:val="none"/>
        </w:rPr>
        <w:t>况</w:t>
      </w:r>
      <w:bookmarkEnd w:id="11"/>
      <w:bookmarkEnd w:id="12"/>
      <w:bookmarkEnd w:id="13"/>
      <w:bookmarkEnd w:id="14"/>
      <w:bookmarkEnd w:id="15"/>
      <w:bookmarkEnd w:id="16"/>
      <w:bookmarkEnd w:id="17"/>
      <w:bookmarkEnd w:id="18"/>
      <w:bookmarkEnd w:id="19"/>
      <w:bookmarkEnd w:id="20"/>
    </w:p>
    <w:p w14:paraId="0C90194D">
      <w:pPr>
        <w:keepNext w:val="0"/>
        <w:keepLines w:val="0"/>
        <w:pageBreakBefore w:val="0"/>
        <w:kinsoku/>
        <w:wordWrap/>
        <w:overflowPunct/>
        <w:topLinePunct w:val="0"/>
        <w:bidi w:val="0"/>
        <w:snapToGrid/>
        <w:spacing w:line="560" w:lineRule="exact"/>
        <w:ind w:firstLine="627" w:firstLineChars="196"/>
        <w:jc w:val="both"/>
        <w:textAlignment w:val="auto"/>
        <w:rPr>
          <w:rFonts w:hint="default" w:ascii="仿宋_GB2312" w:hAnsi="仿宋_GB2312" w:eastAsia="仿宋_GB2312" w:cs="仿宋_GB2312"/>
          <w:color w:val="auto"/>
          <w:sz w:val="32"/>
          <w:szCs w:val="32"/>
          <w:highlight w:val="none"/>
          <w:u w:val="single"/>
          <w:lang w:val="en-US" w:eastAsia="zh-CN"/>
        </w:rPr>
      </w:pPr>
      <w:r>
        <w:rPr>
          <w:rFonts w:hint="eastAsia" w:ascii="仿宋_GB2312" w:hAnsi="仿宋_GB2312" w:eastAsia="仿宋_GB2312" w:cs="仿宋_GB2312"/>
          <w:bCs/>
          <w:color w:val="auto"/>
          <w:sz w:val="32"/>
          <w:szCs w:val="32"/>
          <w:highlight w:val="none"/>
        </w:rPr>
        <w:t>1.工程名称</w:t>
      </w:r>
      <w:r>
        <w:rPr>
          <w:rFonts w:hint="eastAsia" w:ascii="仿宋_GB2312" w:hAnsi="仿宋_GB2312" w:eastAsia="仿宋_GB2312" w:cs="仿宋_GB2312"/>
          <w:color w:val="auto"/>
          <w:sz w:val="32"/>
          <w:szCs w:val="32"/>
          <w:highlight w:val="none"/>
        </w:rPr>
        <w:t>：</w:t>
      </w:r>
      <w:permStart w:id="19" w:edGrp="everyone"/>
      <w:r>
        <w:rPr>
          <w:rFonts w:hint="eastAsia" w:ascii="仿宋_GB2312" w:hAnsi="仿宋_GB2312" w:eastAsia="仿宋_GB2312" w:cs="仿宋_GB2312"/>
          <w:color w:val="auto"/>
          <w:sz w:val="32"/>
          <w:szCs w:val="32"/>
          <w:highlight w:val="none"/>
          <w:u w:val="single"/>
          <w:lang w:val="en-US" w:eastAsia="zh-CN"/>
        </w:rPr>
        <w:t xml:space="preserve">                  </w:t>
      </w:r>
      <w:permEnd w:id="19"/>
    </w:p>
    <w:p w14:paraId="1DE96F9C">
      <w:pPr>
        <w:keepNext w:val="0"/>
        <w:keepLines w:val="0"/>
        <w:pageBreakBefore w:val="0"/>
        <w:kinsoku/>
        <w:wordWrap/>
        <w:overflowPunct/>
        <w:topLinePunct w:val="0"/>
        <w:bidi w:val="0"/>
        <w:snapToGrid/>
        <w:spacing w:line="560" w:lineRule="exact"/>
        <w:ind w:firstLine="627" w:firstLineChars="196"/>
        <w:jc w:val="both"/>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rPr>
        <w:t>2.工程地点：</w:t>
      </w:r>
      <w:permStart w:id="20" w:edGrp="everyone"/>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u w:val="single"/>
          <w:lang w:val="en-US" w:eastAsia="zh-CN"/>
        </w:rPr>
        <w:t xml:space="preserve">             </w:t>
      </w:r>
      <w:r>
        <w:rPr>
          <w:rFonts w:hint="eastAsia" w:ascii="仿宋_GB2312" w:hAnsi="仿宋_GB2312" w:eastAsia="仿宋_GB2312" w:cs="仿宋_GB2312"/>
          <w:color w:val="auto"/>
          <w:sz w:val="32"/>
          <w:szCs w:val="32"/>
          <w:highlight w:val="none"/>
          <w:u w:val="single"/>
        </w:rPr>
        <w:t xml:space="preserve">   </w:t>
      </w:r>
      <w:permEnd w:id="20"/>
    </w:p>
    <w:p w14:paraId="38765C89">
      <w:pPr>
        <w:keepNext w:val="0"/>
        <w:keepLines w:val="0"/>
        <w:pageBreakBefore w:val="0"/>
        <w:kinsoku/>
        <w:wordWrap/>
        <w:overflowPunct/>
        <w:topLinePunct w:val="0"/>
        <w:bidi w:val="0"/>
        <w:snapToGrid/>
        <w:spacing w:line="560" w:lineRule="exact"/>
        <w:ind w:firstLine="627" w:firstLineChars="196"/>
        <w:jc w:val="both"/>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rPr>
        <w:t>3.工程立项批准文号：</w:t>
      </w:r>
      <w:permStart w:id="21" w:edGrp="everyone"/>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u w:val="single"/>
          <w:lang w:val="en-US" w:eastAsia="zh-CN"/>
        </w:rPr>
        <w:t xml:space="preserve">  </w:t>
      </w:r>
      <w:r>
        <w:rPr>
          <w:rFonts w:hint="eastAsia" w:ascii="仿宋_GB2312" w:hAnsi="仿宋_GB2312" w:eastAsia="仿宋_GB2312" w:cs="仿宋_GB2312"/>
          <w:color w:val="auto"/>
          <w:sz w:val="32"/>
          <w:szCs w:val="32"/>
          <w:highlight w:val="none"/>
          <w:u w:val="single"/>
        </w:rPr>
        <w:t xml:space="preserve"> </w:t>
      </w:r>
      <w:permEnd w:id="21"/>
    </w:p>
    <w:p w14:paraId="71DB36E2">
      <w:pPr>
        <w:keepNext w:val="0"/>
        <w:keepLines w:val="0"/>
        <w:pageBreakBefore w:val="0"/>
        <w:kinsoku/>
        <w:wordWrap/>
        <w:overflowPunct/>
        <w:topLinePunct w:val="0"/>
        <w:bidi w:val="0"/>
        <w:snapToGrid/>
        <w:spacing w:line="560" w:lineRule="exact"/>
        <w:ind w:firstLine="627" w:firstLineChars="196"/>
        <w:jc w:val="both"/>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rPr>
        <w:t>4.资金来源：</w:t>
      </w:r>
      <w:permStart w:id="22" w:edGrp="everyone"/>
      <w:r>
        <w:rPr>
          <w:rFonts w:hint="eastAsia" w:ascii="仿宋_GB2312" w:hAnsi="仿宋_GB2312" w:eastAsia="仿宋_GB2312" w:cs="仿宋_GB2312"/>
          <w:color w:val="auto"/>
          <w:sz w:val="32"/>
          <w:szCs w:val="32"/>
          <w:highlight w:val="none"/>
          <w:u w:val="single"/>
        </w:rPr>
        <w:t></w:t>
      </w:r>
      <w:r>
        <w:rPr>
          <w:rFonts w:hint="eastAsia" w:ascii="仿宋_GB2312" w:hAnsi="仿宋_GB2312" w:eastAsia="仿宋_GB2312" w:cs="仿宋_GB2312"/>
          <w:color w:val="auto"/>
          <w:sz w:val="32"/>
          <w:szCs w:val="32"/>
          <w:highlight w:val="none"/>
          <w:u w:val="single"/>
          <w:lang w:val="en-US" w:eastAsia="zh-CN"/>
        </w:rPr>
        <w:t xml:space="preserve">   </w:t>
      </w:r>
      <w:r>
        <w:rPr>
          <w:rFonts w:hint="eastAsia" w:ascii="仿宋_GB2312" w:hAnsi="仿宋_GB2312" w:eastAsia="仿宋_GB2312" w:cs="仿宋_GB2312"/>
          <w:color w:val="auto"/>
          <w:sz w:val="32"/>
          <w:szCs w:val="32"/>
          <w:highlight w:val="none"/>
          <w:u w:val="single"/>
        </w:rPr>
        <w:t xml:space="preserve"> </w:t>
      </w:r>
      <w:permEnd w:id="22"/>
    </w:p>
    <w:p w14:paraId="3B43D25E">
      <w:pPr>
        <w:ind w:firstLine="640" w:firstLineChars="200"/>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rPr>
        <w:t>5.工程内容：</w:t>
      </w:r>
      <w:permStart w:id="23" w:edGrp="everyone"/>
      <w:r>
        <w:rPr>
          <w:rFonts w:hint="eastAsia" w:ascii="仿宋_GB2312" w:hAnsi="仿宋_GB2312" w:eastAsia="仿宋_GB2312" w:cs="仿宋_GB2312"/>
          <w:color w:val="auto"/>
          <w:sz w:val="32"/>
          <w:szCs w:val="32"/>
          <w:highlight w:val="none"/>
          <w:u w:val="single"/>
        </w:rPr>
        <w:t xml:space="preserve">       </w:t>
      </w:r>
      <w:permEnd w:id="23"/>
    </w:p>
    <w:p w14:paraId="103048CD">
      <w:pPr>
        <w:keepNext w:val="0"/>
        <w:keepLines w:val="0"/>
        <w:pageBreakBefore w:val="0"/>
        <w:kinsoku/>
        <w:wordWrap/>
        <w:overflowPunct/>
        <w:topLinePunct w:val="0"/>
        <w:bidi w:val="0"/>
        <w:snapToGrid/>
        <w:spacing w:line="560" w:lineRule="exact"/>
        <w:ind w:firstLine="627" w:firstLineChars="196"/>
        <w:jc w:val="both"/>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color w:val="auto"/>
          <w:sz w:val="32"/>
          <w:szCs w:val="32"/>
          <w:highlight w:val="none"/>
        </w:rPr>
        <w:t>群体工程应附《承包人承揽工程项目一览表》（附件1）。</w:t>
      </w:r>
    </w:p>
    <w:p w14:paraId="4969A1E4">
      <w:pPr>
        <w:keepNext w:val="0"/>
        <w:keepLines w:val="0"/>
        <w:pageBreakBefore w:val="0"/>
        <w:kinsoku/>
        <w:wordWrap/>
        <w:overflowPunct/>
        <w:topLinePunct w:val="0"/>
        <w:bidi w:val="0"/>
        <w:snapToGrid/>
        <w:spacing w:line="560" w:lineRule="exact"/>
        <w:ind w:firstLine="627" w:firstLineChars="196"/>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bCs/>
          <w:color w:val="auto"/>
          <w:sz w:val="32"/>
          <w:szCs w:val="32"/>
          <w:highlight w:val="none"/>
        </w:rPr>
        <w:t>6.工程承包范围：</w:t>
      </w:r>
      <w:permStart w:id="24" w:edGrp="everyone"/>
      <w:r>
        <w:rPr>
          <w:rFonts w:hint="eastAsia" w:ascii="仿宋_GB2312" w:hAnsi="仿宋_GB2312" w:eastAsia="仿宋_GB2312" w:cs="仿宋_GB2312"/>
          <w:color w:val="auto"/>
          <w:kern w:val="0"/>
          <w:sz w:val="32"/>
          <w:szCs w:val="32"/>
          <w:highlight w:val="none"/>
          <w:u w:val="single"/>
          <w:lang w:val="en-US" w:eastAsia="zh-CN"/>
        </w:rPr>
        <w:t xml:space="preserve">           </w:t>
      </w:r>
      <w:permEnd w:id="24"/>
    </w:p>
    <w:p w14:paraId="38C720A2">
      <w:pPr>
        <w:keepNext w:val="0"/>
        <w:keepLines w:val="0"/>
        <w:pageBreakBefore w:val="0"/>
        <w:widowControl/>
        <w:kinsoku/>
        <w:wordWrap/>
        <w:overflowPunct/>
        <w:topLinePunct w:val="0"/>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具体承包范围以招标公告公布的施工图纸、招标工程量清单及合同约定工作内容为准；</w:t>
      </w:r>
    </w:p>
    <w:p w14:paraId="4629D55A">
      <w:pPr>
        <w:keepNext w:val="0"/>
        <w:keepLines w:val="0"/>
        <w:pageBreakBefore w:val="0"/>
        <w:widowControl/>
        <w:kinsoku/>
        <w:wordWrap/>
        <w:overflowPunct/>
        <w:topLinePunct w:val="0"/>
        <w:bidi w:val="0"/>
        <w:adjustRightInd/>
        <w:snapToGrid/>
        <w:spacing w:line="560" w:lineRule="exact"/>
        <w:ind w:firstLine="640" w:firstLineChars="200"/>
        <w:jc w:val="both"/>
        <w:textAlignment w:val="auto"/>
        <w:outlineLvl w:val="1"/>
        <w:rPr>
          <w:rFonts w:hint="eastAsia" w:ascii="黑体" w:hAnsi="黑体" w:eastAsia="黑体" w:cs="黑体"/>
          <w:b w:val="0"/>
          <w:bCs/>
          <w:color w:val="auto"/>
          <w:sz w:val="32"/>
          <w:szCs w:val="32"/>
          <w:highlight w:val="none"/>
        </w:rPr>
      </w:pPr>
      <w:r>
        <w:rPr>
          <w:rFonts w:hint="eastAsia" w:ascii="仿宋_GB2312" w:hAnsi="仿宋_GB2312" w:eastAsia="仿宋_GB2312" w:cs="仿宋_GB2312"/>
          <w:color w:val="auto"/>
          <w:kern w:val="0"/>
          <w:sz w:val="32"/>
          <w:szCs w:val="32"/>
          <w:highlight w:val="none"/>
        </w:rPr>
        <w:t>当工程承包范围及施工内容有调整时，以发包人招标阶段书面通知为准，发包人保留最终确认权和解释权。</w:t>
      </w:r>
      <w:bookmarkStart w:id="21" w:name="_Toc351203482"/>
      <w:bookmarkStart w:id="22" w:name="_Toc732"/>
      <w:bookmarkStart w:id="23" w:name="_Toc22448"/>
      <w:bookmarkStart w:id="24" w:name="_Toc13109"/>
      <w:bookmarkStart w:id="25" w:name="_Toc18864"/>
      <w:bookmarkStart w:id="26" w:name="_Toc8136"/>
      <w:bookmarkStart w:id="27" w:name="_Toc18033"/>
      <w:bookmarkStart w:id="28" w:name="_Toc25053"/>
      <w:bookmarkStart w:id="29" w:name="_Toc28791"/>
      <w:bookmarkStart w:id="30" w:name="_Toc488"/>
      <w:bookmarkStart w:id="31" w:name="_Toc19480"/>
    </w:p>
    <w:p w14:paraId="5AE5A5CB">
      <w:pPr>
        <w:keepNext w:val="0"/>
        <w:keepLines w:val="0"/>
        <w:pageBreakBefore w:val="0"/>
        <w:widowControl/>
        <w:kinsoku/>
        <w:wordWrap/>
        <w:overflowPunct/>
        <w:topLinePunct w:val="0"/>
        <w:bidi w:val="0"/>
        <w:adjustRightInd/>
        <w:snapToGrid/>
        <w:spacing w:line="560" w:lineRule="exact"/>
        <w:ind w:firstLine="640" w:firstLineChars="200"/>
        <w:jc w:val="both"/>
        <w:textAlignment w:val="auto"/>
        <w:outlineLvl w:val="1"/>
        <w:rPr>
          <w:rFonts w:hint="eastAsia" w:ascii="黑体" w:hAnsi="黑体" w:eastAsia="黑体" w:cs="黑体"/>
          <w:b w:val="0"/>
          <w:bCs/>
          <w:color w:val="auto"/>
          <w:sz w:val="32"/>
          <w:szCs w:val="32"/>
          <w:highlight w:val="none"/>
        </w:rPr>
      </w:pPr>
      <w:r>
        <w:rPr>
          <w:rFonts w:hint="eastAsia" w:ascii="黑体" w:hAnsi="黑体" w:eastAsia="黑体" w:cs="黑体"/>
          <w:b w:val="0"/>
          <w:bCs/>
          <w:color w:val="auto"/>
          <w:sz w:val="32"/>
          <w:szCs w:val="32"/>
          <w:highlight w:val="none"/>
        </w:rPr>
        <w:t>二、合同工</w:t>
      </w:r>
      <w:bookmarkEnd w:id="21"/>
      <w:r>
        <w:rPr>
          <w:rFonts w:hint="eastAsia" w:ascii="黑体" w:hAnsi="黑体" w:eastAsia="黑体" w:cs="黑体"/>
          <w:b w:val="0"/>
          <w:bCs/>
          <w:color w:val="auto"/>
          <w:sz w:val="32"/>
          <w:szCs w:val="32"/>
          <w:highlight w:val="none"/>
        </w:rPr>
        <w:t>期</w:t>
      </w:r>
      <w:bookmarkEnd w:id="22"/>
      <w:bookmarkEnd w:id="23"/>
      <w:bookmarkEnd w:id="24"/>
      <w:bookmarkEnd w:id="25"/>
      <w:bookmarkEnd w:id="26"/>
      <w:bookmarkEnd w:id="27"/>
      <w:bookmarkEnd w:id="28"/>
      <w:bookmarkEnd w:id="29"/>
      <w:bookmarkEnd w:id="30"/>
      <w:bookmarkEnd w:id="31"/>
    </w:p>
    <w:p w14:paraId="3F8317AC">
      <w:pPr>
        <w:keepNext w:val="0"/>
        <w:keepLines w:val="0"/>
        <w:pageBreakBefore w:val="0"/>
        <w:kinsoku/>
        <w:wordWrap/>
        <w:overflowPunct/>
        <w:topLinePunct w:val="0"/>
        <w:bidi w:val="0"/>
        <w:snapToGrid/>
        <w:spacing w:line="560" w:lineRule="exact"/>
        <w:ind w:firstLine="459"/>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计划开工日期：</w:t>
      </w:r>
      <w:permStart w:id="25" w:edGrp="everyone"/>
      <w:r>
        <w:rPr>
          <w:rFonts w:hint="eastAsia" w:ascii="仿宋_GB2312" w:hAnsi="仿宋_GB2312" w:eastAsia="仿宋_GB2312" w:cs="仿宋_GB2312"/>
          <w:color w:val="auto"/>
          <w:sz w:val="32"/>
          <w:szCs w:val="32"/>
          <w:highlight w:val="none"/>
          <w:u w:val="single"/>
        </w:rPr>
        <w:t> </w:t>
      </w:r>
      <w:r>
        <w:rPr>
          <w:rFonts w:hint="eastAsia" w:ascii="仿宋_GB2312" w:hAnsi="仿宋_GB2312" w:eastAsia="仿宋_GB2312" w:cs="仿宋_GB2312"/>
          <w:color w:val="auto"/>
          <w:sz w:val="32"/>
          <w:szCs w:val="32"/>
          <w:highlight w:val="none"/>
        </w:rPr>
        <w:t>年</w:t>
      </w:r>
      <w:r>
        <w:rPr>
          <w:rFonts w:hint="eastAsia" w:ascii="仿宋_GB2312" w:hAnsi="仿宋_GB2312" w:eastAsia="仿宋_GB2312" w:cs="仿宋_GB2312"/>
          <w:color w:val="auto"/>
          <w:sz w:val="32"/>
          <w:szCs w:val="32"/>
          <w:highlight w:val="none"/>
          <w:u w:val="single"/>
        </w:rPr>
        <w:t> </w:t>
      </w:r>
      <w:r>
        <w:rPr>
          <w:rFonts w:hint="eastAsia" w:ascii="仿宋_GB2312" w:hAnsi="仿宋_GB2312" w:eastAsia="仿宋_GB2312" w:cs="仿宋_GB2312"/>
          <w:color w:val="auto"/>
          <w:sz w:val="32"/>
          <w:szCs w:val="32"/>
          <w:highlight w:val="none"/>
        </w:rPr>
        <w:t>月</w:t>
      </w:r>
      <w:r>
        <w:rPr>
          <w:rFonts w:hint="eastAsia" w:ascii="仿宋_GB2312" w:hAnsi="仿宋_GB2312" w:eastAsia="仿宋_GB2312" w:cs="仿宋_GB2312"/>
          <w:color w:val="auto"/>
          <w:sz w:val="32"/>
          <w:szCs w:val="32"/>
          <w:highlight w:val="none"/>
          <w:u w:val="single"/>
        </w:rPr>
        <w:t> </w:t>
      </w:r>
      <w:r>
        <w:rPr>
          <w:rFonts w:hint="eastAsia" w:ascii="仿宋_GB2312" w:hAnsi="仿宋_GB2312" w:eastAsia="仿宋_GB2312" w:cs="仿宋_GB2312"/>
          <w:color w:val="auto"/>
          <w:sz w:val="32"/>
          <w:szCs w:val="32"/>
          <w:highlight w:val="none"/>
        </w:rPr>
        <w:t>日。</w:t>
      </w:r>
      <w:permEnd w:id="25"/>
    </w:p>
    <w:p w14:paraId="683D565E">
      <w:pPr>
        <w:keepNext w:val="0"/>
        <w:keepLines w:val="0"/>
        <w:pageBreakBefore w:val="0"/>
        <w:kinsoku/>
        <w:wordWrap/>
        <w:overflowPunct/>
        <w:topLinePunct w:val="0"/>
        <w:bidi w:val="0"/>
        <w:snapToGrid/>
        <w:spacing w:line="560" w:lineRule="exact"/>
        <w:ind w:firstLine="459"/>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计划竣工日期：</w:t>
      </w:r>
      <w:permStart w:id="26" w:edGrp="everyone"/>
      <w:r>
        <w:rPr>
          <w:rFonts w:hint="eastAsia" w:ascii="仿宋_GB2312" w:hAnsi="仿宋_GB2312" w:eastAsia="仿宋_GB2312" w:cs="仿宋_GB2312"/>
          <w:color w:val="auto"/>
          <w:sz w:val="32"/>
          <w:szCs w:val="32"/>
          <w:highlight w:val="none"/>
          <w:u w:val="single"/>
        </w:rPr>
        <w:t> </w:t>
      </w:r>
      <w:r>
        <w:rPr>
          <w:rFonts w:hint="eastAsia" w:ascii="仿宋_GB2312" w:hAnsi="仿宋_GB2312" w:eastAsia="仿宋_GB2312" w:cs="仿宋_GB2312"/>
          <w:color w:val="auto"/>
          <w:sz w:val="32"/>
          <w:szCs w:val="32"/>
          <w:highlight w:val="none"/>
        </w:rPr>
        <w:t>年</w:t>
      </w:r>
      <w:r>
        <w:rPr>
          <w:rFonts w:hint="eastAsia" w:ascii="仿宋_GB2312" w:hAnsi="仿宋_GB2312" w:eastAsia="仿宋_GB2312" w:cs="仿宋_GB2312"/>
          <w:color w:val="auto"/>
          <w:sz w:val="32"/>
          <w:szCs w:val="32"/>
          <w:highlight w:val="none"/>
          <w:u w:val="single"/>
        </w:rPr>
        <w:t> </w:t>
      </w:r>
      <w:r>
        <w:rPr>
          <w:rFonts w:hint="eastAsia" w:ascii="仿宋_GB2312" w:hAnsi="仿宋_GB2312" w:eastAsia="仿宋_GB2312" w:cs="仿宋_GB2312"/>
          <w:color w:val="auto"/>
          <w:sz w:val="32"/>
          <w:szCs w:val="32"/>
          <w:highlight w:val="none"/>
        </w:rPr>
        <w:t>月</w:t>
      </w:r>
      <w:r>
        <w:rPr>
          <w:rFonts w:hint="eastAsia" w:ascii="仿宋_GB2312" w:hAnsi="仿宋_GB2312" w:eastAsia="仿宋_GB2312" w:cs="仿宋_GB2312"/>
          <w:color w:val="auto"/>
          <w:sz w:val="32"/>
          <w:szCs w:val="32"/>
          <w:highlight w:val="none"/>
          <w:u w:val="single"/>
        </w:rPr>
        <w:t> </w:t>
      </w:r>
      <w:r>
        <w:rPr>
          <w:rFonts w:hint="eastAsia" w:ascii="仿宋_GB2312" w:hAnsi="仿宋_GB2312" w:eastAsia="仿宋_GB2312" w:cs="仿宋_GB2312"/>
          <w:color w:val="auto"/>
          <w:sz w:val="32"/>
          <w:szCs w:val="32"/>
          <w:highlight w:val="none"/>
        </w:rPr>
        <w:t>日。</w:t>
      </w:r>
      <w:permEnd w:id="26"/>
    </w:p>
    <w:p w14:paraId="0C98C558">
      <w:pPr>
        <w:keepNext w:val="0"/>
        <w:keepLines w:val="0"/>
        <w:pageBreakBefore w:val="0"/>
        <w:kinsoku/>
        <w:wordWrap/>
        <w:overflowPunct/>
        <w:topLinePunct w:val="0"/>
        <w:bidi w:val="0"/>
        <w:snapToGrid/>
        <w:spacing w:line="560" w:lineRule="exact"/>
        <w:ind w:firstLine="459"/>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工期总日历天数：</w:t>
      </w:r>
      <w:permStart w:id="27" w:edGrp="everyone"/>
      <w:r>
        <w:rPr>
          <w:rFonts w:hint="eastAsia" w:ascii="仿宋_GB2312" w:hAnsi="仿宋_GB2312" w:eastAsia="仿宋_GB2312" w:cs="仿宋_GB2312"/>
          <w:color w:val="auto"/>
          <w:sz w:val="32"/>
          <w:szCs w:val="32"/>
          <w:highlight w:val="none"/>
          <w:u w:val="single"/>
        </w:rPr>
        <w:t> </w:t>
      </w:r>
      <w:r>
        <w:rPr>
          <w:rFonts w:hint="eastAsia" w:ascii="仿宋_GB2312" w:hAnsi="仿宋_GB2312" w:eastAsia="仿宋_GB2312" w:cs="仿宋_GB2312"/>
          <w:color w:val="auto"/>
          <w:sz w:val="32"/>
          <w:szCs w:val="32"/>
          <w:highlight w:val="none"/>
          <w:u w:val="none"/>
          <w:lang w:val="en-US" w:eastAsia="zh-CN"/>
        </w:rPr>
        <w:t>日历</w:t>
      </w:r>
      <w:r>
        <w:rPr>
          <w:rFonts w:hint="eastAsia" w:ascii="仿宋_GB2312" w:hAnsi="仿宋_GB2312" w:eastAsia="仿宋_GB2312" w:cs="仿宋_GB2312"/>
          <w:color w:val="auto"/>
          <w:sz w:val="32"/>
          <w:szCs w:val="32"/>
          <w:highlight w:val="none"/>
        </w:rPr>
        <w:t>天</w:t>
      </w:r>
      <w:permEnd w:id="27"/>
      <w:r>
        <w:rPr>
          <w:rFonts w:hint="eastAsia" w:ascii="仿宋_GB2312" w:hAnsi="仿宋_GB2312" w:eastAsia="仿宋_GB2312" w:cs="仿宋_GB2312"/>
          <w:color w:val="auto"/>
          <w:sz w:val="32"/>
          <w:szCs w:val="32"/>
          <w:highlight w:val="none"/>
        </w:rPr>
        <w:t>。工期总日历天数与根据前述计划开竣工日期计算的工期天数不一致的，以工期总日历天数为准。具体开工日期以开工令为准。</w:t>
      </w:r>
      <w:bookmarkStart w:id="32" w:name="_Toc351203483"/>
    </w:p>
    <w:p w14:paraId="76E8774C">
      <w:pPr>
        <w:keepNext w:val="0"/>
        <w:keepLines w:val="0"/>
        <w:pageBreakBefore w:val="0"/>
        <w:widowControl/>
        <w:kinsoku/>
        <w:wordWrap/>
        <w:overflowPunct/>
        <w:topLinePunct w:val="0"/>
        <w:bidi w:val="0"/>
        <w:adjustRightInd/>
        <w:snapToGrid/>
        <w:spacing w:line="560" w:lineRule="exact"/>
        <w:ind w:firstLine="640" w:firstLineChars="200"/>
        <w:jc w:val="both"/>
        <w:textAlignment w:val="auto"/>
        <w:outlineLvl w:val="1"/>
        <w:rPr>
          <w:rFonts w:hint="eastAsia" w:ascii="黑体" w:hAnsi="黑体" w:eastAsia="黑体" w:cs="黑体"/>
          <w:b w:val="0"/>
          <w:bCs/>
          <w:color w:val="auto"/>
          <w:sz w:val="32"/>
          <w:szCs w:val="32"/>
          <w:highlight w:val="none"/>
        </w:rPr>
      </w:pPr>
      <w:bookmarkStart w:id="33" w:name="_Toc1296"/>
      <w:bookmarkStart w:id="34" w:name="_Toc23642"/>
      <w:bookmarkStart w:id="35" w:name="_Toc19434"/>
      <w:bookmarkStart w:id="36" w:name="_Toc12004"/>
      <w:bookmarkStart w:id="37" w:name="_Toc6556"/>
      <w:bookmarkStart w:id="38" w:name="_Toc10051"/>
      <w:bookmarkStart w:id="39" w:name="_Toc12955"/>
      <w:bookmarkStart w:id="40" w:name="_Toc25060"/>
      <w:bookmarkStart w:id="41" w:name="_Toc22067"/>
      <w:bookmarkStart w:id="42" w:name="_Toc16898"/>
      <w:r>
        <w:rPr>
          <w:rFonts w:hint="eastAsia" w:ascii="黑体" w:hAnsi="黑体" w:eastAsia="黑体" w:cs="黑体"/>
          <w:b w:val="0"/>
          <w:bCs/>
          <w:color w:val="auto"/>
          <w:sz w:val="32"/>
          <w:szCs w:val="32"/>
          <w:highlight w:val="none"/>
        </w:rPr>
        <w:t>三、质量标</w:t>
      </w:r>
      <w:bookmarkEnd w:id="32"/>
      <w:r>
        <w:rPr>
          <w:rFonts w:hint="eastAsia" w:ascii="黑体" w:hAnsi="黑体" w:eastAsia="黑体" w:cs="黑体"/>
          <w:b w:val="0"/>
          <w:bCs/>
          <w:color w:val="auto"/>
          <w:sz w:val="32"/>
          <w:szCs w:val="32"/>
          <w:highlight w:val="none"/>
        </w:rPr>
        <w:t>准</w:t>
      </w:r>
      <w:bookmarkEnd w:id="33"/>
      <w:bookmarkEnd w:id="34"/>
      <w:bookmarkEnd w:id="35"/>
      <w:bookmarkEnd w:id="36"/>
      <w:bookmarkEnd w:id="37"/>
      <w:bookmarkEnd w:id="38"/>
      <w:bookmarkEnd w:id="39"/>
      <w:bookmarkEnd w:id="40"/>
      <w:bookmarkEnd w:id="41"/>
      <w:bookmarkEnd w:id="42"/>
    </w:p>
    <w:p w14:paraId="2EFD3C94">
      <w:pPr>
        <w:keepNext w:val="0"/>
        <w:keepLines w:val="0"/>
        <w:pageBreakBefore w:val="0"/>
        <w:kinsoku/>
        <w:wordWrap/>
        <w:overflowPunct/>
        <w:topLinePunct w:val="0"/>
        <w:bidi w:val="0"/>
        <w:snapToGrid/>
        <w:spacing w:line="560" w:lineRule="exact"/>
        <w:ind w:firstLine="459"/>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工程质量符合</w:t>
      </w:r>
      <w:r>
        <w:rPr>
          <w:rFonts w:hint="eastAsia" w:ascii="仿宋_GB2312" w:hAnsi="仿宋_GB2312" w:eastAsia="仿宋_GB2312" w:cs="仿宋_GB2312"/>
          <w:color w:val="auto"/>
          <w:sz w:val="32"/>
          <w:szCs w:val="32"/>
          <w:highlight w:val="none"/>
          <w:u w:val="single"/>
        </w:rPr>
        <w:t>合格</w:t>
      </w:r>
      <w:r>
        <w:rPr>
          <w:rFonts w:hint="eastAsia" w:ascii="仿宋_GB2312" w:hAnsi="仿宋_GB2312" w:eastAsia="仿宋_GB2312" w:cs="仿宋_GB2312"/>
          <w:color w:val="auto"/>
          <w:sz w:val="32"/>
          <w:szCs w:val="32"/>
          <w:highlight w:val="none"/>
        </w:rPr>
        <w:t>标准</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即</w:t>
      </w:r>
      <w:r>
        <w:rPr>
          <w:rFonts w:hint="eastAsia" w:ascii="仿宋_GB2312" w:hAnsi="仿宋_GB2312" w:eastAsia="仿宋_GB2312" w:cs="仿宋_GB2312"/>
          <w:color w:val="auto"/>
          <w:sz w:val="32"/>
          <w:szCs w:val="32"/>
          <w:highlight w:val="none"/>
        </w:rPr>
        <w:t>工程质量必须按国家颁布的施工验收规范验收合格，符合国家现行标准和设计文件要求，并达到合同约定的质量目标和标准。承包人应严格执行本项目有关合作协议及文件中确定的质量目标执行</w:t>
      </w:r>
      <w:r>
        <w:rPr>
          <w:rFonts w:hint="eastAsia" w:ascii="仿宋_GB2312" w:hAnsi="仿宋_GB2312" w:eastAsia="仿宋_GB2312" w:cs="仿宋_GB2312"/>
          <w:color w:val="auto"/>
          <w:sz w:val="32"/>
          <w:szCs w:val="32"/>
          <w:highlight w:val="none"/>
          <w:lang w:eastAsia="zh-CN"/>
        </w:rPr>
        <w:t>。</w:t>
      </w:r>
      <w:bookmarkStart w:id="43" w:name="_Toc351203484"/>
    </w:p>
    <w:p w14:paraId="02935F47">
      <w:pPr>
        <w:keepNext w:val="0"/>
        <w:keepLines w:val="0"/>
        <w:pageBreakBefore w:val="0"/>
        <w:widowControl/>
        <w:kinsoku/>
        <w:wordWrap/>
        <w:overflowPunct/>
        <w:topLinePunct w:val="0"/>
        <w:bidi w:val="0"/>
        <w:adjustRightInd/>
        <w:snapToGrid/>
        <w:spacing w:line="560" w:lineRule="exact"/>
        <w:ind w:firstLine="640" w:firstLineChars="200"/>
        <w:jc w:val="both"/>
        <w:textAlignment w:val="auto"/>
        <w:outlineLvl w:val="1"/>
        <w:rPr>
          <w:rFonts w:hint="eastAsia" w:ascii="黑体" w:hAnsi="黑体" w:eastAsia="黑体" w:cs="黑体"/>
          <w:b w:val="0"/>
          <w:bCs/>
          <w:color w:val="auto"/>
          <w:sz w:val="32"/>
          <w:szCs w:val="32"/>
          <w:highlight w:val="none"/>
        </w:rPr>
      </w:pPr>
      <w:bookmarkStart w:id="44" w:name="_Toc11275"/>
      <w:bookmarkStart w:id="45" w:name="_Toc15406"/>
      <w:bookmarkStart w:id="46" w:name="_Toc30851"/>
      <w:bookmarkStart w:id="47" w:name="_Toc4412"/>
      <w:bookmarkStart w:id="48" w:name="_Toc32685"/>
      <w:bookmarkStart w:id="49" w:name="_Toc13156"/>
      <w:bookmarkStart w:id="50" w:name="_Toc18906"/>
      <w:bookmarkStart w:id="51" w:name="_Toc26124"/>
      <w:bookmarkStart w:id="52" w:name="_Toc9719"/>
      <w:bookmarkStart w:id="53" w:name="_Toc18105"/>
      <w:r>
        <w:rPr>
          <w:rFonts w:hint="eastAsia" w:ascii="黑体" w:hAnsi="黑体" w:eastAsia="黑体" w:cs="黑体"/>
          <w:b w:val="0"/>
          <w:bCs/>
          <w:color w:val="auto"/>
          <w:sz w:val="32"/>
          <w:szCs w:val="32"/>
          <w:highlight w:val="none"/>
        </w:rPr>
        <w:t>四、签约合同价与合同价格形</w:t>
      </w:r>
      <w:bookmarkEnd w:id="43"/>
      <w:r>
        <w:rPr>
          <w:rFonts w:hint="eastAsia" w:ascii="黑体" w:hAnsi="黑体" w:eastAsia="黑体" w:cs="黑体"/>
          <w:b w:val="0"/>
          <w:bCs/>
          <w:color w:val="auto"/>
          <w:sz w:val="32"/>
          <w:szCs w:val="32"/>
          <w:highlight w:val="none"/>
        </w:rPr>
        <w:t>式</w:t>
      </w:r>
      <w:bookmarkEnd w:id="44"/>
      <w:bookmarkEnd w:id="45"/>
      <w:bookmarkEnd w:id="46"/>
      <w:bookmarkEnd w:id="47"/>
      <w:bookmarkEnd w:id="48"/>
      <w:bookmarkEnd w:id="49"/>
      <w:bookmarkEnd w:id="50"/>
      <w:bookmarkEnd w:id="51"/>
      <w:bookmarkEnd w:id="52"/>
      <w:bookmarkEnd w:id="53"/>
      <w:r>
        <w:rPr>
          <w:rFonts w:hint="eastAsia" w:ascii="黑体" w:hAnsi="黑体" w:eastAsia="黑体" w:cs="黑体"/>
          <w:b w:val="0"/>
          <w:bCs/>
          <w:color w:val="auto"/>
          <w:sz w:val="32"/>
          <w:szCs w:val="32"/>
          <w:highlight w:val="none"/>
        </w:rPr>
        <w:tab/>
      </w:r>
    </w:p>
    <w:p w14:paraId="4F24BF1E">
      <w:pPr>
        <w:keepNext w:val="0"/>
        <w:keepLines w:val="0"/>
        <w:pageBreakBefore w:val="0"/>
        <w:kinsoku/>
        <w:wordWrap/>
        <w:overflowPunct/>
        <w:topLinePunct w:val="0"/>
        <w:bidi w:val="0"/>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1.签约合同价为：含税（大写）</w:t>
      </w:r>
      <w:r>
        <w:rPr>
          <w:rFonts w:hint="eastAsia" w:ascii="仿宋_GB2312" w:hAnsi="仿宋_GB2312" w:eastAsia="仿宋_GB2312" w:cs="仿宋_GB2312"/>
          <w:color w:val="auto"/>
          <w:sz w:val="32"/>
          <w:szCs w:val="32"/>
          <w:highlight w:val="none"/>
          <w:lang w:val="en-US" w:eastAsia="zh-CN"/>
        </w:rPr>
        <w:t>人民币</w:t>
      </w:r>
      <w:permStart w:id="28" w:edGrp="everyone"/>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u w:val="single"/>
          <w:lang w:eastAsia="zh-CN"/>
        </w:rPr>
        <w:t>（</w:t>
      </w:r>
      <w:r>
        <w:rPr>
          <w:rFonts w:hint="eastAsia" w:ascii="仿宋_GB2312" w:hAnsi="仿宋_GB2312" w:eastAsia="仿宋_GB2312" w:cs="仿宋_GB2312"/>
          <w:color w:val="auto"/>
          <w:sz w:val="32"/>
          <w:szCs w:val="32"/>
          <w:highlight w:val="none"/>
          <w:u w:val="none"/>
        </w:rPr>
        <w:t>¥</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u w:val="single"/>
          <w:lang w:val="en-US" w:eastAsia="zh-CN"/>
        </w:rPr>
        <w:t xml:space="preserve">  </w:t>
      </w:r>
      <w:r>
        <w:rPr>
          <w:rFonts w:hint="eastAsia" w:ascii="仿宋_GB2312" w:hAnsi="仿宋_GB2312" w:eastAsia="仿宋_GB2312" w:cs="仿宋_GB2312"/>
          <w:color w:val="auto"/>
          <w:sz w:val="32"/>
          <w:szCs w:val="32"/>
          <w:highlight w:val="none"/>
          <w:u w:val="single"/>
        </w:rPr>
        <w:tab/>
      </w:r>
      <w:r>
        <w:rPr>
          <w:rFonts w:hint="eastAsia" w:ascii="仿宋_GB2312" w:hAnsi="仿宋_GB2312" w:eastAsia="仿宋_GB2312" w:cs="仿宋_GB2312"/>
          <w:color w:val="auto"/>
          <w:sz w:val="32"/>
          <w:szCs w:val="32"/>
          <w:highlight w:val="none"/>
          <w:u w:val="none"/>
          <w:lang w:val="en-US" w:eastAsia="zh-CN"/>
        </w:rPr>
        <w:t>元）</w:t>
      </w:r>
      <w:permEnd w:id="28"/>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rPr>
        <w:t>不含税（大写）人民币</w:t>
      </w:r>
      <w:permStart w:id="29" w:edGrp="everyone"/>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u w:val="single"/>
          <w:lang w:eastAsia="zh-CN"/>
        </w:rPr>
        <w:t>（</w:t>
      </w:r>
      <w:r>
        <w:rPr>
          <w:rFonts w:hint="eastAsia" w:ascii="仿宋_GB2312" w:hAnsi="仿宋_GB2312" w:eastAsia="仿宋_GB2312" w:cs="仿宋_GB2312"/>
          <w:color w:val="auto"/>
          <w:sz w:val="32"/>
          <w:szCs w:val="32"/>
          <w:highlight w:val="none"/>
          <w:u w:val="none"/>
        </w:rPr>
        <w:t>¥</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u w:val="single"/>
          <w:lang w:val="en-US" w:eastAsia="zh-CN"/>
        </w:rPr>
        <w:t xml:space="preserve">  </w:t>
      </w:r>
      <w:r>
        <w:rPr>
          <w:rFonts w:hint="eastAsia" w:ascii="仿宋_GB2312" w:hAnsi="仿宋_GB2312" w:eastAsia="仿宋_GB2312" w:cs="仿宋_GB2312"/>
          <w:color w:val="auto"/>
          <w:sz w:val="32"/>
          <w:szCs w:val="32"/>
          <w:highlight w:val="none"/>
          <w:u w:val="single"/>
        </w:rPr>
        <w:tab/>
      </w:r>
      <w:r>
        <w:rPr>
          <w:rFonts w:hint="eastAsia" w:ascii="仿宋_GB2312" w:hAnsi="仿宋_GB2312" w:eastAsia="仿宋_GB2312" w:cs="仿宋_GB2312"/>
          <w:color w:val="auto"/>
          <w:sz w:val="32"/>
          <w:szCs w:val="32"/>
          <w:highlight w:val="none"/>
          <w:u w:val="none"/>
          <w:lang w:val="en-US" w:eastAsia="zh-CN"/>
        </w:rPr>
        <w:t>元）</w:t>
      </w:r>
      <w:permEnd w:id="29"/>
      <w:r>
        <w:rPr>
          <w:rFonts w:hint="eastAsia" w:ascii="仿宋_GB2312" w:hAnsi="仿宋_GB2312" w:eastAsia="仿宋_GB2312" w:cs="仿宋_GB2312"/>
          <w:color w:val="auto"/>
          <w:sz w:val="32"/>
          <w:szCs w:val="32"/>
          <w:highlight w:val="none"/>
          <w:u w:val="none"/>
          <w:lang w:val="en-US" w:eastAsia="zh-CN"/>
        </w:rPr>
        <w:t>；</w:t>
      </w:r>
      <w:r>
        <w:rPr>
          <w:rFonts w:hint="eastAsia" w:ascii="仿宋_GB2312" w:hAnsi="仿宋_GB2312" w:eastAsia="仿宋_GB2312" w:cs="仿宋_GB2312"/>
          <w:color w:val="auto"/>
          <w:sz w:val="32"/>
          <w:szCs w:val="32"/>
          <w:highlight w:val="none"/>
          <w:lang w:val="en-US" w:eastAsia="zh-CN"/>
        </w:rPr>
        <w:t>其中包括如下项目费用：</w:t>
      </w:r>
    </w:p>
    <w:p w14:paraId="01A9A4AC">
      <w:pPr>
        <w:keepNext w:val="0"/>
        <w:keepLines w:val="0"/>
        <w:pageBreakBefore w:val="0"/>
        <w:kinsoku/>
        <w:wordWrap/>
        <w:overflowPunct/>
        <w:topLinePunct w:val="0"/>
        <w:bidi w:val="0"/>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（1）安全文明施工费基本部分：</w:t>
      </w:r>
      <w:r>
        <w:rPr>
          <w:rFonts w:hint="eastAsia" w:ascii="仿宋_GB2312" w:hAnsi="仿宋_GB2312" w:eastAsia="仿宋_GB2312" w:cs="仿宋_GB2312"/>
          <w:color w:val="auto"/>
          <w:sz w:val="32"/>
          <w:szCs w:val="32"/>
          <w:highlight w:val="none"/>
        </w:rPr>
        <w:t>（大写）</w:t>
      </w:r>
      <w:r>
        <w:rPr>
          <w:rFonts w:hint="eastAsia" w:ascii="仿宋_GB2312" w:hAnsi="仿宋_GB2312" w:eastAsia="仿宋_GB2312" w:cs="仿宋_GB2312"/>
          <w:color w:val="auto"/>
          <w:sz w:val="32"/>
          <w:szCs w:val="32"/>
          <w:highlight w:val="none"/>
          <w:lang w:val="en-US" w:eastAsia="zh-CN"/>
        </w:rPr>
        <w:t>人民币</w:t>
      </w:r>
      <w:permStart w:id="30" w:edGrp="everyone"/>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u w:val="single"/>
          <w:lang w:eastAsia="zh-CN"/>
        </w:rPr>
        <w:t>（</w:t>
      </w:r>
      <w:r>
        <w:rPr>
          <w:rFonts w:hint="eastAsia" w:ascii="仿宋_GB2312" w:hAnsi="仿宋_GB2312" w:eastAsia="仿宋_GB2312" w:cs="仿宋_GB2312"/>
          <w:color w:val="auto"/>
          <w:sz w:val="32"/>
          <w:szCs w:val="32"/>
          <w:highlight w:val="none"/>
          <w:u w:val="none"/>
        </w:rPr>
        <w:t>¥</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u w:val="single"/>
        </w:rPr>
        <w:tab/>
      </w:r>
      <w:r>
        <w:rPr>
          <w:rFonts w:hint="eastAsia" w:ascii="仿宋_GB2312" w:hAnsi="仿宋_GB2312" w:eastAsia="仿宋_GB2312" w:cs="仿宋_GB2312"/>
          <w:color w:val="auto"/>
          <w:sz w:val="32"/>
          <w:szCs w:val="32"/>
          <w:highlight w:val="none"/>
          <w:u w:val="single"/>
        </w:rPr>
        <w:tab/>
      </w:r>
      <w:r>
        <w:rPr>
          <w:rFonts w:hint="eastAsia" w:ascii="仿宋_GB2312" w:hAnsi="仿宋_GB2312" w:eastAsia="仿宋_GB2312" w:cs="仿宋_GB2312"/>
          <w:color w:val="auto"/>
          <w:sz w:val="32"/>
          <w:szCs w:val="32"/>
          <w:highlight w:val="none"/>
          <w:u w:val="single"/>
          <w:lang w:val="en-US" w:eastAsia="zh-CN"/>
        </w:rPr>
        <w:t xml:space="preserve">  </w:t>
      </w:r>
      <w:r>
        <w:rPr>
          <w:rFonts w:hint="eastAsia" w:ascii="仿宋_GB2312" w:hAnsi="仿宋_GB2312" w:eastAsia="仿宋_GB2312" w:cs="仿宋_GB2312"/>
          <w:color w:val="auto"/>
          <w:sz w:val="32"/>
          <w:szCs w:val="32"/>
          <w:highlight w:val="none"/>
          <w:u w:val="none"/>
          <w:lang w:val="en-US" w:eastAsia="zh-CN"/>
        </w:rPr>
        <w:t>元）</w:t>
      </w:r>
      <w:permEnd w:id="30"/>
      <w:r>
        <w:rPr>
          <w:rFonts w:hint="eastAsia" w:ascii="仿宋_GB2312" w:hAnsi="仿宋_GB2312" w:eastAsia="仿宋_GB2312" w:cs="仿宋_GB2312"/>
          <w:color w:val="auto"/>
          <w:sz w:val="32"/>
          <w:szCs w:val="32"/>
          <w:highlight w:val="none"/>
          <w:lang w:val="en-US" w:eastAsia="zh-CN"/>
        </w:rPr>
        <w:t>。</w:t>
      </w:r>
    </w:p>
    <w:p w14:paraId="6BEB561E">
      <w:pPr>
        <w:keepNext w:val="0"/>
        <w:keepLines w:val="0"/>
        <w:pageBreakBefore w:val="0"/>
        <w:kinsoku/>
        <w:wordWrap/>
        <w:overflowPunct/>
        <w:topLinePunct w:val="0"/>
        <w:bidi w:val="0"/>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（2）材料和工程设备暂估价金额：</w:t>
      </w:r>
      <w:r>
        <w:rPr>
          <w:rFonts w:hint="eastAsia" w:ascii="仿宋_GB2312" w:hAnsi="仿宋_GB2312" w:eastAsia="仿宋_GB2312" w:cs="仿宋_GB2312"/>
          <w:color w:val="auto"/>
          <w:sz w:val="32"/>
          <w:szCs w:val="32"/>
          <w:highlight w:val="none"/>
        </w:rPr>
        <w:t>（大写）</w:t>
      </w:r>
      <w:r>
        <w:rPr>
          <w:rFonts w:hint="eastAsia" w:ascii="仿宋_GB2312" w:hAnsi="仿宋_GB2312" w:eastAsia="仿宋_GB2312" w:cs="仿宋_GB2312"/>
          <w:color w:val="auto"/>
          <w:sz w:val="32"/>
          <w:szCs w:val="32"/>
          <w:highlight w:val="none"/>
          <w:lang w:val="en-US" w:eastAsia="zh-CN"/>
        </w:rPr>
        <w:t>人民币</w:t>
      </w:r>
      <w:permStart w:id="31" w:edGrp="everyone"/>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u w:val="single"/>
          <w:lang w:eastAsia="zh-CN"/>
        </w:rPr>
        <w:t>（</w:t>
      </w:r>
      <w:r>
        <w:rPr>
          <w:rFonts w:hint="eastAsia" w:ascii="仿宋_GB2312" w:hAnsi="仿宋_GB2312" w:eastAsia="仿宋_GB2312" w:cs="仿宋_GB2312"/>
          <w:color w:val="auto"/>
          <w:sz w:val="32"/>
          <w:szCs w:val="32"/>
          <w:highlight w:val="none"/>
          <w:u w:val="none"/>
        </w:rPr>
        <w:t>¥</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u w:val="single"/>
        </w:rPr>
        <w:tab/>
      </w:r>
      <w:r>
        <w:rPr>
          <w:rFonts w:hint="eastAsia" w:ascii="仿宋_GB2312" w:hAnsi="仿宋_GB2312" w:eastAsia="仿宋_GB2312" w:cs="仿宋_GB2312"/>
          <w:color w:val="auto"/>
          <w:sz w:val="32"/>
          <w:szCs w:val="32"/>
          <w:highlight w:val="none"/>
          <w:u w:val="single"/>
        </w:rPr>
        <w:tab/>
      </w:r>
      <w:r>
        <w:rPr>
          <w:rFonts w:hint="eastAsia" w:ascii="仿宋_GB2312" w:hAnsi="仿宋_GB2312" w:eastAsia="仿宋_GB2312" w:cs="仿宋_GB2312"/>
          <w:color w:val="auto"/>
          <w:sz w:val="32"/>
          <w:szCs w:val="32"/>
          <w:highlight w:val="none"/>
          <w:u w:val="none"/>
          <w:lang w:val="en-US" w:eastAsia="zh-CN"/>
        </w:rPr>
        <w:t>元）</w:t>
      </w:r>
      <w:permEnd w:id="31"/>
      <w:r>
        <w:rPr>
          <w:rFonts w:hint="eastAsia" w:ascii="仿宋_GB2312" w:hAnsi="仿宋_GB2312" w:eastAsia="仿宋_GB2312" w:cs="仿宋_GB2312"/>
          <w:color w:val="auto"/>
          <w:sz w:val="32"/>
          <w:szCs w:val="32"/>
          <w:highlight w:val="none"/>
          <w:lang w:val="en-US" w:eastAsia="zh-CN"/>
        </w:rPr>
        <w:t>；</w:t>
      </w:r>
    </w:p>
    <w:p w14:paraId="32541149">
      <w:pPr>
        <w:keepNext w:val="0"/>
        <w:keepLines w:val="0"/>
        <w:pageBreakBefore w:val="0"/>
        <w:kinsoku/>
        <w:wordWrap/>
        <w:overflowPunct/>
        <w:topLinePunct w:val="0"/>
        <w:bidi w:val="0"/>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（3）专业工程暂估价金额：</w:t>
      </w:r>
      <w:r>
        <w:rPr>
          <w:rFonts w:hint="eastAsia" w:ascii="仿宋_GB2312" w:hAnsi="仿宋_GB2312" w:eastAsia="仿宋_GB2312" w:cs="仿宋_GB2312"/>
          <w:color w:val="auto"/>
          <w:sz w:val="32"/>
          <w:szCs w:val="32"/>
          <w:highlight w:val="none"/>
        </w:rPr>
        <w:t>（大写）</w:t>
      </w:r>
      <w:r>
        <w:rPr>
          <w:rFonts w:hint="eastAsia" w:ascii="仿宋_GB2312" w:hAnsi="仿宋_GB2312" w:eastAsia="仿宋_GB2312" w:cs="仿宋_GB2312"/>
          <w:color w:val="auto"/>
          <w:sz w:val="32"/>
          <w:szCs w:val="32"/>
          <w:highlight w:val="none"/>
          <w:lang w:val="en-US" w:eastAsia="zh-CN"/>
        </w:rPr>
        <w:t>人民币</w:t>
      </w:r>
      <w:permStart w:id="32" w:edGrp="everyone"/>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u w:val="single"/>
          <w:lang w:eastAsia="zh-CN"/>
        </w:rPr>
        <w:t>（</w:t>
      </w:r>
      <w:r>
        <w:rPr>
          <w:rFonts w:hint="eastAsia" w:ascii="仿宋_GB2312" w:hAnsi="仿宋_GB2312" w:eastAsia="仿宋_GB2312" w:cs="仿宋_GB2312"/>
          <w:color w:val="auto"/>
          <w:sz w:val="32"/>
          <w:szCs w:val="32"/>
          <w:highlight w:val="none"/>
          <w:u w:val="none"/>
        </w:rPr>
        <w:t>¥</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u w:val="single"/>
        </w:rPr>
        <w:tab/>
      </w:r>
      <w:r>
        <w:rPr>
          <w:rFonts w:hint="eastAsia" w:ascii="仿宋_GB2312" w:hAnsi="仿宋_GB2312" w:eastAsia="仿宋_GB2312" w:cs="仿宋_GB2312"/>
          <w:color w:val="auto"/>
          <w:sz w:val="32"/>
          <w:szCs w:val="32"/>
          <w:highlight w:val="none"/>
          <w:u w:val="single"/>
        </w:rPr>
        <w:tab/>
      </w:r>
      <w:r>
        <w:rPr>
          <w:rFonts w:hint="eastAsia" w:ascii="仿宋_GB2312" w:hAnsi="仿宋_GB2312" w:eastAsia="仿宋_GB2312" w:cs="仿宋_GB2312"/>
          <w:color w:val="auto"/>
          <w:sz w:val="32"/>
          <w:szCs w:val="32"/>
          <w:highlight w:val="none"/>
          <w:u w:val="none"/>
          <w:lang w:val="en-US" w:eastAsia="zh-CN"/>
        </w:rPr>
        <w:t>元）</w:t>
      </w:r>
      <w:permEnd w:id="32"/>
      <w:r>
        <w:rPr>
          <w:rFonts w:hint="eastAsia" w:ascii="仿宋_GB2312" w:hAnsi="仿宋_GB2312" w:eastAsia="仿宋_GB2312" w:cs="仿宋_GB2312"/>
          <w:color w:val="auto"/>
          <w:sz w:val="32"/>
          <w:szCs w:val="32"/>
          <w:highlight w:val="none"/>
          <w:lang w:val="en-US" w:eastAsia="zh-CN"/>
        </w:rPr>
        <w:t>；</w:t>
      </w:r>
    </w:p>
    <w:p w14:paraId="100139AD">
      <w:pPr>
        <w:keepNext w:val="0"/>
        <w:keepLines w:val="0"/>
        <w:pageBreakBefore w:val="0"/>
        <w:kinsoku/>
        <w:wordWrap/>
        <w:overflowPunct/>
        <w:topLinePunct w:val="0"/>
        <w:bidi w:val="0"/>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（4）暂列金额：</w:t>
      </w:r>
      <w:r>
        <w:rPr>
          <w:rFonts w:hint="eastAsia" w:ascii="仿宋_GB2312" w:hAnsi="仿宋_GB2312" w:eastAsia="仿宋_GB2312" w:cs="仿宋_GB2312"/>
          <w:color w:val="auto"/>
          <w:sz w:val="32"/>
          <w:szCs w:val="32"/>
          <w:highlight w:val="none"/>
        </w:rPr>
        <w:t>（大写）</w:t>
      </w:r>
      <w:r>
        <w:rPr>
          <w:rFonts w:hint="eastAsia" w:ascii="仿宋_GB2312" w:hAnsi="仿宋_GB2312" w:eastAsia="仿宋_GB2312" w:cs="仿宋_GB2312"/>
          <w:color w:val="auto"/>
          <w:sz w:val="32"/>
          <w:szCs w:val="32"/>
          <w:highlight w:val="none"/>
          <w:lang w:val="en-US" w:eastAsia="zh-CN"/>
        </w:rPr>
        <w:t>人民币</w:t>
      </w:r>
      <w:permStart w:id="33" w:edGrp="everyone"/>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u w:val="single"/>
          <w:lang w:eastAsia="zh-CN"/>
        </w:rPr>
        <w:t>（</w:t>
      </w:r>
      <w:r>
        <w:rPr>
          <w:rFonts w:hint="eastAsia" w:ascii="仿宋_GB2312" w:hAnsi="仿宋_GB2312" w:eastAsia="仿宋_GB2312" w:cs="仿宋_GB2312"/>
          <w:color w:val="auto"/>
          <w:sz w:val="32"/>
          <w:szCs w:val="32"/>
          <w:highlight w:val="none"/>
          <w:u w:val="none"/>
        </w:rPr>
        <w:t>¥</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u w:val="single"/>
        </w:rPr>
        <w:tab/>
      </w:r>
      <w:r>
        <w:rPr>
          <w:rFonts w:hint="eastAsia" w:ascii="仿宋_GB2312" w:hAnsi="仿宋_GB2312" w:eastAsia="仿宋_GB2312" w:cs="仿宋_GB2312"/>
          <w:color w:val="auto"/>
          <w:sz w:val="32"/>
          <w:szCs w:val="32"/>
          <w:highlight w:val="none"/>
          <w:u w:val="single"/>
        </w:rPr>
        <w:tab/>
      </w:r>
      <w:r>
        <w:rPr>
          <w:rFonts w:hint="eastAsia" w:ascii="仿宋_GB2312" w:hAnsi="仿宋_GB2312" w:eastAsia="仿宋_GB2312" w:cs="仿宋_GB2312"/>
          <w:color w:val="auto"/>
          <w:sz w:val="32"/>
          <w:szCs w:val="32"/>
          <w:highlight w:val="none"/>
          <w:u w:val="none"/>
          <w:lang w:val="en-US" w:eastAsia="zh-CN"/>
        </w:rPr>
        <w:t>元）</w:t>
      </w:r>
      <w:permEnd w:id="33"/>
      <w:r>
        <w:rPr>
          <w:rFonts w:hint="eastAsia" w:ascii="仿宋_GB2312" w:hAnsi="仿宋_GB2312" w:eastAsia="仿宋_GB2312" w:cs="仿宋_GB2312"/>
          <w:color w:val="auto"/>
          <w:sz w:val="32"/>
          <w:szCs w:val="32"/>
          <w:highlight w:val="none"/>
          <w:lang w:val="en-US" w:eastAsia="zh-CN"/>
        </w:rPr>
        <w:t>。</w:t>
      </w:r>
    </w:p>
    <w:p w14:paraId="194235F2">
      <w:pPr>
        <w:keepNext w:val="0"/>
        <w:keepLines w:val="0"/>
        <w:pageBreakBefore w:val="0"/>
        <w:kinsoku/>
        <w:wordWrap/>
        <w:overflowPunct/>
        <w:topLinePunct w:val="0"/>
        <w:autoSpaceDE/>
        <w:autoSpaceDN/>
        <w:bidi w:val="0"/>
        <w:adjustRightInd w:val="0"/>
        <w:snapToGrid/>
        <w:spacing w:line="560" w:lineRule="exact"/>
        <w:ind w:left="0" w:leftChars="0" w:firstLine="640" w:firstLineChars="200"/>
        <w:textAlignment w:val="auto"/>
        <w:rPr>
          <w:rFonts w:hint="eastAsia" w:ascii="仿宋_GB2312" w:hAnsi="仿宋_GB2312" w:eastAsia="仿宋_GB2312" w:cs="仿宋_GB2312"/>
          <w:b w:val="0"/>
          <w:bCs w:val="0"/>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以上价款的</w:t>
      </w:r>
      <w:r>
        <w:rPr>
          <w:rFonts w:hint="eastAsia" w:ascii="仿宋_GB2312" w:hAnsi="仿宋_GB2312" w:eastAsia="仿宋_GB2312" w:cs="仿宋_GB2312"/>
          <w:color w:val="auto"/>
          <w:sz w:val="32"/>
          <w:szCs w:val="32"/>
          <w:highlight w:val="none"/>
        </w:rPr>
        <w:t>税率</w:t>
      </w:r>
      <w:r>
        <w:rPr>
          <w:rFonts w:hint="eastAsia" w:ascii="仿宋_GB2312" w:hAnsi="仿宋_GB2312" w:eastAsia="仿宋_GB2312" w:cs="仿宋_GB2312"/>
          <w:color w:val="auto"/>
          <w:sz w:val="32"/>
          <w:szCs w:val="32"/>
          <w:highlight w:val="none"/>
          <w:lang w:val="en-US" w:eastAsia="zh-CN"/>
        </w:rPr>
        <w:t>均</w:t>
      </w:r>
      <w:r>
        <w:rPr>
          <w:rFonts w:hint="eastAsia" w:ascii="仿宋_GB2312" w:hAnsi="仿宋_GB2312" w:eastAsia="仿宋_GB2312" w:cs="仿宋_GB2312"/>
          <w:color w:val="auto"/>
          <w:sz w:val="32"/>
          <w:szCs w:val="32"/>
          <w:highlight w:val="none"/>
        </w:rPr>
        <w:t>为</w:t>
      </w:r>
      <w:permStart w:id="34" w:edGrp="everyone"/>
      <w:r>
        <w:rPr>
          <w:rFonts w:hint="eastAsia" w:ascii="仿宋_GB2312" w:hAnsi="仿宋_GB2312" w:eastAsia="仿宋_GB2312" w:cs="仿宋_GB2312"/>
          <w:color w:val="auto"/>
          <w:sz w:val="32"/>
          <w:szCs w:val="32"/>
          <w:highlight w:val="none"/>
          <w:u w:val="single"/>
          <w:lang w:val="en-US" w:eastAsia="zh-CN"/>
        </w:rPr>
        <w:t xml:space="preserve">  </w:t>
      </w:r>
      <w:r>
        <w:rPr>
          <w:rFonts w:hint="eastAsia" w:ascii="仿宋_GB2312" w:hAnsi="仿宋_GB2312" w:eastAsia="仿宋_GB2312" w:cs="仿宋_GB2312"/>
          <w:color w:val="auto"/>
          <w:sz w:val="32"/>
          <w:szCs w:val="32"/>
          <w:highlight w:val="none"/>
          <w:u w:val="single"/>
        </w:rPr>
        <w:t xml:space="preserve"> </w:t>
      </w:r>
      <w:permEnd w:id="34"/>
      <w:r>
        <w:rPr>
          <w:rFonts w:hint="eastAsia" w:ascii="仿宋_GB2312" w:hAnsi="仿宋_GB2312" w:eastAsia="仿宋_GB2312" w:cs="仿宋_GB2312"/>
          <w:color w:val="auto"/>
          <w:sz w:val="32"/>
          <w:szCs w:val="32"/>
          <w:highlight w:val="none"/>
        </w:rPr>
        <w:t>%；如遇国家税率调整，则合同含税价及税率相应调整，承包人应按纳税义务发生时的税率开具增值税发票，税率变化导致价税金额的变更应在进度及结算金额中进行调整。合同价款包含</w:t>
      </w:r>
      <w:r>
        <w:rPr>
          <w:rFonts w:hint="eastAsia" w:ascii="仿宋_GB2312" w:hAnsi="仿宋_GB2312" w:eastAsia="仿宋_GB2312" w:cs="仿宋_GB2312"/>
          <w:color w:val="auto"/>
          <w:sz w:val="32"/>
          <w:szCs w:val="32"/>
          <w:highlight w:val="none"/>
          <w:lang w:val="en-US" w:eastAsia="zh-CN"/>
        </w:rPr>
        <w:t>承包人</w:t>
      </w:r>
      <w:r>
        <w:rPr>
          <w:rFonts w:hint="eastAsia" w:ascii="仿宋_GB2312" w:hAnsi="仿宋_GB2312" w:eastAsia="仿宋_GB2312" w:cs="仿宋_GB2312"/>
          <w:color w:val="auto"/>
          <w:sz w:val="32"/>
          <w:szCs w:val="32"/>
          <w:highlight w:val="none"/>
        </w:rPr>
        <w:t>为履行本合同所支出的一切费用，包括但不限于服务费、编制费、版权费、资料费、食宿费、人工费、交通费、差旅费、税费等全部费用，除双方另有约定外，委托人无需另行支付任何其他费用。</w:t>
      </w:r>
      <w:permStart w:id="35" w:edGrp="everyone"/>
      <w:permEnd w:id="35"/>
    </w:p>
    <w:p w14:paraId="493A8440">
      <w:pPr>
        <w:keepNext w:val="0"/>
        <w:keepLines w:val="0"/>
        <w:pageBreakBefore w:val="0"/>
        <w:kinsoku/>
        <w:wordWrap/>
        <w:overflowPunct/>
        <w:topLinePunct w:val="0"/>
        <w:bidi w:val="0"/>
        <w:snapToGrid/>
        <w:spacing w:line="560" w:lineRule="exact"/>
        <w:ind w:firstLine="800" w:firstLineChars="25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中标下浮率为</w:t>
      </w:r>
      <w:permStart w:id="36" w:edGrp="everyone"/>
      <w:r>
        <w:rPr>
          <w:rFonts w:hint="eastAsia" w:ascii="仿宋_GB2312" w:hAnsi="仿宋_GB2312" w:eastAsia="仿宋_GB2312" w:cs="仿宋_GB2312"/>
          <w:color w:val="auto"/>
          <w:sz w:val="32"/>
          <w:szCs w:val="32"/>
          <w:highlight w:val="none"/>
          <w:u w:val="single"/>
        </w:rPr>
        <w:t xml:space="preserve">    </w:t>
      </w:r>
      <w:permEnd w:id="36"/>
      <w:r>
        <w:rPr>
          <w:rFonts w:hint="eastAsia" w:ascii="仿宋_GB2312" w:hAnsi="仿宋_GB2312" w:eastAsia="仿宋_GB2312" w:cs="仿宋_GB2312"/>
          <w:color w:val="auto"/>
          <w:sz w:val="32"/>
          <w:szCs w:val="32"/>
          <w:highlight w:val="none"/>
        </w:rPr>
        <w:t>%。中标下浮率=[1-（中标价-暂列金额-暂估价）/（招标控制价-暂列金额-暂估价）]*100%；公式中的暂列金和暂估价系指计取税金后的暂列金和暂估价。</w:t>
      </w:r>
    </w:p>
    <w:p w14:paraId="47A4967D">
      <w:pPr>
        <w:keepNext w:val="0"/>
        <w:keepLines w:val="0"/>
        <w:pageBreakBefore w:val="0"/>
        <w:kinsoku/>
        <w:wordWrap/>
        <w:overflowPunct/>
        <w:topLinePunct w:val="0"/>
        <w:bidi w:val="0"/>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2.合同价格形式：</w:t>
      </w:r>
      <w:permStart w:id="37" w:edGrp="everyone"/>
      <w:r>
        <w:rPr>
          <w:rFonts w:hint="eastAsia" w:ascii="仿宋_GB2312" w:hAnsi="仿宋_GB2312" w:eastAsia="仿宋_GB2312" w:cs="仿宋_GB2312"/>
          <w:color w:val="auto"/>
          <w:sz w:val="32"/>
          <w:szCs w:val="32"/>
          <w:highlight w:val="none"/>
          <w:u w:val="none"/>
        </w:rPr>
        <w:t>固定综合单价</w:t>
      </w:r>
      <w:permEnd w:id="37"/>
      <w:r>
        <w:rPr>
          <w:rFonts w:hint="eastAsia" w:ascii="仿宋_GB2312" w:hAnsi="仿宋_GB2312" w:eastAsia="仿宋_GB2312" w:cs="仿宋_GB2312"/>
          <w:color w:val="auto"/>
          <w:sz w:val="32"/>
          <w:szCs w:val="32"/>
          <w:highlight w:val="none"/>
        </w:rPr>
        <w:t>。</w:t>
      </w:r>
    </w:p>
    <w:p w14:paraId="4D296699">
      <w:pPr>
        <w:keepNext w:val="0"/>
        <w:keepLines w:val="0"/>
        <w:pageBreakBefore w:val="0"/>
        <w:widowControl/>
        <w:kinsoku/>
        <w:wordWrap/>
        <w:overflowPunct/>
        <w:topLinePunct w:val="0"/>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u w:val="none"/>
        </w:rPr>
        <w:t>工程结算时，综合单价不变，结算时根据发包人书面确认的施工图纸及设计变更工程签证等双方确认资料，按照合同约定的计量规则计算，最终结算金额以发包人结算审核通过及第三方审计机构核定（如有）为准。</w:t>
      </w:r>
      <w:r>
        <w:rPr>
          <w:rFonts w:hint="eastAsia" w:ascii="仿宋_GB2312" w:hAnsi="仿宋_GB2312" w:eastAsia="仿宋_GB2312" w:cs="仿宋_GB2312"/>
          <w:color w:val="auto"/>
          <w:kern w:val="0"/>
          <w:sz w:val="32"/>
          <w:szCs w:val="32"/>
          <w:highlight w:val="none"/>
        </w:rPr>
        <w:t>综合单价包括完成</w:t>
      </w:r>
      <w:permStart w:id="38" w:edGrp="everyone"/>
      <w:r>
        <w:rPr>
          <w:rFonts w:hint="eastAsia" w:ascii="仿宋_GB2312" w:hAnsi="仿宋_GB2312" w:eastAsia="仿宋_GB2312" w:cs="仿宋_GB2312"/>
          <w:color w:val="auto"/>
          <w:kern w:val="0"/>
          <w:sz w:val="32"/>
          <w:szCs w:val="32"/>
          <w:highlight w:val="none"/>
        </w:rPr>
        <w:t>工程量清单</w:t>
      </w:r>
      <w:permEnd w:id="38"/>
      <w:r>
        <w:rPr>
          <w:rFonts w:hint="eastAsia" w:ascii="仿宋_GB2312" w:hAnsi="仿宋_GB2312" w:eastAsia="仿宋_GB2312" w:cs="仿宋_GB2312"/>
          <w:color w:val="auto"/>
          <w:kern w:val="0"/>
          <w:sz w:val="32"/>
          <w:szCs w:val="32"/>
          <w:highlight w:val="none"/>
        </w:rPr>
        <w:t>中一个规定计量单位项目所需的人工费、材料费、机械使用费、管理费和利润</w:t>
      </w:r>
      <w:r>
        <w:rPr>
          <w:rFonts w:hint="eastAsia" w:ascii="仿宋_GB2312" w:hAnsi="仿宋_GB2312" w:eastAsia="仿宋_GB2312" w:cs="仿宋_GB2312"/>
          <w:color w:val="auto"/>
          <w:kern w:val="0"/>
          <w:sz w:val="32"/>
          <w:szCs w:val="32"/>
          <w:highlight w:val="none"/>
          <w:lang w:val="en-US" w:eastAsia="zh-Hans"/>
        </w:rPr>
        <w:t>等</w:t>
      </w:r>
      <w:r>
        <w:rPr>
          <w:rFonts w:hint="eastAsia" w:ascii="仿宋_GB2312" w:hAnsi="仿宋_GB2312" w:eastAsia="仿宋_GB2312" w:cs="仿宋_GB2312"/>
          <w:color w:val="auto"/>
          <w:kern w:val="0"/>
          <w:sz w:val="32"/>
          <w:szCs w:val="32"/>
          <w:highlight w:val="none"/>
        </w:rPr>
        <w:t>，并综合考虑物价浮动、政策性文件价格调整等风险因素在内的一切费用。综合单价将贯穿于投标报价、工程款支付、洽商处理和竣工结算的始终。除非合同另有约定，否则不作调整。</w:t>
      </w:r>
    </w:p>
    <w:p w14:paraId="5F38C4D6">
      <w:pPr>
        <w:keepNext w:val="0"/>
        <w:keepLines w:val="0"/>
        <w:pageBreakBefore w:val="0"/>
        <w:kinsoku/>
        <w:wordWrap/>
        <w:overflowPunct/>
        <w:topLinePunct w:val="0"/>
        <w:bidi w:val="0"/>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承包人在提交书面请款函时应附合法有效的等额增值税发票，如因承包人未按时提交或金额等信息错误的，发包人的付款时间相应顺延且不构成违约。若承包人所开具的发票不规范、不合法或涉嫌虚开，所引起的法律责任概由承包人承担，由此造成发包人损失的由承包人进行赔偿，并且不能免除承包人继续向发包人开具合法有效等额增值税发票的义务。</w:t>
      </w:r>
      <w:bookmarkStart w:id="54" w:name="_Toc351203485"/>
    </w:p>
    <w:p w14:paraId="6FBF1E94">
      <w:pPr>
        <w:keepNext w:val="0"/>
        <w:keepLines w:val="0"/>
        <w:pageBreakBefore w:val="0"/>
        <w:widowControl/>
        <w:kinsoku/>
        <w:wordWrap/>
        <w:overflowPunct/>
        <w:topLinePunct w:val="0"/>
        <w:bidi w:val="0"/>
        <w:adjustRightInd/>
        <w:snapToGrid/>
        <w:spacing w:line="560" w:lineRule="exact"/>
        <w:ind w:firstLine="640" w:firstLineChars="200"/>
        <w:jc w:val="both"/>
        <w:textAlignment w:val="auto"/>
        <w:outlineLvl w:val="1"/>
        <w:rPr>
          <w:rFonts w:hint="eastAsia" w:ascii="黑体" w:hAnsi="黑体" w:eastAsia="黑体" w:cs="黑体"/>
          <w:b w:val="0"/>
          <w:bCs/>
          <w:color w:val="auto"/>
          <w:sz w:val="32"/>
          <w:szCs w:val="32"/>
          <w:highlight w:val="none"/>
        </w:rPr>
      </w:pPr>
      <w:bookmarkStart w:id="55" w:name="_Toc27371"/>
      <w:bookmarkStart w:id="56" w:name="_Toc12527"/>
      <w:bookmarkStart w:id="57" w:name="_Toc31026"/>
      <w:bookmarkStart w:id="58" w:name="_Toc15211"/>
      <w:bookmarkStart w:id="59" w:name="_Toc28403"/>
      <w:bookmarkStart w:id="60" w:name="_Toc16897"/>
      <w:bookmarkStart w:id="61" w:name="_Toc12453"/>
      <w:bookmarkStart w:id="62" w:name="_Toc11620"/>
      <w:bookmarkStart w:id="63" w:name="_Toc7728"/>
      <w:bookmarkStart w:id="64" w:name="_Toc10282"/>
      <w:bookmarkStart w:id="65" w:name="_Toc17896"/>
      <w:bookmarkStart w:id="66" w:name="_Toc9770"/>
      <w:bookmarkStart w:id="67" w:name="_Toc32551"/>
      <w:bookmarkStart w:id="68" w:name="_Toc6841"/>
      <w:bookmarkStart w:id="69" w:name="_Toc20144"/>
      <w:r>
        <w:rPr>
          <w:rFonts w:hint="eastAsia" w:ascii="黑体" w:hAnsi="黑体" w:eastAsia="黑体" w:cs="黑体"/>
          <w:b w:val="0"/>
          <w:bCs/>
          <w:color w:val="auto"/>
          <w:sz w:val="32"/>
          <w:szCs w:val="32"/>
          <w:highlight w:val="none"/>
        </w:rPr>
        <w:t>五、</w:t>
      </w:r>
      <w:bookmarkEnd w:id="55"/>
      <w:bookmarkEnd w:id="56"/>
      <w:bookmarkEnd w:id="57"/>
      <w:bookmarkEnd w:id="58"/>
      <w:bookmarkEnd w:id="59"/>
      <w:bookmarkEnd w:id="60"/>
      <w:bookmarkEnd w:id="61"/>
      <w:bookmarkEnd w:id="62"/>
      <w:bookmarkEnd w:id="63"/>
      <w:bookmarkEnd w:id="64"/>
      <w:bookmarkEnd w:id="65"/>
      <w:bookmarkEnd w:id="66"/>
      <w:r>
        <w:rPr>
          <w:rFonts w:hint="eastAsia" w:ascii="黑体" w:hAnsi="黑体" w:eastAsia="黑体" w:cs="黑体"/>
          <w:b w:val="0"/>
          <w:bCs/>
          <w:color w:val="auto"/>
          <w:sz w:val="32"/>
          <w:szCs w:val="32"/>
          <w:highlight w:val="none"/>
        </w:rPr>
        <w:t>专款专用与资金监管</w:t>
      </w:r>
      <w:bookmarkEnd w:id="67"/>
      <w:bookmarkEnd w:id="68"/>
      <w:bookmarkEnd w:id="69"/>
    </w:p>
    <w:p w14:paraId="25AA138D">
      <w:pPr>
        <w:keepNext w:val="0"/>
        <w:keepLines w:val="0"/>
        <w:pageBreakBefore w:val="0"/>
        <w:kinsoku/>
        <w:wordWrap/>
        <w:overflowPunct/>
        <w:topLinePunct w:val="0"/>
        <w:bidi w:val="0"/>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资金监管：为使工程顺利完工，杜绝因资金挪用、转移、外借而导致工程进度受到影响。承包人应在合同签订后7个工作日内，在发包人指定银行设立用于资金监管的银行专项账户，接受发包人及开户银行对本建设项目建设资金使用情况的监督。</w:t>
      </w:r>
      <w:r>
        <w:rPr>
          <w:rFonts w:hint="eastAsia" w:ascii="仿宋_GB2312" w:hAnsi="仿宋_GB2312" w:eastAsia="仿宋_GB2312" w:cs="仿宋_GB2312"/>
          <w:color w:val="auto"/>
          <w:sz w:val="32"/>
          <w:szCs w:val="32"/>
          <w:highlight w:val="none"/>
          <w:lang w:val="en-US" w:eastAsia="zh-CN"/>
        </w:rPr>
        <w:t>本款</w:t>
      </w:r>
      <w:r>
        <w:rPr>
          <w:rFonts w:hint="eastAsia" w:ascii="仿宋_GB2312" w:hAnsi="仿宋_GB2312" w:eastAsia="仿宋_GB2312" w:cs="仿宋_GB2312"/>
          <w:color w:val="auto"/>
          <w:sz w:val="32"/>
          <w:szCs w:val="32"/>
          <w:highlight w:val="none"/>
          <w:lang w:eastAsia="zh-CN"/>
        </w:rPr>
        <w:t>所称的资金挪用或转移、</w:t>
      </w:r>
      <w:r>
        <w:rPr>
          <w:rFonts w:hint="eastAsia" w:ascii="仿宋_GB2312" w:hAnsi="仿宋_GB2312" w:eastAsia="仿宋_GB2312" w:cs="仿宋_GB2312"/>
          <w:color w:val="auto"/>
          <w:sz w:val="32"/>
          <w:szCs w:val="32"/>
          <w:highlight w:val="none"/>
          <w:lang w:val="en-US" w:eastAsia="zh-CN"/>
        </w:rPr>
        <w:t>外借</w:t>
      </w:r>
      <w:r>
        <w:rPr>
          <w:rFonts w:hint="eastAsia" w:ascii="仿宋_GB2312" w:hAnsi="仿宋_GB2312" w:eastAsia="仿宋_GB2312" w:cs="仿宋_GB2312"/>
          <w:color w:val="auto"/>
          <w:sz w:val="32"/>
          <w:szCs w:val="32"/>
          <w:highlight w:val="none"/>
          <w:lang w:eastAsia="zh-CN"/>
        </w:rPr>
        <w:t>包括但不限于以下行为：</w:t>
      </w:r>
    </w:p>
    <w:p w14:paraId="54F2B9BE">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将专用账户中的资金直接用于非本项目资金支出；</w:t>
      </w:r>
    </w:p>
    <w:p w14:paraId="64326F9A">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将专用账户中的资金以往来或其他方式转移至承包人设立的其他银行账户；</w:t>
      </w:r>
    </w:p>
    <w:p w14:paraId="253A10D1">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将专用账户中的资金以往来或其他方式转移至外部单位设立的其他银行账户。</w:t>
      </w:r>
    </w:p>
    <w:p w14:paraId="1685D476">
      <w:pPr>
        <w:keepNext w:val="0"/>
        <w:keepLines w:val="0"/>
        <w:pageBreakBefore w:val="0"/>
        <w:kinsoku/>
        <w:wordWrap/>
        <w:overflowPunct/>
        <w:topLinePunct w:val="0"/>
        <w:bidi w:val="0"/>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工程款专款专用：承包人应将发包人按合同约定支付的各项价款专用于本合同工程，不得挪用或转移</w:t>
      </w:r>
      <w:r>
        <w:rPr>
          <w:rFonts w:hint="eastAsia" w:ascii="仿宋_GB2312" w:hAnsi="仿宋_GB2312" w:eastAsia="仿宋_GB2312" w:cs="仿宋_GB2312"/>
          <w:color w:val="auto"/>
          <w:sz w:val="32"/>
          <w:szCs w:val="32"/>
          <w:highlight w:val="none"/>
          <w:lang w:val="en-US" w:eastAsia="zh-CN"/>
        </w:rPr>
        <w:t>或外借；</w:t>
      </w:r>
      <w:r>
        <w:rPr>
          <w:rFonts w:hint="eastAsia" w:ascii="仿宋_GB2312" w:hAnsi="仿宋_GB2312" w:eastAsia="仿宋_GB2312" w:cs="仿宋_GB2312"/>
          <w:color w:val="auto"/>
          <w:sz w:val="32"/>
          <w:szCs w:val="32"/>
          <w:highlight w:val="none"/>
          <w:lang w:eastAsia="zh-CN"/>
        </w:rPr>
        <w:t>发包人定期或不定期对承包人进行专款专用检查。每发现承包人挪用或转移</w:t>
      </w:r>
      <w:r>
        <w:rPr>
          <w:rFonts w:hint="eastAsia" w:ascii="仿宋_GB2312" w:hAnsi="仿宋_GB2312" w:eastAsia="仿宋_GB2312" w:cs="仿宋_GB2312"/>
          <w:color w:val="auto"/>
          <w:sz w:val="32"/>
          <w:szCs w:val="32"/>
          <w:highlight w:val="none"/>
          <w:lang w:val="en-US" w:eastAsia="zh-CN"/>
        </w:rPr>
        <w:t>或外借</w:t>
      </w:r>
      <w:r>
        <w:rPr>
          <w:rFonts w:hint="eastAsia" w:ascii="仿宋_GB2312" w:hAnsi="仿宋_GB2312" w:eastAsia="仿宋_GB2312" w:cs="仿宋_GB2312"/>
          <w:color w:val="auto"/>
          <w:sz w:val="32"/>
          <w:szCs w:val="32"/>
          <w:highlight w:val="none"/>
          <w:lang w:eastAsia="zh-CN"/>
        </w:rPr>
        <w:t>一次，承包人按当次挪用或转移</w:t>
      </w:r>
      <w:r>
        <w:rPr>
          <w:rFonts w:hint="eastAsia" w:ascii="仿宋_GB2312" w:hAnsi="仿宋_GB2312" w:eastAsia="仿宋_GB2312" w:cs="仿宋_GB2312"/>
          <w:color w:val="auto"/>
          <w:sz w:val="32"/>
          <w:szCs w:val="32"/>
          <w:highlight w:val="none"/>
          <w:lang w:val="en-US" w:eastAsia="zh-CN"/>
        </w:rPr>
        <w:t>或外借</w:t>
      </w:r>
      <w:r>
        <w:rPr>
          <w:rFonts w:hint="eastAsia" w:ascii="仿宋_GB2312" w:hAnsi="仿宋_GB2312" w:eastAsia="仿宋_GB2312" w:cs="仿宋_GB2312"/>
          <w:color w:val="auto"/>
          <w:sz w:val="32"/>
          <w:szCs w:val="32"/>
          <w:highlight w:val="none"/>
          <w:lang w:eastAsia="zh-CN"/>
        </w:rPr>
        <w:t>金额的10%向发包人支付违约金，承包人应自收到整改通知书之日起5个工作日内归还挪用或转移</w:t>
      </w:r>
      <w:r>
        <w:rPr>
          <w:rFonts w:hint="eastAsia" w:ascii="仿宋_GB2312" w:hAnsi="仿宋_GB2312" w:eastAsia="仿宋_GB2312" w:cs="仿宋_GB2312"/>
          <w:color w:val="auto"/>
          <w:sz w:val="32"/>
          <w:szCs w:val="32"/>
          <w:highlight w:val="none"/>
          <w:lang w:val="en-US" w:eastAsia="zh-CN"/>
        </w:rPr>
        <w:t>或外借</w:t>
      </w:r>
      <w:r>
        <w:rPr>
          <w:rFonts w:hint="eastAsia" w:ascii="仿宋_GB2312" w:hAnsi="仿宋_GB2312" w:eastAsia="仿宋_GB2312" w:cs="仿宋_GB2312"/>
          <w:color w:val="auto"/>
          <w:sz w:val="32"/>
          <w:szCs w:val="32"/>
          <w:highlight w:val="none"/>
          <w:lang w:eastAsia="zh-CN"/>
        </w:rPr>
        <w:t>资金至专用账户。</w:t>
      </w:r>
    </w:p>
    <w:p w14:paraId="30D065EF">
      <w:pPr>
        <w:keepNext w:val="0"/>
        <w:keepLines w:val="0"/>
        <w:pageBreakBefore w:val="0"/>
        <w:kinsoku/>
        <w:wordWrap/>
        <w:overflowPunct/>
        <w:topLinePunct w:val="0"/>
        <w:bidi w:val="0"/>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若承包人5个工作日后仍未归还完毕，每逾期1日，按照未归还金额的0.6‰向发包人承担违约金。</w:t>
      </w:r>
      <w:r>
        <w:rPr>
          <w:rFonts w:hint="eastAsia" w:ascii="仿宋_GB2312" w:hAnsi="仿宋_GB2312" w:eastAsia="仿宋_GB2312" w:cs="仿宋_GB2312"/>
          <w:color w:val="auto"/>
          <w:sz w:val="32"/>
          <w:szCs w:val="32"/>
          <w:highlight w:val="none"/>
          <w:lang w:val="en-US" w:eastAsia="zh-CN"/>
        </w:rPr>
        <w:t>本款与本合同其他条款可并列适用。</w:t>
      </w:r>
    </w:p>
    <w:p w14:paraId="20AFD8F8">
      <w:pPr>
        <w:keepNext w:val="0"/>
        <w:keepLines w:val="0"/>
        <w:pageBreakBefore w:val="0"/>
        <w:kinsoku/>
        <w:wordWrap/>
        <w:overflowPunct/>
        <w:topLinePunct w:val="0"/>
        <w:bidi w:val="0"/>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rPr>
        <w:t>发包人有权且承包人</w:t>
      </w:r>
      <w:r>
        <w:rPr>
          <w:rFonts w:hint="eastAsia" w:ascii="仿宋_GB2312" w:hAnsi="仿宋_GB2312" w:eastAsia="仿宋_GB2312" w:cs="仿宋_GB2312"/>
          <w:color w:val="auto"/>
          <w:sz w:val="32"/>
          <w:szCs w:val="32"/>
          <w:highlight w:val="none"/>
          <w:lang w:val="en-US" w:eastAsia="zh-CN"/>
        </w:rPr>
        <w:t>同</w:t>
      </w:r>
      <w:r>
        <w:rPr>
          <w:rFonts w:hint="eastAsia" w:ascii="仿宋_GB2312" w:hAnsi="仿宋_GB2312" w:eastAsia="仿宋_GB2312" w:cs="仿宋_GB2312"/>
          <w:color w:val="auto"/>
          <w:sz w:val="32"/>
          <w:szCs w:val="32"/>
          <w:highlight w:val="none"/>
        </w:rPr>
        <w:t>意在支付（收取）工程进度款、结算款等款项时扣除承包人因挪用或转移或外借产生的</w:t>
      </w:r>
      <w:r>
        <w:rPr>
          <w:rFonts w:hint="eastAsia" w:ascii="仿宋_GB2312" w:hAnsi="仿宋_GB2312" w:eastAsia="仿宋_GB2312" w:cs="仿宋_GB2312"/>
          <w:color w:val="auto"/>
          <w:sz w:val="32"/>
          <w:szCs w:val="32"/>
          <w:highlight w:val="none"/>
          <w:lang w:val="en-US" w:eastAsia="zh-CN"/>
        </w:rPr>
        <w:t>所有</w:t>
      </w:r>
      <w:r>
        <w:rPr>
          <w:rFonts w:hint="eastAsia" w:ascii="仿宋_GB2312" w:hAnsi="仿宋_GB2312" w:eastAsia="仿宋_GB2312" w:cs="仿宋_GB2312"/>
          <w:color w:val="auto"/>
          <w:sz w:val="32"/>
          <w:szCs w:val="32"/>
          <w:highlight w:val="none"/>
        </w:rPr>
        <w:t>违约金。</w:t>
      </w:r>
    </w:p>
    <w:p w14:paraId="56C9F00A">
      <w:pPr>
        <w:keepNext w:val="0"/>
        <w:keepLines w:val="0"/>
        <w:pageBreakBefore w:val="0"/>
        <w:kinsoku/>
        <w:wordWrap/>
        <w:overflowPunct/>
        <w:topLinePunct w:val="0"/>
        <w:bidi w:val="0"/>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承包人因违反专款专用约定给发包人带来的其他损失的，发包人有权向承包人追偿</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且</w:t>
      </w:r>
      <w:r>
        <w:rPr>
          <w:rFonts w:hint="eastAsia" w:ascii="仿宋_GB2312" w:hAnsi="仿宋_GB2312" w:eastAsia="仿宋_GB2312" w:cs="仿宋_GB2312"/>
          <w:color w:val="auto"/>
          <w:sz w:val="32"/>
          <w:szCs w:val="32"/>
          <w:highlight w:val="none"/>
        </w:rPr>
        <w:t>承包人</w:t>
      </w:r>
      <w:r>
        <w:rPr>
          <w:rFonts w:hint="eastAsia" w:ascii="仿宋_GB2312" w:hAnsi="仿宋_GB2312" w:eastAsia="仿宋_GB2312" w:cs="仿宋_GB2312"/>
          <w:color w:val="auto"/>
          <w:sz w:val="32"/>
          <w:szCs w:val="32"/>
          <w:highlight w:val="none"/>
          <w:lang w:val="en-US" w:eastAsia="zh-CN"/>
        </w:rPr>
        <w:t>同</w:t>
      </w:r>
      <w:r>
        <w:rPr>
          <w:rFonts w:hint="eastAsia" w:ascii="仿宋_GB2312" w:hAnsi="仿宋_GB2312" w:eastAsia="仿宋_GB2312" w:cs="仿宋_GB2312"/>
          <w:color w:val="auto"/>
          <w:sz w:val="32"/>
          <w:szCs w:val="32"/>
          <w:highlight w:val="none"/>
        </w:rPr>
        <w:t>意在支付（收取）工程进度款、结算款等款项时扣除承包人因违反专款专用给发包人</w:t>
      </w:r>
      <w:r>
        <w:rPr>
          <w:rFonts w:hint="eastAsia" w:ascii="仿宋_GB2312" w:hAnsi="仿宋_GB2312" w:eastAsia="仿宋_GB2312" w:cs="仿宋_GB2312"/>
          <w:color w:val="auto"/>
          <w:sz w:val="32"/>
          <w:szCs w:val="32"/>
          <w:highlight w:val="none"/>
          <w:lang w:val="en-US" w:eastAsia="zh-CN"/>
        </w:rPr>
        <w:t>造成的相关损失。</w:t>
      </w:r>
    </w:p>
    <w:bookmarkEnd w:id="54"/>
    <w:p w14:paraId="4F1EF9AA">
      <w:pPr>
        <w:keepNext w:val="0"/>
        <w:keepLines w:val="0"/>
        <w:pageBreakBefore w:val="0"/>
        <w:widowControl/>
        <w:kinsoku/>
        <w:wordWrap/>
        <w:overflowPunct/>
        <w:topLinePunct w:val="0"/>
        <w:bidi w:val="0"/>
        <w:adjustRightInd/>
        <w:snapToGrid/>
        <w:spacing w:line="560" w:lineRule="exact"/>
        <w:ind w:firstLine="640" w:firstLineChars="200"/>
        <w:jc w:val="both"/>
        <w:textAlignment w:val="auto"/>
        <w:outlineLvl w:val="1"/>
        <w:rPr>
          <w:rFonts w:hint="eastAsia" w:ascii="黑体" w:hAnsi="黑体" w:eastAsia="黑体" w:cs="黑体"/>
          <w:b w:val="0"/>
          <w:bCs/>
          <w:color w:val="auto"/>
          <w:sz w:val="32"/>
          <w:szCs w:val="32"/>
          <w:highlight w:val="none"/>
        </w:rPr>
      </w:pPr>
      <w:bookmarkStart w:id="70" w:name="_Toc19888"/>
      <w:bookmarkStart w:id="71" w:name="_Toc20483"/>
      <w:bookmarkStart w:id="72" w:name="_Toc605"/>
      <w:bookmarkStart w:id="73" w:name="_Toc3606"/>
      <w:bookmarkStart w:id="74" w:name="_Toc4153"/>
      <w:bookmarkStart w:id="75" w:name="_Toc4169"/>
      <w:bookmarkStart w:id="76" w:name="_Toc9098"/>
      <w:bookmarkStart w:id="77" w:name="_Toc1453"/>
      <w:bookmarkStart w:id="78" w:name="_Toc18516"/>
      <w:bookmarkStart w:id="79" w:name="_Toc5758"/>
      <w:r>
        <w:rPr>
          <w:rFonts w:hint="eastAsia" w:ascii="黑体" w:hAnsi="黑体" w:eastAsia="黑体" w:cs="黑体"/>
          <w:b w:val="0"/>
          <w:bCs/>
          <w:color w:val="auto"/>
          <w:sz w:val="32"/>
          <w:szCs w:val="32"/>
          <w:highlight w:val="none"/>
          <w:lang w:val="en-US" w:eastAsia="zh-CN"/>
        </w:rPr>
        <w:t>六</w:t>
      </w:r>
      <w:r>
        <w:rPr>
          <w:rFonts w:hint="eastAsia" w:ascii="黑体" w:hAnsi="黑体" w:eastAsia="黑体" w:cs="黑体"/>
          <w:b w:val="0"/>
          <w:bCs/>
          <w:color w:val="auto"/>
          <w:sz w:val="32"/>
          <w:szCs w:val="32"/>
          <w:highlight w:val="none"/>
        </w:rPr>
        <w:t>、项目经理</w:t>
      </w:r>
      <w:bookmarkEnd w:id="70"/>
      <w:bookmarkEnd w:id="71"/>
      <w:bookmarkEnd w:id="72"/>
      <w:bookmarkEnd w:id="73"/>
      <w:bookmarkEnd w:id="74"/>
      <w:bookmarkEnd w:id="75"/>
      <w:bookmarkEnd w:id="76"/>
      <w:bookmarkEnd w:id="77"/>
      <w:bookmarkEnd w:id="78"/>
      <w:bookmarkEnd w:id="79"/>
      <w:r>
        <w:rPr>
          <w:rFonts w:hint="eastAsia" w:ascii="黑体" w:hAnsi="黑体" w:eastAsia="黑体" w:cs="黑体"/>
          <w:b w:val="0"/>
          <w:bCs/>
          <w:color w:val="auto"/>
          <w:sz w:val="32"/>
          <w:szCs w:val="32"/>
          <w:highlight w:val="none"/>
        </w:rPr>
        <w:tab/>
      </w:r>
    </w:p>
    <w:p w14:paraId="455EF31F">
      <w:pPr>
        <w:keepNext w:val="0"/>
        <w:keepLines w:val="0"/>
        <w:pageBreakBefore w:val="0"/>
        <w:kinsoku/>
        <w:wordWrap/>
        <w:overflowPunct/>
        <w:topLinePunct w:val="0"/>
        <w:bidi w:val="0"/>
        <w:snapToGrid/>
        <w:spacing w:line="560" w:lineRule="exact"/>
        <w:ind w:firstLine="640" w:firstLineChars="200"/>
        <w:jc w:val="left"/>
        <w:textAlignment w:val="auto"/>
        <w:rPr>
          <w:rFonts w:hint="eastAsia" w:ascii="仿宋_GB2312" w:hAnsi="仿宋_GB2312" w:eastAsia="仿宋_GB2312" w:cs="仿宋_GB2312"/>
          <w:sz w:val="32"/>
          <w:szCs w:val="32"/>
          <w:highlight w:val="none"/>
          <w:u w:val="single"/>
          <w:lang w:val="en-US" w:eastAsia="zh-CN"/>
        </w:rPr>
      </w:pPr>
      <w:r>
        <w:rPr>
          <w:rFonts w:hint="eastAsia" w:ascii="仿宋_GB2312" w:hAnsi="仿宋_GB2312" w:eastAsia="仿宋_GB2312" w:cs="仿宋_GB2312"/>
          <w:sz w:val="32"/>
          <w:szCs w:val="32"/>
          <w:lang w:val="en-US" w:eastAsia="zh-CN"/>
        </w:rPr>
        <w:t>1.发包人</w:t>
      </w:r>
      <w:r>
        <w:rPr>
          <w:rFonts w:hint="eastAsia" w:ascii="仿宋_GB2312" w:hAnsi="仿宋_GB2312" w:eastAsia="仿宋_GB2312" w:cs="仿宋_GB2312"/>
          <w:sz w:val="32"/>
          <w:szCs w:val="32"/>
        </w:rPr>
        <w:t>项目</w:t>
      </w:r>
      <w:r>
        <w:rPr>
          <w:rFonts w:hint="eastAsia" w:ascii="仿宋_GB2312" w:hAnsi="仿宋_GB2312" w:eastAsia="仿宋_GB2312" w:cs="仿宋_GB2312"/>
          <w:sz w:val="32"/>
          <w:szCs w:val="32"/>
          <w:lang w:val="en-US" w:eastAsia="zh-CN"/>
        </w:rPr>
        <w:t>经理</w:t>
      </w:r>
      <w:r>
        <w:rPr>
          <w:rFonts w:hint="eastAsia" w:ascii="仿宋_GB2312" w:hAnsi="仿宋_GB2312" w:eastAsia="仿宋_GB2312" w:cs="仿宋_GB2312"/>
          <w:sz w:val="32"/>
          <w:szCs w:val="32"/>
          <w:highlight w:val="none"/>
        </w:rPr>
        <w:t>：</w:t>
      </w:r>
      <w:permStart w:id="39" w:edGrp="everyone"/>
      <w:r>
        <w:rPr>
          <w:rFonts w:hint="eastAsia" w:ascii="仿宋_GB2312" w:hAnsi="仿宋_GB2312" w:eastAsia="仿宋_GB2312" w:cs="仿宋_GB2312"/>
          <w:sz w:val="32"/>
          <w:szCs w:val="32"/>
          <w:highlight w:val="none"/>
          <w:u w:val="single"/>
          <w:lang w:val="en-US" w:eastAsia="zh-CN"/>
        </w:rPr>
        <w:t xml:space="preserve">                  </w:t>
      </w:r>
      <w:permEnd w:id="39"/>
    </w:p>
    <w:p w14:paraId="70E0AFE7">
      <w:pPr>
        <w:keepNext w:val="0"/>
        <w:keepLines w:val="0"/>
        <w:pageBreakBefore w:val="0"/>
        <w:kinsoku/>
        <w:wordWrap/>
        <w:overflowPunct/>
        <w:topLinePunct w:val="0"/>
        <w:bidi w:val="0"/>
        <w:snapToGrid/>
        <w:spacing w:line="560" w:lineRule="exact"/>
        <w:ind w:firstLine="960" w:firstLineChars="300"/>
        <w:jc w:val="left"/>
        <w:textAlignment w:val="auto"/>
        <w:rPr>
          <w:rFonts w:hint="eastAsia" w:ascii="仿宋_GB2312" w:hAnsi="仿宋_GB2312" w:eastAsia="仿宋_GB2312" w:cs="仿宋_GB2312"/>
          <w:sz w:val="32"/>
          <w:szCs w:val="32"/>
          <w:highlight w:val="none"/>
          <w:u w:val="single"/>
          <w:lang w:val="en-US" w:eastAsia="zh-CN"/>
        </w:rPr>
      </w:pPr>
      <w:r>
        <w:rPr>
          <w:rFonts w:hint="eastAsia" w:ascii="仿宋_GB2312" w:hAnsi="仿宋_GB2312" w:eastAsia="仿宋_GB2312" w:cs="仿宋_GB2312"/>
          <w:sz w:val="32"/>
          <w:szCs w:val="32"/>
          <w:highlight w:val="none"/>
        </w:rPr>
        <w:t>身份证号码：</w:t>
      </w:r>
      <w:permStart w:id="40" w:edGrp="everyone"/>
      <w:r>
        <w:rPr>
          <w:rFonts w:hint="eastAsia" w:ascii="仿宋_GB2312" w:hAnsi="仿宋_GB2312" w:eastAsia="仿宋_GB2312" w:cs="仿宋_GB2312"/>
          <w:sz w:val="32"/>
          <w:szCs w:val="32"/>
          <w:highlight w:val="none"/>
          <w:u w:val="single"/>
          <w:lang w:val="en-US" w:eastAsia="zh-CN"/>
        </w:rPr>
        <w:t xml:space="preserve">                      </w:t>
      </w:r>
      <w:permEnd w:id="40"/>
    </w:p>
    <w:p w14:paraId="39FEEE7F">
      <w:pPr>
        <w:keepNext w:val="0"/>
        <w:keepLines w:val="0"/>
        <w:pageBreakBefore w:val="0"/>
        <w:kinsoku/>
        <w:wordWrap/>
        <w:overflowPunct/>
        <w:topLinePunct w:val="0"/>
        <w:bidi w:val="0"/>
        <w:snapToGrid/>
        <w:spacing w:line="560" w:lineRule="exact"/>
        <w:ind w:firstLine="960" w:firstLineChars="300"/>
        <w:jc w:val="left"/>
        <w:textAlignment w:val="auto"/>
        <w:rPr>
          <w:rFonts w:hint="eastAsia" w:ascii="仿宋_GB2312" w:hAnsi="仿宋_GB2312" w:eastAsia="仿宋_GB2312" w:cs="仿宋_GB2312"/>
          <w:sz w:val="32"/>
          <w:szCs w:val="32"/>
          <w:highlight w:val="none"/>
          <w:u w:val="single"/>
        </w:rPr>
      </w:pPr>
      <w:r>
        <w:rPr>
          <w:rFonts w:hint="eastAsia" w:ascii="仿宋_GB2312" w:hAnsi="仿宋_GB2312" w:eastAsia="仿宋_GB2312" w:cs="仿宋_GB2312"/>
          <w:sz w:val="32"/>
          <w:szCs w:val="32"/>
          <w:highlight w:val="none"/>
        </w:rPr>
        <w:t>联系电话：</w:t>
      </w:r>
      <w:permStart w:id="41" w:edGrp="everyone"/>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u w:val="single"/>
          <w:lang w:val="en-US" w:eastAsia="zh-CN"/>
        </w:rPr>
        <w:t xml:space="preserve">      </w:t>
      </w:r>
      <w:r>
        <w:rPr>
          <w:rFonts w:hint="eastAsia" w:ascii="仿宋_GB2312" w:hAnsi="仿宋_GB2312" w:eastAsia="仿宋_GB2312" w:cs="仿宋_GB2312"/>
          <w:sz w:val="32"/>
          <w:szCs w:val="32"/>
          <w:highlight w:val="none"/>
          <w:u w:val="single"/>
        </w:rPr>
        <w:t xml:space="preserve"> </w:t>
      </w:r>
      <w:permEnd w:id="41"/>
    </w:p>
    <w:p w14:paraId="68E1C0AD">
      <w:pPr>
        <w:keepNext w:val="0"/>
        <w:keepLines w:val="0"/>
        <w:pageBreakBefore w:val="0"/>
        <w:kinsoku/>
        <w:wordWrap/>
        <w:overflowPunct/>
        <w:topLinePunct w:val="0"/>
        <w:bidi w:val="0"/>
        <w:snapToGrid/>
        <w:spacing w:line="560" w:lineRule="exact"/>
        <w:ind w:firstLine="640" w:firstLineChars="200"/>
        <w:jc w:val="left"/>
        <w:textAlignment w:val="auto"/>
        <w:rPr>
          <w:rFonts w:hint="eastAsia" w:ascii="仿宋_GB2312" w:hAnsi="仿宋_GB2312" w:eastAsia="仿宋_GB2312" w:cs="仿宋_GB2312"/>
          <w:sz w:val="32"/>
          <w:szCs w:val="32"/>
          <w:highlight w:val="none"/>
          <w:u w:val="single"/>
          <w:lang w:val="en-US" w:eastAsia="zh-CN"/>
        </w:rPr>
      </w:pPr>
      <w:r>
        <w:rPr>
          <w:rFonts w:hint="eastAsia" w:ascii="仿宋_GB2312" w:hAnsi="仿宋_GB2312" w:eastAsia="仿宋_GB2312" w:cs="仿宋_GB2312"/>
          <w:sz w:val="32"/>
          <w:szCs w:val="32"/>
          <w:highlight w:val="none"/>
          <w:lang w:val="en-US" w:eastAsia="zh-CN"/>
        </w:rPr>
        <w:t>2.承包人</w:t>
      </w:r>
      <w:r>
        <w:rPr>
          <w:rFonts w:hint="eastAsia" w:ascii="仿宋_GB2312" w:hAnsi="仿宋_GB2312" w:eastAsia="仿宋_GB2312" w:cs="仿宋_GB2312"/>
          <w:sz w:val="32"/>
          <w:szCs w:val="32"/>
          <w:highlight w:val="none"/>
        </w:rPr>
        <w:t>项目</w:t>
      </w:r>
      <w:r>
        <w:rPr>
          <w:rFonts w:hint="eastAsia" w:ascii="仿宋_GB2312" w:hAnsi="仿宋_GB2312" w:eastAsia="仿宋_GB2312" w:cs="仿宋_GB2312"/>
          <w:sz w:val="32"/>
          <w:szCs w:val="32"/>
          <w:highlight w:val="none"/>
          <w:lang w:val="en-US" w:eastAsia="zh-CN"/>
        </w:rPr>
        <w:t>经理</w:t>
      </w:r>
      <w:r>
        <w:rPr>
          <w:rFonts w:hint="eastAsia" w:ascii="仿宋_GB2312" w:hAnsi="仿宋_GB2312" w:eastAsia="仿宋_GB2312" w:cs="仿宋_GB2312"/>
          <w:sz w:val="32"/>
          <w:szCs w:val="32"/>
          <w:highlight w:val="none"/>
          <w:lang w:eastAsia="zh-CN"/>
        </w:rPr>
        <w:t>：</w:t>
      </w:r>
      <w:permStart w:id="42" w:edGrp="everyone"/>
      <w:r>
        <w:rPr>
          <w:rFonts w:hint="eastAsia" w:ascii="仿宋_GB2312" w:hAnsi="仿宋_GB2312" w:eastAsia="仿宋_GB2312" w:cs="仿宋_GB2312"/>
          <w:sz w:val="32"/>
          <w:szCs w:val="32"/>
          <w:highlight w:val="none"/>
          <w:u w:val="single"/>
          <w:lang w:val="en-US" w:eastAsia="zh-CN"/>
        </w:rPr>
        <w:t xml:space="preserve">                 </w:t>
      </w:r>
      <w:permEnd w:id="42"/>
    </w:p>
    <w:p w14:paraId="559B44CB">
      <w:pPr>
        <w:keepNext w:val="0"/>
        <w:keepLines w:val="0"/>
        <w:pageBreakBefore w:val="0"/>
        <w:kinsoku/>
        <w:wordWrap/>
        <w:overflowPunct/>
        <w:topLinePunct w:val="0"/>
        <w:bidi w:val="0"/>
        <w:snapToGrid/>
        <w:spacing w:line="560" w:lineRule="exact"/>
        <w:ind w:firstLine="960" w:firstLineChars="300"/>
        <w:jc w:val="left"/>
        <w:textAlignment w:val="auto"/>
        <w:rPr>
          <w:rFonts w:hint="eastAsia" w:ascii="仿宋_GB2312" w:hAnsi="仿宋_GB2312" w:eastAsia="仿宋_GB2312" w:cs="仿宋_GB2312"/>
          <w:sz w:val="32"/>
          <w:szCs w:val="32"/>
          <w:highlight w:val="none"/>
          <w:u w:val="single"/>
          <w:lang w:val="en-US" w:eastAsia="zh-CN"/>
        </w:rPr>
      </w:pPr>
      <w:r>
        <w:rPr>
          <w:rFonts w:hint="eastAsia" w:ascii="仿宋_GB2312" w:hAnsi="仿宋_GB2312" w:eastAsia="仿宋_GB2312" w:cs="仿宋_GB2312"/>
          <w:sz w:val="32"/>
          <w:szCs w:val="32"/>
          <w:highlight w:val="none"/>
        </w:rPr>
        <w:t>身份证号码：</w:t>
      </w:r>
      <w:permStart w:id="43" w:edGrp="everyone"/>
      <w:r>
        <w:rPr>
          <w:rFonts w:hint="eastAsia" w:ascii="仿宋_GB2312" w:hAnsi="仿宋_GB2312" w:eastAsia="仿宋_GB2312" w:cs="仿宋_GB2312"/>
          <w:sz w:val="32"/>
          <w:szCs w:val="32"/>
          <w:highlight w:val="none"/>
          <w:u w:val="single"/>
          <w:lang w:val="en-US" w:eastAsia="zh-CN"/>
        </w:rPr>
        <w:t xml:space="preserve">                     </w:t>
      </w:r>
      <w:permEnd w:id="43"/>
    </w:p>
    <w:p w14:paraId="1DCABA77">
      <w:pPr>
        <w:keepNext w:val="0"/>
        <w:keepLines w:val="0"/>
        <w:pageBreakBefore w:val="0"/>
        <w:kinsoku/>
        <w:wordWrap/>
        <w:overflowPunct/>
        <w:topLinePunct w:val="0"/>
        <w:bidi w:val="0"/>
        <w:snapToGrid/>
        <w:spacing w:line="560" w:lineRule="exact"/>
        <w:ind w:firstLine="960" w:firstLineChars="300"/>
        <w:jc w:val="left"/>
        <w:textAlignment w:val="auto"/>
        <w:rPr>
          <w:rFonts w:hint="eastAsia" w:ascii="仿宋_GB2312" w:hAnsi="仿宋_GB2312" w:eastAsia="仿宋_GB2312" w:cs="仿宋_GB2312"/>
          <w:sz w:val="32"/>
          <w:szCs w:val="32"/>
          <w:highlight w:val="none"/>
          <w:u w:val="single"/>
          <w:lang w:val="en-US" w:eastAsia="zh-CN"/>
        </w:rPr>
      </w:pPr>
      <w:r>
        <w:rPr>
          <w:rFonts w:hint="eastAsia" w:ascii="仿宋_GB2312" w:hAnsi="仿宋_GB2312" w:eastAsia="仿宋_GB2312" w:cs="仿宋_GB2312"/>
          <w:sz w:val="32"/>
          <w:szCs w:val="32"/>
          <w:highlight w:val="none"/>
        </w:rPr>
        <w:t>联系电话：</w:t>
      </w:r>
      <w:permStart w:id="44" w:edGrp="everyone"/>
      <w:r>
        <w:rPr>
          <w:rFonts w:hint="eastAsia" w:ascii="仿宋_GB2312" w:hAnsi="仿宋_GB2312" w:eastAsia="仿宋_GB2312" w:cs="仿宋_GB2312"/>
          <w:sz w:val="32"/>
          <w:szCs w:val="32"/>
          <w:highlight w:val="none"/>
          <w:u w:val="single"/>
          <w:lang w:val="en-US" w:eastAsia="zh-CN"/>
        </w:rPr>
        <w:t xml:space="preserve">                       </w:t>
      </w:r>
      <w:permEnd w:id="44"/>
    </w:p>
    <w:p w14:paraId="7E2CE3DA">
      <w:pPr>
        <w:keepNext w:val="0"/>
        <w:keepLines w:val="0"/>
        <w:pageBreakBefore w:val="0"/>
        <w:kinsoku/>
        <w:wordWrap/>
        <w:overflowPunct/>
        <w:topLinePunct w:val="0"/>
        <w:bidi w:val="0"/>
        <w:snapToGrid/>
        <w:spacing w:line="560" w:lineRule="exact"/>
        <w:ind w:firstLine="640" w:firstLineChars="200"/>
        <w:jc w:val="left"/>
        <w:textAlignment w:val="auto"/>
        <w:rPr>
          <w:rFonts w:hint="eastAsia" w:ascii="仿宋_GB2312" w:hAnsi="仿宋_GB2312" w:eastAsia="仿宋_GB2312" w:cs="仿宋_GB2312"/>
          <w:color w:val="auto"/>
          <w:sz w:val="32"/>
          <w:szCs w:val="32"/>
          <w:highlight w:val="none"/>
          <w:u w:val="single"/>
        </w:rPr>
      </w:pPr>
      <w:r>
        <w:rPr>
          <w:rFonts w:hint="eastAsia" w:ascii="仿宋_GB2312" w:hAnsi="仿宋_GB2312" w:eastAsia="仿宋_GB2312" w:cs="仿宋_GB2312"/>
          <w:sz w:val="32"/>
          <w:szCs w:val="32"/>
          <w:highlight w:val="none"/>
        </w:rPr>
        <w:t>3</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合同履行过程中，任何一方变更</w:t>
      </w:r>
      <w:r>
        <w:rPr>
          <w:rFonts w:hint="eastAsia" w:ascii="仿宋_GB2312" w:hAnsi="仿宋_GB2312" w:eastAsia="仿宋_GB2312" w:cs="仿宋_GB2312"/>
          <w:sz w:val="32"/>
          <w:szCs w:val="32"/>
          <w:highlight w:val="none"/>
          <w:lang w:val="en-US" w:eastAsia="zh-CN"/>
        </w:rPr>
        <w:t>项目经理</w:t>
      </w:r>
      <w:r>
        <w:rPr>
          <w:rFonts w:hint="eastAsia" w:ascii="仿宋_GB2312" w:hAnsi="仿宋_GB2312" w:eastAsia="仿宋_GB2312" w:cs="仿宋_GB2312"/>
          <w:sz w:val="32"/>
          <w:szCs w:val="32"/>
          <w:highlight w:val="none"/>
        </w:rPr>
        <w:t>，必须及时书面通知对方。</w:t>
      </w:r>
      <w:bookmarkStart w:id="80" w:name="_Toc351203486"/>
    </w:p>
    <w:p w14:paraId="79E3184B">
      <w:pPr>
        <w:keepNext w:val="0"/>
        <w:keepLines w:val="0"/>
        <w:pageBreakBefore w:val="0"/>
        <w:widowControl/>
        <w:kinsoku/>
        <w:wordWrap/>
        <w:overflowPunct/>
        <w:topLinePunct w:val="0"/>
        <w:bidi w:val="0"/>
        <w:adjustRightInd/>
        <w:snapToGrid/>
        <w:spacing w:line="560" w:lineRule="exact"/>
        <w:ind w:firstLine="640" w:firstLineChars="200"/>
        <w:jc w:val="both"/>
        <w:textAlignment w:val="auto"/>
        <w:outlineLvl w:val="1"/>
        <w:rPr>
          <w:rFonts w:hint="eastAsia" w:ascii="黑体" w:hAnsi="黑体" w:eastAsia="黑体" w:cs="黑体"/>
          <w:b w:val="0"/>
          <w:bCs/>
          <w:color w:val="auto"/>
          <w:sz w:val="32"/>
          <w:szCs w:val="32"/>
          <w:highlight w:val="none"/>
        </w:rPr>
      </w:pPr>
      <w:bookmarkStart w:id="81" w:name="_Toc17591"/>
      <w:bookmarkStart w:id="82" w:name="_Toc480"/>
      <w:bookmarkStart w:id="83" w:name="_Toc14854"/>
      <w:bookmarkStart w:id="84" w:name="_Toc19372"/>
      <w:bookmarkStart w:id="85" w:name="_Toc7404"/>
      <w:bookmarkStart w:id="86" w:name="_Toc9228"/>
      <w:bookmarkStart w:id="87" w:name="_Toc16152"/>
      <w:bookmarkStart w:id="88" w:name="_Toc18389"/>
      <w:bookmarkStart w:id="89" w:name="_Toc28291"/>
      <w:bookmarkStart w:id="90" w:name="_Toc25014"/>
      <w:r>
        <w:rPr>
          <w:rFonts w:hint="eastAsia" w:ascii="黑体" w:hAnsi="黑体" w:eastAsia="黑体" w:cs="黑体"/>
          <w:b w:val="0"/>
          <w:bCs/>
          <w:color w:val="auto"/>
          <w:sz w:val="32"/>
          <w:szCs w:val="32"/>
          <w:highlight w:val="none"/>
          <w:lang w:eastAsia="zh-CN"/>
        </w:rPr>
        <w:t>七</w:t>
      </w:r>
      <w:r>
        <w:rPr>
          <w:rFonts w:hint="eastAsia" w:ascii="黑体" w:hAnsi="黑体" w:eastAsia="黑体" w:cs="黑体"/>
          <w:b w:val="0"/>
          <w:bCs/>
          <w:color w:val="auto"/>
          <w:sz w:val="32"/>
          <w:szCs w:val="32"/>
          <w:highlight w:val="none"/>
        </w:rPr>
        <w:t>、合同文件构</w:t>
      </w:r>
      <w:bookmarkEnd w:id="80"/>
      <w:r>
        <w:rPr>
          <w:rFonts w:hint="eastAsia" w:ascii="黑体" w:hAnsi="黑体" w:eastAsia="黑体" w:cs="黑体"/>
          <w:b w:val="0"/>
          <w:bCs/>
          <w:color w:val="auto"/>
          <w:sz w:val="32"/>
          <w:szCs w:val="32"/>
          <w:highlight w:val="none"/>
        </w:rPr>
        <w:t>成</w:t>
      </w:r>
      <w:bookmarkEnd w:id="81"/>
      <w:bookmarkEnd w:id="82"/>
      <w:bookmarkEnd w:id="83"/>
      <w:bookmarkEnd w:id="84"/>
      <w:bookmarkEnd w:id="85"/>
      <w:bookmarkEnd w:id="86"/>
      <w:bookmarkEnd w:id="87"/>
      <w:bookmarkEnd w:id="88"/>
      <w:bookmarkEnd w:id="89"/>
      <w:bookmarkEnd w:id="90"/>
    </w:p>
    <w:p w14:paraId="625EE1D7">
      <w:pPr>
        <w:keepNext w:val="0"/>
        <w:keepLines w:val="0"/>
        <w:pageBreakBefore w:val="0"/>
        <w:kinsoku/>
        <w:wordWrap/>
        <w:overflowPunct/>
        <w:topLinePunct w:val="0"/>
        <w:bidi w:val="0"/>
        <w:snapToGrid/>
        <w:spacing w:line="560" w:lineRule="exact"/>
        <w:ind w:firstLine="640" w:firstLineChars="200"/>
        <w:jc w:val="both"/>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rPr>
        <w:t>本协议书与下列文件一起构成合同文件：</w:t>
      </w:r>
    </w:p>
    <w:p w14:paraId="3ABD3DC8">
      <w:pPr>
        <w:keepNext w:val="0"/>
        <w:keepLines w:val="0"/>
        <w:pageBreakBefore w:val="0"/>
        <w:kinsoku/>
        <w:wordWrap/>
        <w:overflowPunct/>
        <w:topLinePunct w:val="0"/>
        <w:autoSpaceDE w:val="0"/>
        <w:autoSpaceDN w:val="0"/>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（1）本合同履行期间发包人与承包人双方签订的补充合同（协议）或修正文件、双方确认的对合同有影响的会议纪要、签证及设计变更等相关资料；（若有）；</w:t>
      </w:r>
    </w:p>
    <w:p w14:paraId="34C44B75">
      <w:pPr>
        <w:keepNext w:val="0"/>
        <w:keepLines w:val="0"/>
        <w:pageBreakBefore w:val="0"/>
        <w:kinsoku/>
        <w:wordWrap/>
        <w:overflowPunct/>
        <w:topLinePunct w:val="0"/>
        <w:autoSpaceDE w:val="0"/>
        <w:autoSpaceDN w:val="0"/>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（2）合同协议书；</w:t>
      </w:r>
    </w:p>
    <w:p w14:paraId="4AE72782">
      <w:pPr>
        <w:keepNext w:val="0"/>
        <w:keepLines w:val="0"/>
        <w:pageBreakBefore w:val="0"/>
        <w:kinsoku/>
        <w:wordWrap/>
        <w:overflowPunct/>
        <w:topLinePunct w:val="0"/>
        <w:autoSpaceDE w:val="0"/>
        <w:autoSpaceDN w:val="0"/>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中标通知书；</w:t>
      </w:r>
    </w:p>
    <w:p w14:paraId="4A4954A5">
      <w:pPr>
        <w:keepNext w:val="0"/>
        <w:keepLines w:val="0"/>
        <w:pageBreakBefore w:val="0"/>
        <w:kinsoku/>
        <w:wordWrap/>
        <w:overflowPunct/>
        <w:topLinePunct w:val="0"/>
        <w:autoSpaceDE w:val="0"/>
        <w:autoSpaceDN w:val="0"/>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rPr>
        <w:t xml:space="preserve">）投标函及其附录； </w:t>
      </w:r>
    </w:p>
    <w:p w14:paraId="648D7BA0">
      <w:pPr>
        <w:keepNext w:val="0"/>
        <w:keepLines w:val="0"/>
        <w:pageBreakBefore w:val="0"/>
        <w:kinsoku/>
        <w:wordWrap/>
        <w:overflowPunct/>
        <w:topLinePunct w:val="0"/>
        <w:autoSpaceDE w:val="0"/>
        <w:autoSpaceDN w:val="0"/>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）专用合同条款及其附件；</w:t>
      </w:r>
    </w:p>
    <w:p w14:paraId="68D65135">
      <w:pPr>
        <w:keepNext w:val="0"/>
        <w:keepLines w:val="0"/>
        <w:pageBreakBefore w:val="0"/>
        <w:kinsoku/>
        <w:wordWrap/>
        <w:overflowPunct/>
        <w:topLinePunct w:val="0"/>
        <w:autoSpaceDE w:val="0"/>
        <w:autoSpaceDN w:val="0"/>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rPr>
        <w:t>）通用合同条款；</w:t>
      </w:r>
    </w:p>
    <w:p w14:paraId="33404A4B">
      <w:pPr>
        <w:keepNext w:val="0"/>
        <w:keepLines w:val="0"/>
        <w:pageBreakBefore w:val="0"/>
        <w:kinsoku/>
        <w:wordWrap/>
        <w:overflowPunct/>
        <w:topLinePunct w:val="0"/>
        <w:autoSpaceDE w:val="0"/>
        <w:autoSpaceDN w:val="0"/>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7</w:t>
      </w:r>
      <w:r>
        <w:rPr>
          <w:rFonts w:hint="eastAsia" w:ascii="仿宋_GB2312" w:hAnsi="仿宋_GB2312" w:eastAsia="仿宋_GB2312" w:cs="仿宋_GB2312"/>
          <w:color w:val="auto"/>
          <w:sz w:val="32"/>
          <w:szCs w:val="32"/>
          <w:highlight w:val="none"/>
        </w:rPr>
        <w:t xml:space="preserve">）发包人针对本工程建设管理的各项制度、规定； </w:t>
      </w:r>
    </w:p>
    <w:p w14:paraId="0E0ABB0B">
      <w:pPr>
        <w:keepNext w:val="0"/>
        <w:keepLines w:val="0"/>
        <w:pageBreakBefore w:val="0"/>
        <w:kinsoku/>
        <w:wordWrap/>
        <w:overflowPunct/>
        <w:topLinePunct w:val="0"/>
        <w:autoSpaceDE w:val="0"/>
        <w:autoSpaceDN w:val="0"/>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8</w:t>
      </w:r>
      <w:r>
        <w:rPr>
          <w:rFonts w:hint="eastAsia" w:ascii="仿宋_GB2312" w:hAnsi="仿宋_GB2312" w:eastAsia="仿宋_GB2312" w:cs="仿宋_GB2312"/>
          <w:color w:val="auto"/>
          <w:sz w:val="32"/>
          <w:szCs w:val="32"/>
          <w:highlight w:val="none"/>
        </w:rPr>
        <w:t>）投标文件及其附件（含投标文件澄清等）；</w:t>
      </w:r>
    </w:p>
    <w:p w14:paraId="62309817">
      <w:pPr>
        <w:keepNext w:val="0"/>
        <w:keepLines w:val="0"/>
        <w:pageBreakBefore w:val="0"/>
        <w:kinsoku/>
        <w:wordWrap/>
        <w:overflowPunct/>
        <w:topLinePunct w:val="0"/>
        <w:autoSpaceDE w:val="0"/>
        <w:autoSpaceDN w:val="0"/>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9</w:t>
      </w:r>
      <w:r>
        <w:rPr>
          <w:rFonts w:hint="eastAsia" w:ascii="仿宋_GB2312" w:hAnsi="仿宋_GB2312" w:eastAsia="仿宋_GB2312" w:cs="仿宋_GB2312"/>
          <w:color w:val="auto"/>
          <w:sz w:val="32"/>
          <w:szCs w:val="32"/>
          <w:highlight w:val="none"/>
        </w:rPr>
        <w:t>）招标文件（含招标文件补充文件、澄清文件、答疑文件等）；</w:t>
      </w:r>
    </w:p>
    <w:p w14:paraId="1251A120">
      <w:pPr>
        <w:keepNext w:val="0"/>
        <w:keepLines w:val="0"/>
        <w:pageBreakBefore w:val="0"/>
        <w:kinsoku/>
        <w:wordWrap/>
        <w:overflowPunct/>
        <w:topLinePunct w:val="0"/>
        <w:autoSpaceDE w:val="0"/>
        <w:autoSpaceDN w:val="0"/>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10</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标准、规范及有关技术文件；</w:t>
      </w:r>
    </w:p>
    <w:p w14:paraId="7EFBBA81">
      <w:pPr>
        <w:keepNext w:val="0"/>
        <w:keepLines w:val="0"/>
        <w:pageBreakBefore w:val="0"/>
        <w:kinsoku/>
        <w:wordWrap/>
        <w:overflowPunct/>
        <w:topLinePunct w:val="0"/>
        <w:autoSpaceDE w:val="0"/>
        <w:autoSpaceDN w:val="0"/>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11</w:t>
      </w:r>
      <w:r>
        <w:rPr>
          <w:rFonts w:hint="eastAsia" w:ascii="仿宋_GB2312" w:hAnsi="仿宋_GB2312" w:eastAsia="仿宋_GB2312" w:cs="仿宋_GB2312"/>
          <w:color w:val="auto"/>
          <w:sz w:val="32"/>
          <w:szCs w:val="32"/>
          <w:highlight w:val="none"/>
        </w:rPr>
        <w:t>）图纸；</w:t>
      </w:r>
    </w:p>
    <w:p w14:paraId="2E811166">
      <w:pPr>
        <w:keepNext w:val="0"/>
        <w:keepLines w:val="0"/>
        <w:pageBreakBefore w:val="0"/>
        <w:kinsoku/>
        <w:wordWrap/>
        <w:overflowPunct/>
        <w:topLinePunct w:val="0"/>
        <w:autoSpaceDE w:val="0"/>
        <w:autoSpaceDN w:val="0"/>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12</w:t>
      </w:r>
      <w:r>
        <w:rPr>
          <w:rFonts w:hint="eastAsia" w:ascii="仿宋_GB2312" w:hAnsi="仿宋_GB2312" w:eastAsia="仿宋_GB2312" w:cs="仿宋_GB2312"/>
          <w:color w:val="auto"/>
          <w:sz w:val="32"/>
          <w:szCs w:val="32"/>
          <w:highlight w:val="none"/>
        </w:rPr>
        <w:t>）已标价工程量清单</w:t>
      </w:r>
      <w:r>
        <w:rPr>
          <w:rFonts w:hint="eastAsia" w:ascii="仿宋_GB2312" w:hAnsi="仿宋_GB2312" w:eastAsia="仿宋_GB2312" w:cs="仿宋_GB2312"/>
          <w:sz w:val="32"/>
          <w:szCs w:val="32"/>
          <w:highlight w:val="none"/>
        </w:rPr>
        <w:t>或预算书</w:t>
      </w:r>
      <w:r>
        <w:rPr>
          <w:rFonts w:hint="eastAsia" w:ascii="仿宋_GB2312" w:hAnsi="仿宋_GB2312" w:eastAsia="仿宋_GB2312" w:cs="仿宋_GB2312"/>
          <w:color w:val="auto"/>
          <w:sz w:val="32"/>
          <w:szCs w:val="32"/>
          <w:highlight w:val="none"/>
        </w:rPr>
        <w:t>；</w:t>
      </w:r>
    </w:p>
    <w:p w14:paraId="3CCBB25F">
      <w:pPr>
        <w:keepNext w:val="0"/>
        <w:keepLines w:val="0"/>
        <w:pageBreakBefore w:val="0"/>
        <w:kinsoku/>
        <w:wordWrap/>
        <w:overflowPunct/>
        <w:topLinePunct w:val="0"/>
        <w:autoSpaceDE w:val="0"/>
        <w:autoSpaceDN w:val="0"/>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13</w:t>
      </w:r>
      <w:r>
        <w:rPr>
          <w:rFonts w:hint="eastAsia" w:ascii="仿宋_GB2312" w:hAnsi="仿宋_GB2312" w:eastAsia="仿宋_GB2312" w:cs="仿宋_GB2312"/>
          <w:color w:val="auto"/>
          <w:sz w:val="32"/>
          <w:szCs w:val="32"/>
          <w:highlight w:val="none"/>
        </w:rPr>
        <w:t>）组成合同的其他合同文件。</w:t>
      </w:r>
    </w:p>
    <w:p w14:paraId="037CF290">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u w:val="none"/>
        </w:rPr>
        <w:t>图纸与标准、规范及有关技术文件之间有矛盾或者不一致的，</w:t>
      </w:r>
      <w:r>
        <w:rPr>
          <w:rFonts w:hint="eastAsia" w:ascii="仿宋_GB2312" w:hAnsi="仿宋_GB2312" w:eastAsia="仿宋_GB2312" w:cs="仿宋_GB2312"/>
          <w:color w:val="auto"/>
          <w:sz w:val="32"/>
          <w:szCs w:val="32"/>
          <w:highlight w:val="none"/>
          <w:u w:val="none"/>
          <w:lang w:val="en-US" w:eastAsia="zh-CN"/>
        </w:rPr>
        <w:t>执行</w:t>
      </w:r>
      <w:r>
        <w:rPr>
          <w:rFonts w:hint="eastAsia" w:ascii="仿宋_GB2312" w:hAnsi="仿宋_GB2312" w:eastAsia="仿宋_GB2312" w:cs="仿宋_GB2312"/>
          <w:color w:val="auto"/>
          <w:sz w:val="32"/>
          <w:szCs w:val="32"/>
          <w:highlight w:val="none"/>
          <w:u w:val="none"/>
        </w:rPr>
        <w:t>较严格的标准。</w:t>
      </w:r>
      <w:r>
        <w:rPr>
          <w:rFonts w:hint="eastAsia" w:ascii="仿宋_GB2312" w:hAnsi="仿宋_GB2312" w:eastAsia="仿宋_GB2312" w:cs="仿宋_GB2312"/>
          <w:color w:val="auto"/>
          <w:sz w:val="32"/>
          <w:szCs w:val="32"/>
          <w:highlight w:val="none"/>
        </w:rPr>
        <w:t>在合同订立及履行过程中形成的与合同有关的文件均构成合同文件组成部分。</w:t>
      </w:r>
    </w:p>
    <w:p w14:paraId="21D8CA45">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上述各项合同文件包括合同当事人就该项合同文件所作出的书面形式的补充和修改，属于同一类内容的文件，除发承包双方另有约定外，应以最新签署的为准。</w:t>
      </w:r>
      <w:bookmarkStart w:id="91" w:name="_Toc351203487"/>
    </w:p>
    <w:p w14:paraId="10688A8C">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auto"/>
          <w:sz w:val="32"/>
          <w:szCs w:val="32"/>
          <w:highlight w:val="none"/>
        </w:rPr>
        <w:t>构成本合同的合同文件之间应是相互说明和相互补充的。如果合同文件之间出现歧义或相互矛盾，或合同文件中出现明显错误时，承包人应立即以书面形式通知</w:t>
      </w:r>
      <w:r>
        <w:rPr>
          <w:rFonts w:hint="eastAsia" w:ascii="仿宋_GB2312" w:hAnsi="仿宋_GB2312" w:eastAsia="仿宋_GB2312" w:cs="仿宋_GB2312"/>
          <w:color w:val="auto"/>
          <w:sz w:val="32"/>
          <w:szCs w:val="32"/>
          <w:highlight w:val="none"/>
          <w:lang w:val="en-US" w:eastAsia="zh-CN"/>
        </w:rPr>
        <w:t>发包人</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发包</w:t>
      </w:r>
      <w:r>
        <w:rPr>
          <w:rFonts w:hint="eastAsia" w:ascii="仿宋_GB2312" w:hAnsi="仿宋_GB2312" w:eastAsia="仿宋_GB2312" w:cs="仿宋_GB2312"/>
          <w:color w:val="auto"/>
          <w:sz w:val="32"/>
          <w:szCs w:val="32"/>
          <w:highlight w:val="none"/>
        </w:rPr>
        <w:t>人应就此向承包人作出必要的书面澄清。</w:t>
      </w:r>
      <w:r>
        <w:rPr>
          <w:rFonts w:hint="eastAsia" w:ascii="仿宋_GB2312" w:hAnsi="仿宋_GB2312" w:eastAsia="仿宋_GB2312" w:cs="仿宋_GB2312"/>
          <w:sz w:val="32"/>
          <w:szCs w:val="32"/>
        </w:rPr>
        <w:t>当发包人和承包人因相互之间的文书材料或通讯联络出现冲突、矛盾或不一致时，发包人享有最终解释权及决定权。</w:t>
      </w:r>
    </w:p>
    <w:p w14:paraId="02A1D903">
      <w:pPr>
        <w:keepNext w:val="0"/>
        <w:keepLines w:val="0"/>
        <w:pageBreakBefore w:val="0"/>
        <w:widowControl/>
        <w:kinsoku/>
        <w:wordWrap/>
        <w:overflowPunct/>
        <w:topLinePunct w:val="0"/>
        <w:bidi w:val="0"/>
        <w:adjustRightInd/>
        <w:snapToGrid/>
        <w:spacing w:line="560" w:lineRule="exact"/>
        <w:ind w:firstLine="640" w:firstLineChars="200"/>
        <w:jc w:val="both"/>
        <w:textAlignment w:val="auto"/>
        <w:outlineLvl w:val="1"/>
        <w:rPr>
          <w:rFonts w:hint="eastAsia" w:ascii="黑体" w:hAnsi="黑体" w:eastAsia="黑体" w:cs="黑体"/>
          <w:b w:val="0"/>
          <w:bCs/>
          <w:color w:val="auto"/>
          <w:sz w:val="32"/>
          <w:szCs w:val="32"/>
          <w:highlight w:val="none"/>
        </w:rPr>
      </w:pPr>
      <w:bookmarkStart w:id="92" w:name="_Toc28184"/>
      <w:bookmarkStart w:id="93" w:name="_Toc28990"/>
      <w:bookmarkStart w:id="94" w:name="_Toc1527"/>
      <w:bookmarkStart w:id="95" w:name="_Toc11575"/>
      <w:bookmarkStart w:id="96" w:name="_Toc4525"/>
      <w:bookmarkStart w:id="97" w:name="_Toc4337"/>
      <w:bookmarkStart w:id="98" w:name="_Toc17798"/>
      <w:bookmarkStart w:id="99" w:name="_Toc3516"/>
      <w:bookmarkStart w:id="100" w:name="_Toc31440"/>
      <w:bookmarkStart w:id="101" w:name="_Toc21954"/>
      <w:r>
        <w:rPr>
          <w:rFonts w:hint="eastAsia" w:ascii="黑体" w:hAnsi="黑体" w:eastAsia="黑体" w:cs="黑体"/>
          <w:b w:val="0"/>
          <w:bCs/>
          <w:color w:val="auto"/>
          <w:sz w:val="32"/>
          <w:szCs w:val="32"/>
          <w:highlight w:val="none"/>
          <w:lang w:eastAsia="zh-CN"/>
        </w:rPr>
        <w:t>八</w:t>
      </w:r>
      <w:r>
        <w:rPr>
          <w:rFonts w:hint="eastAsia" w:ascii="黑体" w:hAnsi="黑体" w:eastAsia="黑体" w:cs="黑体"/>
          <w:b w:val="0"/>
          <w:bCs/>
          <w:color w:val="auto"/>
          <w:sz w:val="32"/>
          <w:szCs w:val="32"/>
          <w:highlight w:val="none"/>
        </w:rPr>
        <w:t>、承</w:t>
      </w:r>
      <w:bookmarkEnd w:id="91"/>
      <w:r>
        <w:rPr>
          <w:rFonts w:hint="eastAsia" w:ascii="黑体" w:hAnsi="黑体" w:eastAsia="黑体" w:cs="黑体"/>
          <w:b w:val="0"/>
          <w:bCs/>
          <w:color w:val="auto"/>
          <w:sz w:val="32"/>
          <w:szCs w:val="32"/>
          <w:highlight w:val="none"/>
        </w:rPr>
        <w:t>诺</w:t>
      </w:r>
      <w:bookmarkEnd w:id="92"/>
      <w:bookmarkEnd w:id="93"/>
      <w:bookmarkEnd w:id="94"/>
      <w:bookmarkEnd w:id="95"/>
      <w:bookmarkEnd w:id="96"/>
      <w:bookmarkEnd w:id="97"/>
      <w:bookmarkEnd w:id="98"/>
      <w:bookmarkEnd w:id="99"/>
      <w:bookmarkEnd w:id="100"/>
      <w:bookmarkEnd w:id="101"/>
    </w:p>
    <w:p w14:paraId="7304E9DA">
      <w:pPr>
        <w:keepNext w:val="0"/>
        <w:keepLines w:val="0"/>
        <w:pageBreakBefore w:val="0"/>
        <w:kinsoku/>
        <w:wordWrap/>
        <w:overflowPunct/>
        <w:topLinePunct w:val="0"/>
        <w:bidi w:val="0"/>
        <w:snapToGrid/>
        <w:spacing w:line="560" w:lineRule="exact"/>
        <w:ind w:firstLine="640" w:firstLineChars="200"/>
        <w:jc w:val="both"/>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rPr>
        <w:t>1.发包人承诺按照法律规定履行项目审批手续、筹集工程建设资金并按照合同约定的期限和方式支付合同价款。</w:t>
      </w:r>
    </w:p>
    <w:p w14:paraId="020119F0">
      <w:pPr>
        <w:keepNext w:val="0"/>
        <w:keepLines w:val="0"/>
        <w:pageBreakBefore w:val="0"/>
        <w:kinsoku/>
        <w:wordWrap/>
        <w:overflowPunct/>
        <w:topLinePunct w:val="0"/>
        <w:bidi w:val="0"/>
        <w:snapToGrid/>
        <w:spacing w:line="560" w:lineRule="exact"/>
        <w:ind w:firstLine="640" w:firstLineChars="200"/>
        <w:jc w:val="both"/>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rPr>
        <w:t>2.承包人承诺按照法律规定及合同约定组织完成工程施工，确保工程质量和安全，不进行转包及违法分包，并在缺陷责任期及保修期内承担相应的工程维修责任。</w:t>
      </w:r>
    </w:p>
    <w:p w14:paraId="792A187D">
      <w:pPr>
        <w:keepNext w:val="0"/>
        <w:keepLines w:val="0"/>
        <w:pageBreakBefore w:val="0"/>
        <w:kinsoku/>
        <w:wordWrap/>
        <w:overflowPunct/>
        <w:topLinePunct w:val="0"/>
        <w:bidi w:val="0"/>
        <w:snapToGrid/>
        <w:spacing w:line="560" w:lineRule="exact"/>
        <w:ind w:firstLine="640" w:firstLineChars="200"/>
        <w:jc w:val="both"/>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rPr>
        <w:t>3.发包人和承包人通过招投标形式签订合同的，双方理解并承诺不再就同一工程另行签订与</w:t>
      </w:r>
      <w:r>
        <w:rPr>
          <w:rFonts w:hint="eastAsia" w:ascii="仿宋_GB2312" w:hAnsi="仿宋_GB2312" w:eastAsia="仿宋_GB2312" w:cs="仿宋_GB2312"/>
          <w:bCs/>
          <w:color w:val="auto"/>
          <w:sz w:val="32"/>
          <w:szCs w:val="32"/>
          <w:highlight w:val="none"/>
          <w:lang w:val="en-US" w:eastAsia="zh-CN"/>
        </w:rPr>
        <w:t>招标文件、投标文件、本合同</w:t>
      </w:r>
      <w:r>
        <w:rPr>
          <w:rFonts w:hint="eastAsia" w:ascii="仿宋_GB2312" w:hAnsi="仿宋_GB2312" w:eastAsia="仿宋_GB2312" w:cs="仿宋_GB2312"/>
          <w:bCs/>
          <w:color w:val="auto"/>
          <w:sz w:val="32"/>
          <w:szCs w:val="32"/>
          <w:highlight w:val="none"/>
        </w:rPr>
        <w:t>实质性内容相背离的协议。</w:t>
      </w:r>
      <w:bookmarkStart w:id="102" w:name="_Hlk79661922"/>
      <w:bookmarkStart w:id="103" w:name="_Toc351203488"/>
    </w:p>
    <w:p w14:paraId="66E40BD5">
      <w:pPr>
        <w:keepNext w:val="0"/>
        <w:keepLines w:val="0"/>
        <w:pageBreakBefore w:val="0"/>
        <w:kinsoku/>
        <w:wordWrap/>
        <w:overflowPunct/>
        <w:topLinePunct w:val="0"/>
        <w:bidi w:val="0"/>
        <w:snapToGrid/>
        <w:spacing w:line="560" w:lineRule="exact"/>
        <w:ind w:firstLine="640" w:firstLineChars="200"/>
        <w:jc w:val="both"/>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rPr>
        <w:t>4.本合同中有关知识产权、不侵权保证、保密、违约责任、争议解决的条款独立存在，合同的变更、解除、终止、无效或者被撤销均不影响其效力。</w:t>
      </w:r>
    </w:p>
    <w:p w14:paraId="5C651851">
      <w:pPr>
        <w:keepNext w:val="0"/>
        <w:keepLines w:val="0"/>
        <w:pageBreakBefore w:val="0"/>
        <w:kinsoku/>
        <w:wordWrap/>
        <w:overflowPunct/>
        <w:topLinePunct w:val="0"/>
        <w:bidi w:val="0"/>
        <w:snapToGrid/>
        <w:spacing w:line="560" w:lineRule="exact"/>
        <w:ind w:firstLine="640" w:firstLineChars="200"/>
        <w:jc w:val="both"/>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rPr>
        <w:t>5.承包人确认，在签订本合同前已知晓本合同所涉及的项目，并充分熟悉本合同的文本含义，承包人已获相应授权且具备履行本合同的资质。</w:t>
      </w:r>
      <w:bookmarkEnd w:id="102"/>
    </w:p>
    <w:p w14:paraId="076639CE">
      <w:pPr>
        <w:keepNext w:val="0"/>
        <w:keepLines w:val="0"/>
        <w:pageBreakBefore w:val="0"/>
        <w:widowControl/>
        <w:kinsoku/>
        <w:wordWrap/>
        <w:overflowPunct/>
        <w:topLinePunct w:val="0"/>
        <w:bidi w:val="0"/>
        <w:adjustRightInd/>
        <w:snapToGrid/>
        <w:spacing w:line="560" w:lineRule="exact"/>
        <w:ind w:firstLine="640" w:firstLineChars="200"/>
        <w:jc w:val="both"/>
        <w:textAlignment w:val="auto"/>
        <w:outlineLvl w:val="1"/>
        <w:rPr>
          <w:rFonts w:hint="eastAsia" w:ascii="黑体" w:hAnsi="黑体" w:eastAsia="黑体" w:cs="黑体"/>
          <w:b w:val="0"/>
          <w:bCs/>
          <w:color w:val="auto"/>
          <w:sz w:val="32"/>
          <w:szCs w:val="32"/>
          <w:highlight w:val="none"/>
        </w:rPr>
      </w:pPr>
      <w:bookmarkStart w:id="104" w:name="_Toc19568"/>
      <w:bookmarkStart w:id="105" w:name="_Toc426"/>
      <w:bookmarkStart w:id="106" w:name="_Toc19416"/>
      <w:bookmarkStart w:id="107" w:name="_Toc13834"/>
      <w:bookmarkStart w:id="108" w:name="_Toc22030"/>
      <w:bookmarkStart w:id="109" w:name="_Toc19337"/>
      <w:bookmarkStart w:id="110" w:name="_Toc27551"/>
      <w:bookmarkStart w:id="111" w:name="_Toc2110"/>
      <w:bookmarkStart w:id="112" w:name="_Toc21916"/>
      <w:bookmarkStart w:id="113" w:name="_Toc29520"/>
      <w:r>
        <w:rPr>
          <w:rFonts w:hint="eastAsia" w:ascii="黑体" w:hAnsi="黑体" w:eastAsia="黑体" w:cs="黑体"/>
          <w:b w:val="0"/>
          <w:bCs/>
          <w:color w:val="auto"/>
          <w:sz w:val="32"/>
          <w:szCs w:val="32"/>
          <w:highlight w:val="none"/>
          <w:lang w:val="en-US" w:eastAsia="zh-CN"/>
        </w:rPr>
        <w:t>九</w:t>
      </w:r>
      <w:r>
        <w:rPr>
          <w:rFonts w:hint="eastAsia" w:ascii="黑体" w:hAnsi="黑体" w:eastAsia="黑体" w:cs="黑体"/>
          <w:b w:val="0"/>
          <w:bCs/>
          <w:color w:val="auto"/>
          <w:sz w:val="32"/>
          <w:szCs w:val="32"/>
          <w:highlight w:val="none"/>
        </w:rPr>
        <w:t>、词语含</w:t>
      </w:r>
      <w:bookmarkEnd w:id="103"/>
      <w:r>
        <w:rPr>
          <w:rFonts w:hint="eastAsia" w:ascii="黑体" w:hAnsi="黑体" w:eastAsia="黑体" w:cs="黑体"/>
          <w:b w:val="0"/>
          <w:bCs/>
          <w:color w:val="auto"/>
          <w:sz w:val="32"/>
          <w:szCs w:val="32"/>
          <w:highlight w:val="none"/>
        </w:rPr>
        <w:t>义</w:t>
      </w:r>
      <w:bookmarkEnd w:id="104"/>
      <w:bookmarkEnd w:id="105"/>
      <w:bookmarkEnd w:id="106"/>
      <w:bookmarkEnd w:id="107"/>
      <w:bookmarkEnd w:id="108"/>
      <w:bookmarkEnd w:id="109"/>
      <w:bookmarkEnd w:id="110"/>
      <w:bookmarkEnd w:id="111"/>
      <w:bookmarkEnd w:id="112"/>
      <w:bookmarkEnd w:id="113"/>
    </w:p>
    <w:p w14:paraId="6CC05A99">
      <w:pPr>
        <w:keepNext w:val="0"/>
        <w:keepLines w:val="0"/>
        <w:pageBreakBefore w:val="0"/>
        <w:kinsoku/>
        <w:wordWrap/>
        <w:overflowPunct/>
        <w:topLinePunct w:val="0"/>
        <w:bidi w:val="0"/>
        <w:snapToGrid/>
        <w:spacing w:line="560" w:lineRule="exact"/>
        <w:ind w:firstLine="640" w:firstLineChars="200"/>
        <w:jc w:val="both"/>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rPr>
        <w:t>本协议书中词语含义与第二部分通用合同条款中赋予的含义相同。</w:t>
      </w:r>
      <w:bookmarkStart w:id="114" w:name="_Toc351203489"/>
    </w:p>
    <w:p w14:paraId="086B5665">
      <w:pPr>
        <w:keepNext w:val="0"/>
        <w:keepLines w:val="0"/>
        <w:pageBreakBefore w:val="0"/>
        <w:widowControl/>
        <w:kinsoku/>
        <w:wordWrap/>
        <w:overflowPunct/>
        <w:topLinePunct w:val="0"/>
        <w:bidi w:val="0"/>
        <w:adjustRightInd/>
        <w:snapToGrid/>
        <w:spacing w:line="560" w:lineRule="exact"/>
        <w:ind w:firstLine="640" w:firstLineChars="200"/>
        <w:jc w:val="both"/>
        <w:textAlignment w:val="auto"/>
        <w:outlineLvl w:val="1"/>
        <w:rPr>
          <w:rFonts w:hint="eastAsia" w:ascii="黑体" w:hAnsi="黑体" w:eastAsia="黑体" w:cs="黑体"/>
          <w:b w:val="0"/>
          <w:bCs/>
          <w:color w:val="auto"/>
          <w:sz w:val="32"/>
          <w:szCs w:val="32"/>
          <w:highlight w:val="none"/>
        </w:rPr>
      </w:pPr>
      <w:bookmarkStart w:id="115" w:name="_Toc7320"/>
      <w:bookmarkStart w:id="116" w:name="_Toc3469"/>
      <w:bookmarkStart w:id="117" w:name="_Toc20460"/>
      <w:bookmarkStart w:id="118" w:name="_Toc12142"/>
      <w:bookmarkStart w:id="119" w:name="_Toc1900"/>
      <w:bookmarkStart w:id="120" w:name="_Toc8162"/>
      <w:bookmarkStart w:id="121" w:name="_Toc386"/>
      <w:bookmarkStart w:id="122" w:name="_Toc9251"/>
      <w:bookmarkStart w:id="123" w:name="_Toc19211"/>
      <w:bookmarkStart w:id="124" w:name="_Toc8888"/>
      <w:r>
        <w:rPr>
          <w:rFonts w:hint="eastAsia" w:ascii="黑体" w:hAnsi="黑体" w:eastAsia="黑体" w:cs="黑体"/>
          <w:b w:val="0"/>
          <w:bCs/>
          <w:color w:val="auto"/>
          <w:sz w:val="32"/>
          <w:szCs w:val="32"/>
          <w:highlight w:val="none"/>
          <w:lang w:val="en-US" w:eastAsia="zh-CN"/>
        </w:rPr>
        <w:t>十</w:t>
      </w:r>
      <w:r>
        <w:rPr>
          <w:rFonts w:hint="eastAsia" w:ascii="黑体" w:hAnsi="黑体" w:eastAsia="黑体" w:cs="黑体"/>
          <w:b w:val="0"/>
          <w:bCs/>
          <w:color w:val="auto"/>
          <w:sz w:val="32"/>
          <w:szCs w:val="32"/>
          <w:highlight w:val="none"/>
        </w:rPr>
        <w:t>、签订时</w:t>
      </w:r>
      <w:bookmarkEnd w:id="114"/>
      <w:r>
        <w:rPr>
          <w:rFonts w:hint="eastAsia" w:ascii="黑体" w:hAnsi="黑体" w:eastAsia="黑体" w:cs="黑体"/>
          <w:b w:val="0"/>
          <w:bCs/>
          <w:color w:val="auto"/>
          <w:sz w:val="32"/>
          <w:szCs w:val="32"/>
          <w:highlight w:val="none"/>
        </w:rPr>
        <w:t>间</w:t>
      </w:r>
      <w:bookmarkEnd w:id="115"/>
      <w:bookmarkEnd w:id="116"/>
      <w:bookmarkEnd w:id="117"/>
      <w:bookmarkEnd w:id="118"/>
      <w:bookmarkEnd w:id="119"/>
      <w:bookmarkEnd w:id="120"/>
      <w:bookmarkEnd w:id="121"/>
      <w:bookmarkEnd w:id="122"/>
      <w:bookmarkEnd w:id="123"/>
      <w:bookmarkEnd w:id="124"/>
    </w:p>
    <w:p w14:paraId="4678EFFF">
      <w:pPr>
        <w:keepNext w:val="0"/>
        <w:keepLines w:val="0"/>
        <w:pageBreakBefore w:val="0"/>
        <w:kinsoku/>
        <w:wordWrap/>
        <w:overflowPunct/>
        <w:topLinePunct w:val="0"/>
        <w:bidi w:val="0"/>
        <w:snapToGrid/>
        <w:spacing w:line="560" w:lineRule="exact"/>
        <w:ind w:firstLine="640" w:firstLineChars="200"/>
        <w:jc w:val="both"/>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rPr>
        <w:t>本合同于</w:t>
      </w:r>
      <w:permStart w:id="45" w:edGrp="everyone"/>
      <w:r>
        <w:rPr>
          <w:rFonts w:hint="eastAsia" w:ascii="仿宋_GB2312" w:hAnsi="仿宋_GB2312" w:eastAsia="仿宋_GB2312" w:cs="仿宋_GB2312"/>
          <w:color w:val="auto"/>
          <w:sz w:val="32"/>
          <w:szCs w:val="32"/>
          <w:highlight w:val="none"/>
          <w:u w:val="single"/>
        </w:rPr>
        <w:t> </w:t>
      </w:r>
      <w:r>
        <w:rPr>
          <w:rFonts w:hint="eastAsia" w:ascii="仿宋_GB2312" w:hAnsi="仿宋_GB2312" w:eastAsia="仿宋_GB2312" w:cs="仿宋_GB2312"/>
          <w:bCs/>
          <w:color w:val="auto"/>
          <w:sz w:val="32"/>
          <w:szCs w:val="32"/>
          <w:highlight w:val="none"/>
        </w:rPr>
        <w:t>年</w:t>
      </w:r>
      <w:r>
        <w:rPr>
          <w:rFonts w:hint="eastAsia" w:ascii="仿宋_GB2312" w:hAnsi="仿宋_GB2312" w:eastAsia="仿宋_GB2312" w:cs="仿宋_GB2312"/>
          <w:color w:val="auto"/>
          <w:sz w:val="32"/>
          <w:szCs w:val="32"/>
          <w:highlight w:val="none"/>
          <w:u w:val="single"/>
        </w:rPr>
        <w:t> </w:t>
      </w:r>
      <w:r>
        <w:rPr>
          <w:rFonts w:hint="eastAsia" w:ascii="仿宋_GB2312" w:hAnsi="仿宋_GB2312" w:eastAsia="仿宋_GB2312" w:cs="仿宋_GB2312"/>
          <w:bCs/>
          <w:color w:val="auto"/>
          <w:sz w:val="32"/>
          <w:szCs w:val="32"/>
          <w:highlight w:val="none"/>
        </w:rPr>
        <w:t>月</w:t>
      </w:r>
      <w:r>
        <w:rPr>
          <w:rFonts w:hint="eastAsia" w:ascii="仿宋_GB2312" w:hAnsi="仿宋_GB2312" w:eastAsia="仿宋_GB2312" w:cs="仿宋_GB2312"/>
          <w:color w:val="auto"/>
          <w:sz w:val="32"/>
          <w:szCs w:val="32"/>
          <w:highlight w:val="none"/>
          <w:u w:val="single"/>
        </w:rPr>
        <w:t> </w:t>
      </w:r>
      <w:r>
        <w:rPr>
          <w:rFonts w:hint="eastAsia" w:ascii="仿宋_GB2312" w:hAnsi="仿宋_GB2312" w:eastAsia="仿宋_GB2312" w:cs="仿宋_GB2312"/>
          <w:bCs/>
          <w:color w:val="auto"/>
          <w:sz w:val="32"/>
          <w:szCs w:val="32"/>
          <w:highlight w:val="none"/>
        </w:rPr>
        <w:t>日</w:t>
      </w:r>
      <w:permEnd w:id="45"/>
      <w:r>
        <w:rPr>
          <w:rFonts w:hint="eastAsia" w:ascii="仿宋_GB2312" w:hAnsi="仿宋_GB2312" w:eastAsia="仿宋_GB2312" w:cs="仿宋_GB2312"/>
          <w:bCs/>
          <w:color w:val="auto"/>
          <w:sz w:val="32"/>
          <w:szCs w:val="32"/>
          <w:highlight w:val="none"/>
        </w:rPr>
        <w:t>签订。</w:t>
      </w:r>
      <w:bookmarkStart w:id="125" w:name="_Toc351203490"/>
    </w:p>
    <w:p w14:paraId="57EAE117">
      <w:pPr>
        <w:keepNext w:val="0"/>
        <w:keepLines w:val="0"/>
        <w:pageBreakBefore w:val="0"/>
        <w:widowControl/>
        <w:kinsoku/>
        <w:wordWrap/>
        <w:overflowPunct/>
        <w:topLinePunct w:val="0"/>
        <w:bidi w:val="0"/>
        <w:adjustRightInd/>
        <w:snapToGrid/>
        <w:spacing w:line="560" w:lineRule="exact"/>
        <w:ind w:firstLine="640" w:firstLineChars="200"/>
        <w:jc w:val="both"/>
        <w:textAlignment w:val="auto"/>
        <w:outlineLvl w:val="1"/>
        <w:rPr>
          <w:rFonts w:hint="eastAsia" w:ascii="黑体" w:hAnsi="黑体" w:eastAsia="黑体" w:cs="黑体"/>
          <w:b w:val="0"/>
          <w:bCs/>
          <w:color w:val="auto"/>
          <w:sz w:val="32"/>
          <w:szCs w:val="32"/>
          <w:highlight w:val="none"/>
        </w:rPr>
      </w:pPr>
      <w:bookmarkStart w:id="126" w:name="_Toc29373"/>
      <w:bookmarkStart w:id="127" w:name="_Toc30401"/>
      <w:bookmarkStart w:id="128" w:name="_Toc31997"/>
      <w:bookmarkStart w:id="129" w:name="_Toc23762"/>
      <w:bookmarkStart w:id="130" w:name="_Toc11028"/>
      <w:bookmarkStart w:id="131" w:name="_Toc22527"/>
      <w:bookmarkStart w:id="132" w:name="_Toc13863"/>
      <w:bookmarkStart w:id="133" w:name="_Toc24835"/>
      <w:bookmarkStart w:id="134" w:name="_Toc9709"/>
      <w:bookmarkStart w:id="135" w:name="_Toc12285"/>
      <w:r>
        <w:rPr>
          <w:rFonts w:hint="eastAsia" w:ascii="黑体" w:hAnsi="黑体" w:eastAsia="黑体" w:cs="黑体"/>
          <w:b w:val="0"/>
          <w:bCs/>
          <w:color w:val="auto"/>
          <w:sz w:val="32"/>
          <w:szCs w:val="32"/>
          <w:highlight w:val="none"/>
        </w:rPr>
        <w:t>十</w:t>
      </w:r>
      <w:r>
        <w:rPr>
          <w:rFonts w:hint="eastAsia" w:ascii="黑体" w:hAnsi="黑体" w:eastAsia="黑体" w:cs="黑体"/>
          <w:b w:val="0"/>
          <w:bCs/>
          <w:color w:val="auto"/>
          <w:sz w:val="32"/>
          <w:szCs w:val="32"/>
          <w:highlight w:val="none"/>
          <w:lang w:val="en-US" w:eastAsia="zh-CN"/>
        </w:rPr>
        <w:t>一</w:t>
      </w:r>
      <w:r>
        <w:rPr>
          <w:rFonts w:hint="eastAsia" w:ascii="黑体" w:hAnsi="黑体" w:eastAsia="黑体" w:cs="黑体"/>
          <w:b w:val="0"/>
          <w:bCs/>
          <w:color w:val="auto"/>
          <w:sz w:val="32"/>
          <w:szCs w:val="32"/>
          <w:highlight w:val="none"/>
        </w:rPr>
        <w:t>、签订地</w:t>
      </w:r>
      <w:bookmarkEnd w:id="125"/>
      <w:r>
        <w:rPr>
          <w:rFonts w:hint="eastAsia" w:ascii="黑体" w:hAnsi="黑体" w:eastAsia="黑体" w:cs="黑体"/>
          <w:b w:val="0"/>
          <w:bCs/>
          <w:color w:val="auto"/>
          <w:sz w:val="32"/>
          <w:szCs w:val="32"/>
          <w:highlight w:val="none"/>
        </w:rPr>
        <w:t>点</w:t>
      </w:r>
      <w:bookmarkEnd w:id="126"/>
      <w:bookmarkEnd w:id="127"/>
      <w:bookmarkEnd w:id="128"/>
      <w:bookmarkEnd w:id="129"/>
      <w:bookmarkEnd w:id="130"/>
      <w:bookmarkEnd w:id="131"/>
      <w:bookmarkEnd w:id="132"/>
      <w:bookmarkEnd w:id="133"/>
      <w:bookmarkEnd w:id="134"/>
      <w:bookmarkEnd w:id="135"/>
    </w:p>
    <w:p w14:paraId="4FFFE2BD">
      <w:pPr>
        <w:keepNext w:val="0"/>
        <w:keepLines w:val="0"/>
        <w:pageBreakBefore w:val="0"/>
        <w:kinsoku/>
        <w:wordWrap/>
        <w:overflowPunct/>
        <w:topLinePunct w:val="0"/>
        <w:bidi w:val="0"/>
        <w:snapToGrid/>
        <w:spacing w:line="560" w:lineRule="exact"/>
        <w:ind w:firstLine="640" w:firstLineChars="200"/>
        <w:jc w:val="both"/>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rPr>
        <w:t>本合同在</w:t>
      </w:r>
      <w:permStart w:id="46" w:edGrp="everyone"/>
      <w:r>
        <w:rPr>
          <w:rFonts w:hint="eastAsia" w:ascii="仿宋_GB2312" w:hAnsi="仿宋_GB2312" w:eastAsia="仿宋_GB2312" w:cs="仿宋_GB2312"/>
          <w:bCs/>
          <w:color w:val="auto"/>
          <w:sz w:val="32"/>
          <w:szCs w:val="32"/>
          <w:highlight w:val="none"/>
          <w:u w:val="none"/>
        </w:rPr>
        <w:t>海南省海口市美兰区</w:t>
      </w:r>
      <w:permEnd w:id="46"/>
      <w:r>
        <w:rPr>
          <w:rFonts w:hint="eastAsia" w:ascii="仿宋_GB2312" w:hAnsi="仿宋_GB2312" w:eastAsia="仿宋_GB2312" w:cs="仿宋_GB2312"/>
          <w:bCs/>
          <w:color w:val="auto"/>
          <w:sz w:val="32"/>
          <w:szCs w:val="32"/>
          <w:highlight w:val="none"/>
        </w:rPr>
        <w:t>签订。</w:t>
      </w:r>
      <w:bookmarkStart w:id="136" w:name="_Toc351203491"/>
    </w:p>
    <w:p w14:paraId="5F18AE4B">
      <w:pPr>
        <w:keepNext w:val="0"/>
        <w:keepLines w:val="0"/>
        <w:pageBreakBefore w:val="0"/>
        <w:widowControl/>
        <w:kinsoku/>
        <w:wordWrap/>
        <w:overflowPunct/>
        <w:topLinePunct w:val="0"/>
        <w:bidi w:val="0"/>
        <w:adjustRightInd/>
        <w:snapToGrid/>
        <w:spacing w:line="560" w:lineRule="exact"/>
        <w:ind w:firstLine="640" w:firstLineChars="200"/>
        <w:jc w:val="both"/>
        <w:textAlignment w:val="auto"/>
        <w:outlineLvl w:val="1"/>
        <w:rPr>
          <w:rFonts w:hint="eastAsia" w:ascii="黑体" w:hAnsi="黑体" w:eastAsia="黑体" w:cs="黑体"/>
          <w:b w:val="0"/>
          <w:bCs/>
          <w:color w:val="auto"/>
          <w:sz w:val="32"/>
          <w:szCs w:val="32"/>
          <w:highlight w:val="none"/>
        </w:rPr>
      </w:pPr>
      <w:bookmarkStart w:id="137" w:name="_Toc17912"/>
      <w:bookmarkStart w:id="138" w:name="_Toc445"/>
      <w:bookmarkStart w:id="139" w:name="_Toc11240"/>
      <w:bookmarkStart w:id="140" w:name="_Toc2116"/>
      <w:bookmarkStart w:id="141" w:name="_Toc29271"/>
      <w:bookmarkStart w:id="142" w:name="_Toc25635"/>
      <w:bookmarkStart w:id="143" w:name="_Toc16085"/>
      <w:bookmarkStart w:id="144" w:name="_Toc28442"/>
      <w:bookmarkStart w:id="145" w:name="_Toc13715"/>
      <w:bookmarkStart w:id="146" w:name="_Toc1244"/>
      <w:r>
        <w:rPr>
          <w:rFonts w:hint="eastAsia" w:ascii="黑体" w:hAnsi="黑体" w:eastAsia="黑体" w:cs="黑体"/>
          <w:b w:val="0"/>
          <w:bCs/>
          <w:color w:val="auto"/>
          <w:sz w:val="32"/>
          <w:szCs w:val="32"/>
          <w:highlight w:val="none"/>
        </w:rPr>
        <w:t>十</w:t>
      </w:r>
      <w:r>
        <w:rPr>
          <w:rFonts w:hint="eastAsia" w:ascii="黑体" w:hAnsi="黑体" w:eastAsia="黑体" w:cs="黑体"/>
          <w:b w:val="0"/>
          <w:bCs/>
          <w:color w:val="auto"/>
          <w:sz w:val="32"/>
          <w:szCs w:val="32"/>
          <w:highlight w:val="none"/>
          <w:lang w:eastAsia="zh-CN"/>
        </w:rPr>
        <w:t>二</w:t>
      </w:r>
      <w:r>
        <w:rPr>
          <w:rFonts w:hint="eastAsia" w:ascii="黑体" w:hAnsi="黑体" w:eastAsia="黑体" w:cs="黑体"/>
          <w:b w:val="0"/>
          <w:bCs/>
          <w:color w:val="auto"/>
          <w:sz w:val="32"/>
          <w:szCs w:val="32"/>
          <w:highlight w:val="none"/>
        </w:rPr>
        <w:t>、补充协</w:t>
      </w:r>
      <w:bookmarkEnd w:id="136"/>
      <w:r>
        <w:rPr>
          <w:rFonts w:hint="eastAsia" w:ascii="黑体" w:hAnsi="黑体" w:eastAsia="黑体" w:cs="黑体"/>
          <w:b w:val="0"/>
          <w:bCs/>
          <w:color w:val="auto"/>
          <w:sz w:val="32"/>
          <w:szCs w:val="32"/>
          <w:highlight w:val="none"/>
        </w:rPr>
        <w:t>议</w:t>
      </w:r>
      <w:bookmarkEnd w:id="137"/>
      <w:bookmarkEnd w:id="138"/>
      <w:bookmarkEnd w:id="139"/>
      <w:bookmarkEnd w:id="140"/>
      <w:bookmarkEnd w:id="141"/>
      <w:bookmarkEnd w:id="142"/>
      <w:bookmarkEnd w:id="143"/>
      <w:bookmarkEnd w:id="144"/>
      <w:bookmarkEnd w:id="145"/>
      <w:bookmarkEnd w:id="146"/>
    </w:p>
    <w:p w14:paraId="39F65305">
      <w:pPr>
        <w:keepNext w:val="0"/>
        <w:keepLines w:val="0"/>
        <w:pageBreakBefore w:val="0"/>
        <w:kinsoku/>
        <w:wordWrap/>
        <w:overflowPunct/>
        <w:topLinePunct w:val="0"/>
        <w:bidi w:val="0"/>
        <w:snapToGrid/>
        <w:spacing w:line="560" w:lineRule="exact"/>
        <w:ind w:firstLine="640" w:firstLineChars="200"/>
        <w:jc w:val="both"/>
        <w:textAlignment w:val="auto"/>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Cs/>
          <w:color w:val="auto"/>
          <w:sz w:val="32"/>
          <w:szCs w:val="32"/>
          <w:highlight w:val="none"/>
        </w:rPr>
        <w:t>合同未尽事宜，合同当事人另行签订补充协议，补充协议是合同的组成部分，与本合同具有同等法律效力，除补充协议明确修改部分，其余应当遵照本合同执行，补充协议与本合同的内容条款如有不一致，以补充协议为准。</w:t>
      </w:r>
      <w:bookmarkStart w:id="147" w:name="_Toc351203492"/>
    </w:p>
    <w:p w14:paraId="125E0B34">
      <w:pPr>
        <w:keepNext w:val="0"/>
        <w:keepLines w:val="0"/>
        <w:pageBreakBefore w:val="0"/>
        <w:widowControl/>
        <w:kinsoku/>
        <w:wordWrap/>
        <w:overflowPunct/>
        <w:topLinePunct w:val="0"/>
        <w:bidi w:val="0"/>
        <w:adjustRightInd/>
        <w:snapToGrid/>
        <w:spacing w:line="560" w:lineRule="exact"/>
        <w:ind w:firstLine="640" w:firstLineChars="200"/>
        <w:jc w:val="both"/>
        <w:textAlignment w:val="auto"/>
        <w:outlineLvl w:val="1"/>
        <w:rPr>
          <w:rFonts w:hint="eastAsia" w:ascii="黑体" w:hAnsi="黑体" w:eastAsia="黑体" w:cs="黑体"/>
          <w:b w:val="0"/>
          <w:bCs/>
          <w:color w:val="auto"/>
          <w:sz w:val="32"/>
          <w:szCs w:val="32"/>
          <w:highlight w:val="none"/>
        </w:rPr>
      </w:pPr>
      <w:bookmarkStart w:id="148" w:name="_Toc32026"/>
      <w:bookmarkStart w:id="149" w:name="_Toc30163"/>
      <w:bookmarkStart w:id="150" w:name="_Toc13398"/>
      <w:bookmarkStart w:id="151" w:name="_Toc18456"/>
      <w:bookmarkStart w:id="152" w:name="_Toc16590"/>
      <w:bookmarkStart w:id="153" w:name="_Toc17370"/>
      <w:bookmarkStart w:id="154" w:name="_Toc3339"/>
      <w:bookmarkStart w:id="155" w:name="_Toc2189"/>
      <w:bookmarkStart w:id="156" w:name="_Toc4534"/>
      <w:bookmarkStart w:id="157" w:name="_Toc19251"/>
      <w:r>
        <w:rPr>
          <w:rFonts w:hint="eastAsia" w:ascii="黑体" w:hAnsi="黑体" w:eastAsia="黑体" w:cs="黑体"/>
          <w:b w:val="0"/>
          <w:bCs/>
          <w:color w:val="auto"/>
          <w:sz w:val="32"/>
          <w:szCs w:val="32"/>
          <w:highlight w:val="none"/>
        </w:rPr>
        <w:t>十</w:t>
      </w:r>
      <w:r>
        <w:rPr>
          <w:rFonts w:hint="eastAsia" w:ascii="黑体" w:hAnsi="黑体" w:eastAsia="黑体" w:cs="黑体"/>
          <w:b w:val="0"/>
          <w:bCs/>
          <w:color w:val="auto"/>
          <w:sz w:val="32"/>
          <w:szCs w:val="32"/>
          <w:highlight w:val="none"/>
          <w:lang w:val="en-US" w:eastAsia="zh-CN"/>
        </w:rPr>
        <w:t>三</w:t>
      </w:r>
      <w:r>
        <w:rPr>
          <w:rFonts w:hint="eastAsia" w:ascii="黑体" w:hAnsi="黑体" w:eastAsia="黑体" w:cs="黑体"/>
          <w:b w:val="0"/>
          <w:bCs/>
          <w:color w:val="auto"/>
          <w:sz w:val="32"/>
          <w:szCs w:val="32"/>
          <w:highlight w:val="none"/>
        </w:rPr>
        <w:t>、合同生</w:t>
      </w:r>
      <w:bookmarkEnd w:id="147"/>
      <w:r>
        <w:rPr>
          <w:rFonts w:hint="eastAsia" w:ascii="黑体" w:hAnsi="黑体" w:eastAsia="黑体" w:cs="黑体"/>
          <w:b w:val="0"/>
          <w:bCs/>
          <w:color w:val="auto"/>
          <w:sz w:val="32"/>
          <w:szCs w:val="32"/>
          <w:highlight w:val="none"/>
        </w:rPr>
        <w:t>效</w:t>
      </w:r>
      <w:bookmarkEnd w:id="148"/>
      <w:bookmarkEnd w:id="149"/>
      <w:bookmarkEnd w:id="150"/>
      <w:bookmarkEnd w:id="151"/>
      <w:bookmarkEnd w:id="152"/>
      <w:bookmarkEnd w:id="153"/>
      <w:bookmarkEnd w:id="154"/>
      <w:bookmarkEnd w:id="155"/>
      <w:bookmarkEnd w:id="156"/>
      <w:bookmarkEnd w:id="157"/>
    </w:p>
    <w:p w14:paraId="73D73AD7">
      <w:pPr>
        <w:keepNext w:val="0"/>
        <w:keepLines w:val="0"/>
        <w:pageBreakBefore w:val="0"/>
        <w:kinsoku/>
        <w:wordWrap/>
        <w:overflowPunct/>
        <w:topLinePunct w:val="0"/>
        <w:bidi w:val="0"/>
        <w:snapToGrid/>
        <w:spacing w:line="560" w:lineRule="exact"/>
        <w:ind w:firstLine="640" w:firstLineChars="200"/>
        <w:jc w:val="both"/>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rPr>
        <w:t>本合同</w:t>
      </w:r>
      <w:r>
        <w:rPr>
          <w:rFonts w:hint="eastAsia" w:ascii="仿宋_GB2312" w:hAnsi="仿宋_GB2312" w:eastAsia="仿宋_GB2312" w:cs="仿宋_GB2312"/>
          <w:bCs/>
          <w:color w:val="auto"/>
          <w:sz w:val="32"/>
          <w:szCs w:val="32"/>
          <w:highlight w:val="none"/>
          <w:lang w:val="en-US" w:eastAsia="zh-CN"/>
        </w:rPr>
        <w:t>自</w:t>
      </w:r>
      <w:r>
        <w:rPr>
          <w:rFonts w:hint="eastAsia" w:ascii="仿宋_GB2312" w:hAnsi="仿宋_GB2312" w:eastAsia="仿宋_GB2312" w:cs="仿宋_GB2312"/>
          <w:bCs/>
          <w:color w:val="auto"/>
          <w:sz w:val="32"/>
          <w:szCs w:val="32"/>
          <w:highlight w:val="none"/>
        </w:rPr>
        <w:t>各方法定代表人或其</w:t>
      </w:r>
      <w:r>
        <w:rPr>
          <w:rFonts w:hint="eastAsia" w:ascii="仿宋_GB2312" w:hAnsi="仿宋_GB2312" w:eastAsia="仿宋_GB2312" w:cs="仿宋_GB2312"/>
          <w:bCs/>
          <w:color w:val="auto"/>
          <w:sz w:val="32"/>
          <w:szCs w:val="32"/>
          <w:highlight w:val="none"/>
          <w:lang w:eastAsia="zh-CN"/>
        </w:rPr>
        <w:t>授权代理人</w:t>
      </w:r>
      <w:r>
        <w:rPr>
          <w:rFonts w:hint="eastAsia" w:ascii="仿宋_GB2312" w:hAnsi="仿宋_GB2312" w:eastAsia="仿宋_GB2312" w:cs="仿宋_GB2312"/>
          <w:bCs/>
          <w:color w:val="auto"/>
          <w:sz w:val="32"/>
          <w:szCs w:val="32"/>
          <w:highlight w:val="none"/>
        </w:rPr>
        <w:t>签字并加盖公章/合同章之日起生效。</w:t>
      </w:r>
      <w:r>
        <w:rPr>
          <w:rFonts w:hint="eastAsia" w:ascii="仿宋_GB2312" w:hAnsi="仿宋_GB2312" w:eastAsia="仿宋_GB2312" w:cs="仿宋_GB2312"/>
          <w:bCs/>
          <w:color w:val="auto"/>
          <w:sz w:val="32"/>
          <w:szCs w:val="32"/>
          <w:highlight w:val="none"/>
          <w:lang w:eastAsia="zh-CN"/>
        </w:rPr>
        <w:t>如由授权代理人签订本合同，需提供法人授权委托书及法定代表人、授权代理人身份证明材料和身份证复印件，以上材料均需加盖法人及法定代表人印章</w:t>
      </w:r>
      <w:r>
        <w:rPr>
          <w:rFonts w:hint="eastAsia" w:ascii="仿宋_GB2312" w:hAnsi="仿宋_GB2312" w:eastAsia="仿宋_GB2312" w:cs="仿宋_GB2312"/>
          <w:bCs/>
          <w:color w:val="auto"/>
          <w:sz w:val="32"/>
          <w:szCs w:val="32"/>
          <w:highlight w:val="none"/>
        </w:rPr>
        <w:t>。签章时间不一致的，以最后一方签章时间为准，本合同附件为本合同不可分割之组成部分，与本合同具有同等法律效力，双方应共同遵守附件之各项约定。</w:t>
      </w:r>
    </w:p>
    <w:p w14:paraId="7EAE37B4">
      <w:pPr>
        <w:keepNext w:val="0"/>
        <w:keepLines w:val="0"/>
        <w:pageBreakBefore w:val="0"/>
        <w:kinsoku/>
        <w:wordWrap/>
        <w:overflowPunct/>
        <w:topLinePunct w:val="0"/>
        <w:bidi w:val="0"/>
        <w:snapToGrid/>
        <w:spacing w:line="560" w:lineRule="exact"/>
        <w:ind w:firstLine="640" w:firstLineChars="200"/>
        <w:jc w:val="both"/>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rPr>
        <w:t>本合同非格式合同或具有格式条款，双方一经签署即视为均已经完全知晓、理解、认可本合同的全部及部分条款，本合同下任何一条无效或不具有强制执行力不代表本合同其他条款同时不具有强制执行力。如果本合同一条或多条约定无效或不具有可执行性，则协议其余条款的效力及可执行性不受影响，除非该等无效或不具有可执行性部分足以破坏本协议的基础目的。</w:t>
      </w:r>
      <w:bookmarkStart w:id="158" w:name="_Toc351203493"/>
    </w:p>
    <w:p w14:paraId="44623465">
      <w:pPr>
        <w:keepNext w:val="0"/>
        <w:keepLines w:val="0"/>
        <w:pageBreakBefore w:val="0"/>
        <w:widowControl/>
        <w:kinsoku/>
        <w:wordWrap/>
        <w:overflowPunct/>
        <w:topLinePunct w:val="0"/>
        <w:bidi w:val="0"/>
        <w:adjustRightInd/>
        <w:snapToGrid/>
        <w:spacing w:line="560" w:lineRule="exact"/>
        <w:ind w:firstLine="640" w:firstLineChars="200"/>
        <w:jc w:val="both"/>
        <w:textAlignment w:val="auto"/>
        <w:outlineLvl w:val="1"/>
        <w:rPr>
          <w:rFonts w:hint="default" w:ascii="黑体" w:hAnsi="黑体" w:eastAsia="黑体" w:cs="黑体"/>
          <w:b w:val="0"/>
          <w:bCs/>
          <w:color w:val="auto"/>
          <w:sz w:val="32"/>
          <w:szCs w:val="32"/>
          <w:highlight w:val="none"/>
          <w:lang w:val="en-US" w:eastAsia="zh-CN"/>
        </w:rPr>
      </w:pPr>
      <w:bookmarkStart w:id="159" w:name="_Toc13770"/>
      <w:bookmarkStart w:id="160" w:name="_Toc2087"/>
      <w:bookmarkStart w:id="161" w:name="_Toc17763"/>
      <w:bookmarkStart w:id="162" w:name="_Toc16955"/>
      <w:bookmarkStart w:id="163" w:name="_Toc27901"/>
      <w:bookmarkStart w:id="164" w:name="_Toc11253"/>
      <w:bookmarkStart w:id="165" w:name="_Toc15628"/>
      <w:bookmarkStart w:id="166" w:name="_Toc18028"/>
      <w:bookmarkStart w:id="167" w:name="_Toc19515"/>
      <w:bookmarkStart w:id="168" w:name="_Toc15012"/>
      <w:r>
        <w:rPr>
          <w:rFonts w:hint="eastAsia" w:ascii="黑体" w:hAnsi="黑体" w:eastAsia="黑体" w:cs="黑体"/>
          <w:b w:val="0"/>
          <w:bCs/>
          <w:color w:val="auto"/>
          <w:sz w:val="32"/>
          <w:szCs w:val="32"/>
          <w:highlight w:val="none"/>
        </w:rPr>
        <w:t>十</w:t>
      </w:r>
      <w:r>
        <w:rPr>
          <w:rFonts w:hint="eastAsia" w:ascii="黑体" w:hAnsi="黑体" w:eastAsia="黑体" w:cs="黑体"/>
          <w:b w:val="0"/>
          <w:bCs/>
          <w:color w:val="auto"/>
          <w:sz w:val="32"/>
          <w:szCs w:val="32"/>
          <w:highlight w:val="none"/>
          <w:lang w:eastAsia="zh-CN"/>
        </w:rPr>
        <w:t>四</w:t>
      </w:r>
      <w:r>
        <w:rPr>
          <w:rFonts w:hint="eastAsia" w:ascii="黑体" w:hAnsi="黑体" w:eastAsia="黑体" w:cs="黑体"/>
          <w:b w:val="0"/>
          <w:bCs/>
          <w:color w:val="auto"/>
          <w:sz w:val="32"/>
          <w:szCs w:val="32"/>
          <w:highlight w:val="none"/>
        </w:rPr>
        <w:t>、合同份</w:t>
      </w:r>
      <w:bookmarkEnd w:id="158"/>
      <w:r>
        <w:rPr>
          <w:rFonts w:hint="eastAsia" w:ascii="黑体" w:hAnsi="黑体" w:eastAsia="黑体" w:cs="黑体"/>
          <w:b w:val="0"/>
          <w:bCs/>
          <w:color w:val="auto"/>
          <w:sz w:val="32"/>
          <w:szCs w:val="32"/>
          <w:highlight w:val="none"/>
        </w:rPr>
        <w:t>数</w:t>
      </w:r>
      <w:bookmarkEnd w:id="159"/>
      <w:bookmarkEnd w:id="160"/>
      <w:bookmarkEnd w:id="161"/>
      <w:bookmarkEnd w:id="162"/>
      <w:bookmarkEnd w:id="163"/>
      <w:bookmarkEnd w:id="164"/>
      <w:bookmarkEnd w:id="165"/>
      <w:bookmarkEnd w:id="166"/>
      <w:bookmarkEnd w:id="167"/>
      <w:bookmarkEnd w:id="168"/>
      <w:r>
        <w:rPr>
          <w:rFonts w:hint="eastAsia" w:ascii="黑体" w:hAnsi="黑体" w:eastAsia="黑体" w:cs="黑体"/>
          <w:b w:val="0"/>
          <w:bCs/>
          <w:color w:val="auto"/>
          <w:sz w:val="32"/>
          <w:szCs w:val="32"/>
          <w:highlight w:val="none"/>
          <w:lang w:eastAsia="zh-CN"/>
        </w:rPr>
        <w:t>、</w:t>
      </w:r>
      <w:r>
        <w:rPr>
          <w:rFonts w:hint="eastAsia" w:ascii="黑体" w:hAnsi="黑体" w:eastAsia="黑体" w:cs="黑体"/>
          <w:b w:val="0"/>
          <w:bCs/>
          <w:color w:val="auto"/>
          <w:sz w:val="32"/>
          <w:szCs w:val="32"/>
          <w:highlight w:val="none"/>
          <w:lang w:val="en-US" w:eastAsia="zh-CN"/>
        </w:rPr>
        <w:t>通知与送达</w:t>
      </w:r>
    </w:p>
    <w:p w14:paraId="77162F6D">
      <w:pPr>
        <w:keepNext w:val="0"/>
        <w:keepLines w:val="0"/>
        <w:pageBreakBefore w:val="0"/>
        <w:kinsoku/>
        <w:wordWrap/>
        <w:overflowPunct/>
        <w:topLinePunct w:val="0"/>
        <w:bidi w:val="0"/>
        <w:snapToGrid/>
        <w:spacing w:line="560" w:lineRule="exact"/>
        <w:ind w:left="1519" w:leftChars="266" w:hanging="960" w:hangingChars="300"/>
        <w:jc w:val="both"/>
        <w:textAlignment w:val="auto"/>
        <w:rPr>
          <w:rFonts w:hint="eastAsia" w:ascii="仿宋_GB2312" w:hAnsi="仿宋_GB2312" w:eastAsia="仿宋_GB2312" w:cs="仿宋_GB2312"/>
          <w:bCs/>
          <w:color w:val="auto"/>
          <w:sz w:val="32"/>
          <w:szCs w:val="32"/>
          <w:highlight w:val="none"/>
          <w:lang w:eastAsia="zh-CN"/>
        </w:rPr>
      </w:pPr>
      <w:r>
        <w:rPr>
          <w:rFonts w:hint="eastAsia" w:ascii="仿宋_GB2312" w:hAnsi="仿宋_GB2312" w:eastAsia="仿宋_GB2312" w:cs="仿宋_GB2312"/>
          <w:bCs/>
          <w:color w:val="auto"/>
          <w:sz w:val="32"/>
          <w:szCs w:val="32"/>
          <w:highlight w:val="none"/>
        </w:rPr>
        <w:t>本合同一式</w:t>
      </w:r>
      <w:permStart w:id="47" w:edGrp="everyone"/>
      <w:r>
        <w:rPr>
          <w:rFonts w:hint="eastAsia" w:ascii="仿宋_GB2312" w:hAnsi="仿宋_GB2312" w:eastAsia="仿宋_GB2312" w:cs="仿宋_GB2312"/>
          <w:bCs/>
          <w:color w:val="auto"/>
          <w:sz w:val="32"/>
          <w:szCs w:val="32"/>
          <w:highlight w:val="none"/>
          <w:u w:val="single"/>
        </w:rPr>
        <w:t xml:space="preserve"> </w:t>
      </w:r>
      <w:r>
        <w:rPr>
          <w:rFonts w:hint="eastAsia" w:ascii="仿宋_GB2312" w:hAnsi="仿宋_GB2312" w:eastAsia="仿宋_GB2312" w:cs="仿宋_GB2312"/>
          <w:bCs/>
          <w:color w:val="auto"/>
          <w:sz w:val="32"/>
          <w:szCs w:val="32"/>
          <w:highlight w:val="none"/>
          <w:u w:val="single"/>
          <w:lang w:val="en-US" w:eastAsia="zh-CN"/>
        </w:rPr>
        <w:t xml:space="preserve"> </w:t>
      </w:r>
      <w:permEnd w:id="47"/>
      <w:r>
        <w:rPr>
          <w:rFonts w:hint="eastAsia" w:ascii="仿宋_GB2312" w:hAnsi="仿宋_GB2312" w:eastAsia="仿宋_GB2312" w:cs="仿宋_GB2312"/>
          <w:bCs/>
          <w:color w:val="auto"/>
          <w:sz w:val="32"/>
          <w:szCs w:val="32"/>
          <w:highlight w:val="none"/>
        </w:rPr>
        <w:t>份，均具有同等法律效力，发包人执</w:t>
      </w:r>
      <w:permStart w:id="48" w:edGrp="everyone"/>
      <w:r>
        <w:rPr>
          <w:rFonts w:hint="eastAsia" w:ascii="仿宋_GB2312" w:hAnsi="仿宋_GB2312" w:eastAsia="仿宋_GB2312" w:cs="仿宋_GB2312"/>
          <w:bCs/>
          <w:color w:val="auto"/>
          <w:sz w:val="32"/>
          <w:szCs w:val="32"/>
          <w:highlight w:val="none"/>
          <w:u w:val="single"/>
        </w:rPr>
        <w:t xml:space="preserve">   </w:t>
      </w:r>
      <w:permEnd w:id="48"/>
      <w:r>
        <w:rPr>
          <w:rFonts w:hint="eastAsia" w:ascii="仿宋_GB2312" w:hAnsi="仿宋_GB2312" w:eastAsia="仿宋_GB2312" w:cs="仿宋_GB2312"/>
          <w:bCs/>
          <w:color w:val="auto"/>
          <w:sz w:val="32"/>
          <w:szCs w:val="32"/>
          <w:highlight w:val="none"/>
        </w:rPr>
        <w:t>份</w:t>
      </w:r>
      <w:r>
        <w:rPr>
          <w:rFonts w:hint="eastAsia" w:ascii="仿宋_GB2312" w:hAnsi="仿宋_GB2312" w:eastAsia="仿宋_GB2312" w:cs="仿宋_GB2312"/>
          <w:bCs/>
          <w:color w:val="auto"/>
          <w:sz w:val="32"/>
          <w:szCs w:val="32"/>
          <w:highlight w:val="none"/>
          <w:lang w:eastAsia="zh-CN"/>
        </w:rPr>
        <w:t>，</w:t>
      </w:r>
    </w:p>
    <w:p w14:paraId="4B7D6C96">
      <w:pPr>
        <w:keepNext w:val="0"/>
        <w:keepLines w:val="0"/>
        <w:pageBreakBefore w:val="0"/>
        <w:kinsoku/>
        <w:wordWrap/>
        <w:overflowPunct/>
        <w:topLinePunct w:val="0"/>
        <w:bidi w:val="0"/>
        <w:snapToGrid/>
        <w:spacing w:line="560" w:lineRule="exact"/>
        <w:jc w:val="both"/>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rPr>
        <w:t>承包人执</w:t>
      </w:r>
      <w:permStart w:id="49" w:edGrp="everyone"/>
      <w:r>
        <w:rPr>
          <w:rFonts w:hint="eastAsia" w:ascii="仿宋_GB2312" w:hAnsi="仿宋_GB2312" w:eastAsia="仿宋_GB2312" w:cs="仿宋_GB2312"/>
          <w:bCs/>
          <w:color w:val="auto"/>
          <w:sz w:val="32"/>
          <w:szCs w:val="32"/>
          <w:highlight w:val="none"/>
          <w:u w:val="none"/>
        </w:rPr>
        <w:t xml:space="preserve"> </w:t>
      </w:r>
      <w:r>
        <w:rPr>
          <w:rFonts w:hint="eastAsia" w:ascii="仿宋_GB2312" w:hAnsi="仿宋_GB2312" w:eastAsia="仿宋_GB2312" w:cs="仿宋_GB2312"/>
          <w:bCs/>
          <w:color w:val="auto"/>
          <w:sz w:val="32"/>
          <w:szCs w:val="32"/>
          <w:highlight w:val="none"/>
          <w:u w:val="none"/>
          <w:lang w:val="en-US" w:eastAsia="zh-CN"/>
        </w:rPr>
        <w:t xml:space="preserve"> </w:t>
      </w:r>
      <w:permEnd w:id="49"/>
      <w:r>
        <w:rPr>
          <w:rFonts w:hint="eastAsia" w:ascii="仿宋_GB2312" w:hAnsi="仿宋_GB2312" w:eastAsia="仿宋_GB2312" w:cs="仿宋_GB2312"/>
          <w:bCs/>
          <w:color w:val="auto"/>
          <w:sz w:val="32"/>
          <w:szCs w:val="32"/>
          <w:highlight w:val="none"/>
        </w:rPr>
        <w:t>份。</w:t>
      </w:r>
    </w:p>
    <w:p w14:paraId="1FE748D6">
      <w:pPr>
        <w:keepNext w:val="0"/>
        <w:keepLines w:val="0"/>
        <w:pageBreakBefore w:val="0"/>
        <w:kinsoku/>
        <w:wordWrap/>
        <w:overflowPunct/>
        <w:topLinePunct w:val="0"/>
        <w:bidi w:val="0"/>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1.甲乙</w:t>
      </w:r>
      <w:r>
        <w:rPr>
          <w:rFonts w:ascii="仿宋_GB2312" w:hAnsi="仿宋_GB2312" w:eastAsia="仿宋_GB2312" w:cs="仿宋_GB2312"/>
          <w:sz w:val="32"/>
          <w:szCs w:val="32"/>
        </w:rPr>
        <w:t>双方确认各自的合法有效送达地址及联系方式如下（合同履行及争议解决过程中均可按照下列方式进行送达）：</w:t>
      </w:r>
    </w:p>
    <w:p w14:paraId="1EAEBCFD">
      <w:pPr>
        <w:keepNext w:val="0"/>
        <w:keepLines w:val="0"/>
        <w:pageBreakBefore w:val="0"/>
        <w:kinsoku/>
        <w:wordWrap/>
        <w:overflowPunct/>
        <w:topLinePunct w:val="0"/>
        <w:bidi w:val="0"/>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ascii="仿宋_GB2312" w:hAnsi="仿宋_GB2312" w:eastAsia="仿宋_GB2312" w:cs="仿宋_GB2312"/>
          <w:sz w:val="32"/>
          <w:szCs w:val="32"/>
        </w:rPr>
        <w:t>甲方：</w:t>
      </w:r>
      <w:permStart w:id="50" w:edGrp="everyone"/>
      <w:r>
        <w:rPr>
          <w:rFonts w:hint="eastAsia" w:hAnsi="仿宋_GB2312" w:cs="仿宋_GB2312"/>
          <w:sz w:val="32"/>
          <w:szCs w:val="32"/>
          <w:lang w:val="en-US" w:eastAsia="zh-CN"/>
        </w:rPr>
        <w:t xml:space="preserve">                     </w:t>
      </w:r>
    </w:p>
    <w:permEnd w:id="50"/>
    <w:p w14:paraId="33A30246">
      <w:pPr>
        <w:keepNext w:val="0"/>
        <w:keepLines w:val="0"/>
        <w:pageBreakBefore w:val="0"/>
        <w:kinsoku/>
        <w:wordWrap/>
        <w:overflowPunct/>
        <w:topLinePunct w:val="0"/>
        <w:bidi w:val="0"/>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ascii="仿宋_GB2312" w:hAnsi="仿宋_GB2312" w:eastAsia="仿宋_GB2312" w:cs="仿宋_GB2312"/>
          <w:sz w:val="32"/>
          <w:szCs w:val="32"/>
        </w:rPr>
        <w:t>送达地址：</w:t>
      </w:r>
      <w:permStart w:id="51" w:edGrp="everyone"/>
      <w:r>
        <w:rPr>
          <w:rFonts w:hint="eastAsia" w:hAnsi="仿宋_GB2312" w:cs="仿宋_GB2312"/>
          <w:sz w:val="32"/>
          <w:szCs w:val="32"/>
          <w:lang w:val="en-US" w:eastAsia="zh-CN"/>
        </w:rPr>
        <w:t xml:space="preserve"> </w:t>
      </w:r>
      <w:r>
        <w:rPr>
          <w:rFonts w:hint="eastAsia" w:ascii="仿宋_GB2312" w:hAnsi="仿宋_GB2312" w:eastAsia="仿宋_GB2312" w:cs="仿宋_GB2312"/>
          <w:sz w:val="32"/>
          <w:szCs w:val="32"/>
          <w:lang w:val="en-US" w:eastAsia="zh-CN"/>
        </w:rPr>
        <w:t xml:space="preserve">               </w:t>
      </w:r>
      <w:r>
        <w:rPr>
          <w:rFonts w:hint="eastAsia" w:hAnsi="仿宋_GB2312" w:cs="仿宋_GB2312"/>
          <w:sz w:val="32"/>
          <w:szCs w:val="32"/>
          <w:lang w:val="en-US" w:eastAsia="zh-CN"/>
        </w:rPr>
        <w:t xml:space="preserve">  </w:t>
      </w:r>
    </w:p>
    <w:permEnd w:id="51"/>
    <w:p w14:paraId="16EDD732">
      <w:pPr>
        <w:keepNext w:val="0"/>
        <w:keepLines w:val="0"/>
        <w:pageBreakBefore w:val="0"/>
        <w:kinsoku/>
        <w:wordWrap/>
        <w:overflowPunct/>
        <w:topLinePunct w:val="0"/>
        <w:bidi w:val="0"/>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ascii="仿宋_GB2312" w:hAnsi="仿宋_GB2312" w:eastAsia="仿宋_GB2312" w:cs="仿宋_GB2312"/>
          <w:sz w:val="32"/>
          <w:szCs w:val="32"/>
        </w:rPr>
        <w:t>收件人：</w:t>
      </w:r>
      <w:permStart w:id="52" w:edGrp="everyone"/>
      <w:r>
        <w:rPr>
          <w:rFonts w:hint="eastAsia" w:hAnsi="仿宋_GB2312" w:cs="仿宋_GB2312"/>
          <w:sz w:val="32"/>
          <w:szCs w:val="32"/>
          <w:lang w:val="en-US" w:eastAsia="zh-CN"/>
        </w:rPr>
        <w:t xml:space="preserve">                </w:t>
      </w:r>
    </w:p>
    <w:permEnd w:id="52"/>
    <w:p w14:paraId="7F3383F5">
      <w:pPr>
        <w:keepNext w:val="0"/>
        <w:keepLines w:val="0"/>
        <w:pageBreakBefore w:val="0"/>
        <w:kinsoku/>
        <w:wordWrap/>
        <w:overflowPunct/>
        <w:topLinePunct w:val="0"/>
        <w:bidi w:val="0"/>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ascii="仿宋_GB2312" w:hAnsi="仿宋_GB2312" w:eastAsia="仿宋_GB2312" w:cs="仿宋_GB2312"/>
          <w:sz w:val="32"/>
          <w:szCs w:val="32"/>
        </w:rPr>
        <w:t>联系方式：</w:t>
      </w:r>
      <w:permStart w:id="53" w:edGrp="everyone"/>
      <w:r>
        <w:rPr>
          <w:rFonts w:hint="eastAsia" w:hAnsi="仿宋_GB2312" w:cs="仿宋_GB2312"/>
          <w:sz w:val="32"/>
          <w:szCs w:val="32"/>
          <w:lang w:val="en-US" w:eastAsia="zh-CN"/>
        </w:rPr>
        <w:t xml:space="preserve">               </w:t>
      </w:r>
    </w:p>
    <w:permEnd w:id="53"/>
    <w:p w14:paraId="0252926A">
      <w:pPr>
        <w:keepNext w:val="0"/>
        <w:keepLines w:val="0"/>
        <w:pageBreakBefore w:val="0"/>
        <w:kinsoku/>
        <w:wordWrap/>
        <w:overflowPunct/>
        <w:topLinePunct w:val="0"/>
        <w:bidi w:val="0"/>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ascii="仿宋_GB2312" w:hAnsi="仿宋_GB2312" w:eastAsia="仿宋_GB2312" w:cs="仿宋_GB2312"/>
          <w:sz w:val="32"/>
          <w:szCs w:val="32"/>
        </w:rPr>
        <w:t>乙方：</w:t>
      </w:r>
      <w:permStart w:id="54" w:edGrp="everyone"/>
      <w:r>
        <w:rPr>
          <w:rFonts w:hint="eastAsia" w:hAnsi="仿宋_GB2312" w:cs="仿宋_GB2312"/>
          <w:sz w:val="32"/>
          <w:szCs w:val="32"/>
          <w:lang w:val="en-US" w:eastAsia="zh-CN"/>
        </w:rPr>
        <w:t xml:space="preserve">                 </w:t>
      </w:r>
    </w:p>
    <w:permEnd w:id="54"/>
    <w:p w14:paraId="5D82B740">
      <w:pPr>
        <w:keepNext w:val="0"/>
        <w:keepLines w:val="0"/>
        <w:pageBreakBefore w:val="0"/>
        <w:kinsoku/>
        <w:wordWrap/>
        <w:overflowPunct/>
        <w:topLinePunct w:val="0"/>
        <w:bidi w:val="0"/>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ascii="仿宋_GB2312" w:hAnsi="仿宋_GB2312" w:eastAsia="仿宋_GB2312" w:cs="仿宋_GB2312"/>
          <w:sz w:val="32"/>
          <w:szCs w:val="32"/>
        </w:rPr>
        <w:t>送达地址：</w:t>
      </w:r>
      <w:permStart w:id="55" w:edGrp="everyone"/>
      <w:r>
        <w:rPr>
          <w:rFonts w:hint="eastAsia" w:hAnsi="仿宋_GB2312" w:cs="仿宋_GB2312"/>
          <w:sz w:val="32"/>
          <w:szCs w:val="32"/>
          <w:lang w:val="en-US" w:eastAsia="zh-CN"/>
        </w:rPr>
        <w:t xml:space="preserve">              </w:t>
      </w:r>
    </w:p>
    <w:permEnd w:id="55"/>
    <w:p w14:paraId="4BE5C42E">
      <w:pPr>
        <w:keepNext w:val="0"/>
        <w:keepLines w:val="0"/>
        <w:pageBreakBefore w:val="0"/>
        <w:kinsoku/>
        <w:wordWrap/>
        <w:overflowPunct/>
        <w:topLinePunct w:val="0"/>
        <w:bidi w:val="0"/>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ascii="仿宋_GB2312" w:hAnsi="仿宋_GB2312" w:eastAsia="仿宋_GB2312" w:cs="仿宋_GB2312"/>
          <w:sz w:val="32"/>
          <w:szCs w:val="32"/>
        </w:rPr>
        <w:t>收件人：</w:t>
      </w:r>
      <w:permStart w:id="56" w:edGrp="everyone"/>
      <w:r>
        <w:rPr>
          <w:rFonts w:hint="eastAsia" w:hAnsi="仿宋_GB2312" w:cs="仿宋_GB2312"/>
          <w:sz w:val="32"/>
          <w:szCs w:val="32"/>
          <w:lang w:val="en-US" w:eastAsia="zh-CN"/>
        </w:rPr>
        <w:t xml:space="preserve">              </w:t>
      </w:r>
    </w:p>
    <w:permEnd w:id="56"/>
    <w:p w14:paraId="1454407A">
      <w:pPr>
        <w:keepNext w:val="0"/>
        <w:keepLines w:val="0"/>
        <w:pageBreakBefore w:val="0"/>
        <w:kinsoku/>
        <w:wordWrap/>
        <w:overflowPunct/>
        <w:topLinePunct w:val="0"/>
        <w:bidi w:val="0"/>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ascii="仿宋_GB2312" w:hAnsi="仿宋_GB2312" w:eastAsia="仿宋_GB2312" w:cs="仿宋_GB2312"/>
          <w:sz w:val="32"/>
          <w:szCs w:val="32"/>
        </w:rPr>
        <w:t>联系方式：</w:t>
      </w:r>
      <w:permStart w:id="57" w:edGrp="everyone"/>
      <w:r>
        <w:rPr>
          <w:rFonts w:hint="eastAsia" w:hAnsi="仿宋_GB2312" w:cs="仿宋_GB2312"/>
          <w:sz w:val="32"/>
          <w:szCs w:val="32"/>
          <w:lang w:val="en-US" w:eastAsia="zh-CN"/>
        </w:rPr>
        <w:t xml:space="preserve">             </w:t>
      </w:r>
    </w:p>
    <w:permEnd w:id="57"/>
    <w:p w14:paraId="64B06622">
      <w:pPr>
        <w:keepNext w:val="0"/>
        <w:keepLines w:val="0"/>
        <w:pageBreakBefore w:val="0"/>
        <w:kinsoku/>
        <w:wordWrap/>
        <w:overflowPunct/>
        <w:topLinePunct w:val="0"/>
        <w:bidi w:val="0"/>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ascii="仿宋_GB2312" w:hAnsi="仿宋_GB2312" w:eastAsia="仿宋_GB2312" w:cs="仿宋_GB2312"/>
          <w:sz w:val="32"/>
          <w:szCs w:val="32"/>
        </w:rPr>
        <w:t>一方变更名称、地址、联系人或联系方式的，应当在变更后</w:t>
      </w:r>
      <w:permStart w:id="58" w:edGrp="everyone"/>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 xml:space="preserve"> </w:t>
      </w:r>
      <w:permEnd w:id="58"/>
      <w:r>
        <w:rPr>
          <w:rFonts w:ascii="仿宋_GB2312" w:hAnsi="仿宋_GB2312" w:eastAsia="仿宋_GB2312" w:cs="仿宋_GB2312"/>
          <w:sz w:val="32"/>
          <w:szCs w:val="32"/>
        </w:rPr>
        <w:t>日内及时书面通知对方当事人，对方当事人实际收到变更通知前的送达仍为有效送达，</w:t>
      </w:r>
      <w:r>
        <w:rPr>
          <w:rFonts w:hint="eastAsia" w:ascii="仿宋_GB2312" w:hAnsi="仿宋_GB2312" w:eastAsia="仿宋_GB2312" w:cs="仿宋_GB2312"/>
          <w:sz w:val="32"/>
          <w:szCs w:val="32"/>
        </w:rPr>
        <w:t>电子</w:t>
      </w:r>
      <w:r>
        <w:rPr>
          <w:rFonts w:ascii="仿宋_GB2312" w:hAnsi="仿宋_GB2312" w:eastAsia="仿宋_GB2312" w:cs="仿宋_GB2312"/>
          <w:sz w:val="32"/>
          <w:szCs w:val="32"/>
        </w:rPr>
        <w:t>送达与书面送达具有同等法律效力。变更方未及时通知的，对方当事人按照变更前的信息进行送达的仍视为有效送达，因此产生的不利后果由变更方承担。</w:t>
      </w:r>
    </w:p>
    <w:p w14:paraId="5FCB4228">
      <w:pPr>
        <w:keepNext w:val="0"/>
        <w:keepLines w:val="0"/>
        <w:pageBreakBefore w:val="0"/>
        <w:kinsoku/>
        <w:wordWrap/>
        <w:overflowPunct/>
        <w:topLinePunct w:val="0"/>
        <w:bidi w:val="0"/>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ascii="仿宋_GB2312" w:hAnsi="仿宋_GB2312" w:eastAsia="仿宋_GB2312" w:cs="仿宋_GB2312"/>
          <w:sz w:val="32"/>
          <w:szCs w:val="32"/>
        </w:rPr>
        <w:t>一方向另一方送达文件，以被送达方的签收日期作为送达日期。通过快递方式送达的，以快递签收日期为送达</w:t>
      </w:r>
      <w:r>
        <w:rPr>
          <w:rFonts w:hint="eastAsia" w:ascii="仿宋_GB2312" w:hAnsi="仿宋_GB2312" w:eastAsia="仿宋_GB2312" w:cs="仿宋_GB2312"/>
          <w:sz w:val="32"/>
          <w:szCs w:val="32"/>
        </w:rPr>
        <w:t>日期</w:t>
      </w:r>
      <w:r>
        <w:rPr>
          <w:rFonts w:ascii="仿宋_GB2312" w:hAnsi="仿宋_GB2312" w:eastAsia="仿宋_GB2312" w:cs="仿宋_GB2312"/>
          <w:sz w:val="32"/>
          <w:szCs w:val="32"/>
        </w:rPr>
        <w:t>。被送达方拒收或无法送达的，由交邮后第x日视为已经送达。通过电子文件送达的，自前述电子文件内容在发送方正确填写地址</w:t>
      </w:r>
      <w:r>
        <w:rPr>
          <w:rFonts w:hint="eastAsia" w:ascii="仿宋_GB2312" w:hAnsi="仿宋_GB2312" w:eastAsia="仿宋_GB2312" w:cs="仿宋_GB2312"/>
          <w:sz w:val="32"/>
          <w:szCs w:val="32"/>
        </w:rPr>
        <w:t>且</w:t>
      </w:r>
      <w:r>
        <w:rPr>
          <w:rFonts w:ascii="仿宋_GB2312" w:hAnsi="仿宋_GB2312" w:eastAsia="仿宋_GB2312" w:cs="仿宋_GB2312"/>
          <w:sz w:val="32"/>
          <w:szCs w:val="32"/>
        </w:rPr>
        <w:t>被系统退回的情况下，自文件进入对方数据电文接收系统即视为送达，若送达日为非工作日，则在下一个工作日视为已经送达。</w:t>
      </w:r>
    </w:p>
    <w:p w14:paraId="7E854BF3">
      <w:pPr>
        <w:keepNext w:val="0"/>
        <w:keepLines w:val="0"/>
        <w:pageBreakBefore w:val="0"/>
        <w:kinsoku/>
        <w:wordWrap/>
        <w:overflowPunct/>
        <w:topLinePunct w:val="0"/>
        <w:bidi w:val="0"/>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rPr>
        <w:t>4.</w:t>
      </w:r>
      <w:r>
        <w:rPr>
          <w:rFonts w:ascii="仿宋_GB2312" w:hAnsi="仿宋_GB2312" w:eastAsia="仿宋_GB2312" w:cs="仿宋_GB2312"/>
          <w:sz w:val="32"/>
          <w:szCs w:val="32"/>
        </w:rPr>
        <w:t>本条款为独立系款，不受合同整体或其他</w:t>
      </w:r>
      <w:r>
        <w:rPr>
          <w:rFonts w:hint="eastAsia" w:ascii="仿宋_GB2312" w:hAnsi="仿宋_GB2312" w:eastAsia="仿宋_GB2312" w:cs="仿宋_GB2312"/>
          <w:sz w:val="32"/>
          <w:szCs w:val="32"/>
        </w:rPr>
        <w:t>条款</w:t>
      </w:r>
      <w:r>
        <w:rPr>
          <w:rFonts w:ascii="仿宋_GB2312" w:hAnsi="仿宋_GB2312" w:eastAsia="仿宋_GB2312" w:cs="仿宋_GB2312"/>
          <w:sz w:val="32"/>
          <w:szCs w:val="32"/>
        </w:rPr>
        <w:t>的效力的影响，始终有效。</w:t>
      </w:r>
      <w:bookmarkStart w:id="169" w:name="_Toc351203494"/>
      <w:bookmarkStart w:id="170" w:name="_Toc14230"/>
      <w:bookmarkStart w:id="171" w:name="_Toc17895"/>
      <w:bookmarkStart w:id="172" w:name="_Toc11576"/>
      <w:bookmarkStart w:id="173" w:name="_Toc21796"/>
      <w:bookmarkStart w:id="174" w:name="_Toc31512"/>
    </w:p>
    <w:p w14:paraId="4005BCB0">
      <w:pPr>
        <w:pStyle w:val="16"/>
        <w:spacing w:line="576" w:lineRule="exact"/>
        <w:ind w:left="0" w:leftChars="0" w:firstLine="0" w:firstLineChars="0"/>
        <w:jc w:val="both"/>
        <w:rPr>
          <w:rFonts w:hint="eastAsia" w:ascii="仿宋_GB2312" w:hAnsi="仿宋_GB2312" w:eastAsia="仿宋_GB2312" w:cs="仿宋_GB2312"/>
          <w:sz w:val="32"/>
          <w:szCs w:val="32"/>
          <w:highlight w:val="none"/>
        </w:rPr>
      </w:pPr>
    </w:p>
    <w:p w14:paraId="50FB6E4E">
      <w:pPr>
        <w:pStyle w:val="16"/>
        <w:spacing w:line="576" w:lineRule="exact"/>
        <w:ind w:firstLine="600"/>
        <w:jc w:val="both"/>
        <w:rPr>
          <w:rFonts w:hint="eastAsia" w:ascii="仿宋_GB2312" w:hAnsi="仿宋_GB2312" w:eastAsia="仿宋_GB2312" w:cs="仿宋_GB2312"/>
          <w:sz w:val="32"/>
          <w:szCs w:val="32"/>
          <w:highlight w:val="none"/>
        </w:rPr>
      </w:pPr>
    </w:p>
    <w:p w14:paraId="68DA92A9">
      <w:pPr>
        <w:pStyle w:val="16"/>
        <w:spacing w:line="576" w:lineRule="exact"/>
        <w:ind w:firstLine="600"/>
        <w:jc w:val="both"/>
        <w:rPr>
          <w:rFonts w:hint="eastAsia" w:ascii="仿宋_GB2312" w:hAnsi="仿宋_GB2312" w:eastAsia="仿宋_GB2312" w:cs="仿宋_GB2312"/>
          <w:sz w:val="32"/>
          <w:szCs w:val="32"/>
          <w:highlight w:val="none"/>
        </w:rPr>
      </w:pPr>
    </w:p>
    <w:tbl>
      <w:tblPr>
        <w:tblStyle w:val="13"/>
        <w:tblW w:w="9463" w:type="dxa"/>
        <w:jc w:val="center"/>
        <w:tblLayout w:type="autofit"/>
        <w:tblCellMar>
          <w:top w:w="0" w:type="dxa"/>
          <w:left w:w="108" w:type="dxa"/>
          <w:bottom w:w="0" w:type="dxa"/>
          <w:right w:w="108" w:type="dxa"/>
        </w:tblCellMar>
      </w:tblPr>
      <w:tblGrid>
        <w:gridCol w:w="4854"/>
        <w:gridCol w:w="4609"/>
      </w:tblGrid>
      <w:tr w14:paraId="5649A604">
        <w:tblPrEx>
          <w:tblCellMar>
            <w:top w:w="0" w:type="dxa"/>
            <w:left w:w="108" w:type="dxa"/>
            <w:bottom w:w="0" w:type="dxa"/>
            <w:right w:w="108" w:type="dxa"/>
          </w:tblCellMar>
        </w:tblPrEx>
        <w:trPr>
          <w:trHeight w:val="850" w:hRule="atLeast"/>
          <w:jc w:val="center"/>
        </w:trPr>
        <w:tc>
          <w:tcPr>
            <w:tcW w:w="4854" w:type="dxa"/>
            <w:noWrap w:val="0"/>
            <w:vAlign w:val="top"/>
          </w:tcPr>
          <w:p w14:paraId="5E00E537">
            <w:pPr>
              <w:adjustRightInd/>
              <w:snapToGrid/>
              <w:spacing w:line="576" w:lineRule="exact"/>
              <w:ind w:firstLine="32" w:firstLineChars="10"/>
              <w:jc w:val="both"/>
              <w:rPr>
                <w:rFonts w:hint="eastAsia" w:ascii="仿宋_GB2312" w:hAnsi="仿宋_GB2312" w:eastAsia="仿宋_GB2312" w:cs="仿宋_GB2312"/>
                <w:color w:val="000000"/>
                <w:sz w:val="32"/>
                <w:szCs w:val="32"/>
                <w:highlight w:val="none"/>
                <w:lang w:val="en-US" w:eastAsia="zh-CN"/>
              </w:rPr>
            </w:pPr>
            <w:permStart w:id="59" w:edGrp="everyone"/>
            <w:r>
              <w:rPr>
                <w:rFonts w:hint="eastAsia" w:ascii="仿宋_GB2312" w:hAnsi="仿宋_GB2312" w:eastAsia="仿宋_GB2312" w:cs="仿宋_GB2312"/>
                <w:color w:val="000000"/>
                <w:sz w:val="32"/>
                <w:szCs w:val="32"/>
                <w:highlight w:val="none"/>
              </w:rPr>
              <w:t>发包人：（盖章）</w:t>
            </w:r>
            <w:r>
              <w:rPr>
                <w:rFonts w:hint="eastAsia" w:ascii="仿宋_GB2312" w:hAnsi="仿宋_GB2312" w:eastAsia="仿宋_GB2312" w:cs="仿宋_GB2312"/>
                <w:color w:val="000000"/>
                <w:sz w:val="32"/>
                <w:szCs w:val="32"/>
                <w:highlight w:val="none"/>
                <w:lang w:val="en-US" w:eastAsia="zh-CN"/>
              </w:rPr>
              <w:t>海南省桂林洋公用事业发展有限公司</w:t>
            </w:r>
          </w:p>
        </w:tc>
        <w:tc>
          <w:tcPr>
            <w:tcW w:w="4609" w:type="dxa"/>
            <w:noWrap w:val="0"/>
            <w:vAlign w:val="top"/>
          </w:tcPr>
          <w:p w14:paraId="46DFCA44">
            <w:pPr>
              <w:adjustRightInd/>
              <w:snapToGrid/>
              <w:spacing w:line="576" w:lineRule="exact"/>
              <w:ind w:firstLine="32" w:firstLineChars="10"/>
              <w:jc w:val="both"/>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承包人：（盖章）</w:t>
            </w:r>
          </w:p>
        </w:tc>
      </w:tr>
      <w:tr w14:paraId="727E8EB4">
        <w:tblPrEx>
          <w:tblCellMar>
            <w:top w:w="0" w:type="dxa"/>
            <w:left w:w="108" w:type="dxa"/>
            <w:bottom w:w="0" w:type="dxa"/>
            <w:right w:w="108" w:type="dxa"/>
          </w:tblCellMar>
        </w:tblPrEx>
        <w:trPr>
          <w:trHeight w:val="1345" w:hRule="atLeast"/>
          <w:jc w:val="center"/>
        </w:trPr>
        <w:tc>
          <w:tcPr>
            <w:tcW w:w="4854" w:type="dxa"/>
            <w:noWrap w:val="0"/>
            <w:vAlign w:val="top"/>
          </w:tcPr>
          <w:p w14:paraId="5D59D1FD">
            <w:pPr>
              <w:adjustRightInd/>
              <w:snapToGrid/>
              <w:spacing w:line="576" w:lineRule="exact"/>
              <w:ind w:firstLine="32" w:firstLineChars="10"/>
              <w:jc w:val="both"/>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bidi="ar"/>
              </w:rPr>
              <w:t>法定代表人或其</w:t>
            </w:r>
            <w:r>
              <w:rPr>
                <w:rFonts w:hint="eastAsia" w:ascii="仿宋_GB2312" w:hAnsi="仿宋_GB2312" w:eastAsia="仿宋_GB2312" w:cs="仿宋_GB2312"/>
                <w:sz w:val="32"/>
                <w:szCs w:val="32"/>
                <w:highlight w:val="none"/>
                <w:lang w:val="en-US" w:eastAsia="zh-CN" w:bidi="ar"/>
              </w:rPr>
              <w:t>授权</w:t>
            </w:r>
            <w:r>
              <w:rPr>
                <w:rFonts w:hint="eastAsia" w:ascii="仿宋_GB2312" w:hAnsi="仿宋_GB2312" w:eastAsia="仿宋_GB2312" w:cs="仿宋_GB2312"/>
                <w:sz w:val="32"/>
                <w:szCs w:val="32"/>
                <w:highlight w:val="none"/>
                <w:lang w:bidi="ar"/>
              </w:rPr>
              <w:t>代理人：</w:t>
            </w:r>
          </w:p>
          <w:p w14:paraId="1D0BFCF0">
            <w:pPr>
              <w:pStyle w:val="16"/>
              <w:widowControl/>
              <w:spacing w:line="576" w:lineRule="exact"/>
              <w:ind w:firstLine="32" w:firstLineChars="10"/>
              <w:jc w:val="both"/>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（签字或盖章）</w:t>
            </w:r>
          </w:p>
          <w:p w14:paraId="161F4B94">
            <w:pPr>
              <w:pStyle w:val="16"/>
              <w:widowControl/>
              <w:spacing w:line="576" w:lineRule="exact"/>
              <w:ind w:firstLine="32" w:firstLineChars="10"/>
              <w:jc w:val="both"/>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经办人：（签字）</w:t>
            </w:r>
          </w:p>
        </w:tc>
        <w:tc>
          <w:tcPr>
            <w:tcW w:w="4609" w:type="dxa"/>
            <w:noWrap w:val="0"/>
            <w:vAlign w:val="top"/>
          </w:tcPr>
          <w:p w14:paraId="5D208170">
            <w:pPr>
              <w:adjustRightInd/>
              <w:snapToGrid/>
              <w:spacing w:line="576" w:lineRule="exact"/>
              <w:ind w:firstLine="32" w:firstLineChars="10"/>
              <w:jc w:val="both"/>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bidi="ar"/>
              </w:rPr>
              <w:t>法定代表人或其</w:t>
            </w:r>
            <w:r>
              <w:rPr>
                <w:rFonts w:hint="eastAsia" w:ascii="仿宋_GB2312" w:hAnsi="仿宋_GB2312" w:eastAsia="仿宋_GB2312" w:cs="仿宋_GB2312"/>
                <w:sz w:val="32"/>
                <w:szCs w:val="32"/>
                <w:highlight w:val="none"/>
                <w:lang w:val="en-US" w:eastAsia="zh-CN" w:bidi="ar"/>
              </w:rPr>
              <w:t>授权</w:t>
            </w:r>
            <w:r>
              <w:rPr>
                <w:rFonts w:hint="eastAsia" w:ascii="仿宋_GB2312" w:hAnsi="仿宋_GB2312" w:eastAsia="仿宋_GB2312" w:cs="仿宋_GB2312"/>
                <w:sz w:val="32"/>
                <w:szCs w:val="32"/>
                <w:highlight w:val="none"/>
                <w:lang w:bidi="ar"/>
              </w:rPr>
              <w:t>代理人：</w:t>
            </w:r>
          </w:p>
          <w:p w14:paraId="2CBBD00B">
            <w:pPr>
              <w:pStyle w:val="16"/>
              <w:widowControl/>
              <w:spacing w:line="576" w:lineRule="exact"/>
              <w:ind w:firstLine="32" w:firstLineChars="10"/>
              <w:jc w:val="both"/>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（签字或盖章）</w:t>
            </w:r>
          </w:p>
          <w:p w14:paraId="261FD0B2">
            <w:pPr>
              <w:pStyle w:val="16"/>
              <w:widowControl/>
              <w:spacing w:line="576" w:lineRule="exact"/>
              <w:ind w:firstLine="32" w:firstLineChars="10"/>
              <w:jc w:val="both"/>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 xml:space="preserve">经办人：（签字）    </w:t>
            </w:r>
          </w:p>
        </w:tc>
      </w:tr>
      <w:tr w14:paraId="0D0B6F38">
        <w:tblPrEx>
          <w:tblCellMar>
            <w:top w:w="0" w:type="dxa"/>
            <w:left w:w="108" w:type="dxa"/>
            <w:bottom w:w="0" w:type="dxa"/>
            <w:right w:w="108" w:type="dxa"/>
          </w:tblCellMar>
        </w:tblPrEx>
        <w:trPr>
          <w:jc w:val="center"/>
        </w:trPr>
        <w:tc>
          <w:tcPr>
            <w:tcW w:w="9463" w:type="dxa"/>
            <w:gridSpan w:val="2"/>
            <w:noWrap w:val="0"/>
            <w:vAlign w:val="top"/>
          </w:tcPr>
          <w:p w14:paraId="511D0343">
            <w:pPr>
              <w:adjustRightInd/>
              <w:snapToGrid/>
              <w:spacing w:line="576" w:lineRule="exact"/>
              <w:ind w:firstLine="32" w:firstLineChars="10"/>
              <w:jc w:val="both"/>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签订时间：     年     月      日</w:t>
            </w:r>
          </w:p>
        </w:tc>
      </w:tr>
      <w:permEnd w:id="59"/>
    </w:tbl>
    <w:p w14:paraId="37355996">
      <w:pPr>
        <w:jc w:val="center"/>
        <w:outlineLvl w:val="0"/>
        <w:rPr>
          <w:rFonts w:ascii="仿宋" w:hAnsi="仿宋" w:eastAsia="仿宋" w:cs="仿宋"/>
          <w:color w:val="auto"/>
          <w:sz w:val="28"/>
          <w:szCs w:val="28"/>
          <w:highlight w:val="none"/>
        </w:rPr>
      </w:pPr>
      <w:r>
        <w:rPr>
          <w:rFonts w:ascii="宋体" w:hAnsi="宋体"/>
        </w:rPr>
        <w:br w:type="page"/>
      </w:r>
      <w:bookmarkStart w:id="175" w:name="_Toc7452"/>
      <w:bookmarkStart w:id="176" w:name="_Toc24410"/>
      <w:bookmarkStart w:id="177" w:name="_Toc26251"/>
      <w:bookmarkStart w:id="178" w:name="_Toc29768"/>
      <w:bookmarkStart w:id="179" w:name="_Toc18772"/>
      <w:r>
        <w:rPr>
          <w:rFonts w:hint="eastAsia" w:ascii="方正小标宋简体" w:hAnsi="方正小标宋简体" w:eastAsia="方正小标宋简体" w:cs="方正小标宋简体"/>
          <w:b w:val="0"/>
          <w:bCs w:val="0"/>
          <w:color w:val="auto"/>
          <w:sz w:val="44"/>
          <w:szCs w:val="44"/>
          <w:highlight w:val="none"/>
        </w:rPr>
        <w:t>第二部分 通用合同条</w:t>
      </w:r>
      <w:bookmarkEnd w:id="169"/>
      <w:bookmarkStart w:id="180" w:name="_Toc337558727"/>
      <w:r>
        <w:rPr>
          <w:rFonts w:hint="eastAsia" w:ascii="方正小标宋简体" w:hAnsi="方正小标宋简体" w:eastAsia="方正小标宋简体" w:cs="方正小标宋简体"/>
          <w:b w:val="0"/>
          <w:bCs w:val="0"/>
          <w:color w:val="auto"/>
          <w:sz w:val="44"/>
          <w:szCs w:val="44"/>
          <w:highlight w:val="none"/>
        </w:rPr>
        <w:t>款</w:t>
      </w:r>
      <w:bookmarkEnd w:id="170"/>
      <w:bookmarkEnd w:id="171"/>
      <w:bookmarkEnd w:id="172"/>
      <w:bookmarkEnd w:id="173"/>
      <w:bookmarkEnd w:id="174"/>
      <w:bookmarkEnd w:id="175"/>
      <w:bookmarkEnd w:id="176"/>
      <w:bookmarkEnd w:id="177"/>
      <w:bookmarkEnd w:id="178"/>
      <w:bookmarkEnd w:id="179"/>
      <w:bookmarkStart w:id="181" w:name="_Toc351203495"/>
    </w:p>
    <w:p w14:paraId="77E84933">
      <w:pPr>
        <w:spacing w:line="576" w:lineRule="exact"/>
        <w:jc w:val="both"/>
        <w:outlineLvl w:val="1"/>
        <w:rPr>
          <w:rFonts w:hint="eastAsia" w:ascii="仿宋_GB2312" w:hAnsi="仿宋_GB2312" w:eastAsia="仿宋_GB2312" w:cs="仿宋_GB2312"/>
          <w:color w:val="auto"/>
          <w:sz w:val="32"/>
          <w:szCs w:val="32"/>
          <w:highlight w:val="none"/>
        </w:rPr>
      </w:pPr>
      <w:bookmarkStart w:id="182" w:name="_Toc4061"/>
      <w:bookmarkStart w:id="183" w:name="_Toc24130"/>
      <w:bookmarkStart w:id="184" w:name="_Toc26210"/>
      <w:bookmarkStart w:id="185" w:name="_Toc1785"/>
      <w:bookmarkStart w:id="186" w:name="_Toc20780"/>
      <w:bookmarkStart w:id="187" w:name="_Toc27703"/>
      <w:bookmarkStart w:id="188" w:name="_Toc26068"/>
      <w:bookmarkStart w:id="189" w:name="_Toc20242"/>
      <w:bookmarkStart w:id="190" w:name="_Toc11465"/>
      <w:bookmarkStart w:id="191" w:name="_Toc32322"/>
      <w:r>
        <w:rPr>
          <w:rFonts w:hint="eastAsia" w:ascii="仿宋_GB2312" w:hAnsi="仿宋_GB2312" w:eastAsia="仿宋_GB2312" w:cs="仿宋_GB2312"/>
          <w:color w:val="auto"/>
          <w:sz w:val="32"/>
          <w:szCs w:val="32"/>
          <w:highlight w:val="none"/>
        </w:rPr>
        <w:t>1</w:t>
      </w:r>
      <w:bookmarkStart w:id="192" w:name="_Toc303538973"/>
      <w:bookmarkEnd w:id="192"/>
      <w:bookmarkStart w:id="193" w:name="_Toc303538972"/>
      <w:bookmarkEnd w:id="193"/>
      <w:bookmarkStart w:id="194" w:name="_Toc303538976"/>
      <w:bookmarkEnd w:id="194"/>
      <w:bookmarkStart w:id="195" w:name="_Toc303538974"/>
      <w:bookmarkEnd w:id="195"/>
      <w:bookmarkStart w:id="196" w:name="_Toc303538975"/>
      <w:bookmarkEnd w:id="196"/>
      <w:bookmarkStart w:id="197" w:name="_Toc296503027"/>
      <w:bookmarkStart w:id="198" w:name="_Toc296346528"/>
      <w:r>
        <w:rPr>
          <w:rFonts w:hint="eastAsia" w:ascii="仿宋_GB2312" w:hAnsi="仿宋_GB2312" w:eastAsia="仿宋_GB2312" w:cs="仿宋_GB2312"/>
          <w:color w:val="auto"/>
          <w:sz w:val="32"/>
          <w:szCs w:val="32"/>
          <w:highlight w:val="none"/>
        </w:rPr>
        <w:t>. 一般约</w:t>
      </w:r>
      <w:bookmarkEnd w:id="180"/>
      <w:bookmarkEnd w:id="181"/>
      <w:bookmarkEnd w:id="197"/>
      <w:bookmarkEnd w:id="198"/>
      <w:r>
        <w:rPr>
          <w:rFonts w:hint="eastAsia" w:ascii="仿宋_GB2312" w:hAnsi="仿宋_GB2312" w:eastAsia="仿宋_GB2312" w:cs="仿宋_GB2312"/>
          <w:color w:val="auto"/>
          <w:sz w:val="32"/>
          <w:szCs w:val="32"/>
          <w:highlight w:val="none"/>
        </w:rPr>
        <w:t>定</w:t>
      </w:r>
      <w:bookmarkEnd w:id="182"/>
      <w:bookmarkEnd w:id="183"/>
      <w:bookmarkEnd w:id="184"/>
      <w:bookmarkEnd w:id="185"/>
      <w:bookmarkEnd w:id="186"/>
      <w:bookmarkEnd w:id="187"/>
      <w:bookmarkEnd w:id="188"/>
      <w:bookmarkEnd w:id="189"/>
      <w:bookmarkEnd w:id="190"/>
      <w:bookmarkEnd w:id="191"/>
      <w:bookmarkStart w:id="199" w:name="_Toc296503028"/>
      <w:bookmarkStart w:id="200" w:name="_Toc337558728"/>
      <w:bookmarkStart w:id="201" w:name="_Toc296346529"/>
      <w:bookmarkStart w:id="202" w:name="_Toc351203496"/>
    </w:p>
    <w:p w14:paraId="62239731">
      <w:pPr>
        <w:spacing w:line="576" w:lineRule="exact"/>
        <w:ind w:firstLine="640" w:firstLineChars="200"/>
        <w:jc w:val="both"/>
        <w:outlineLvl w:val="2"/>
        <w:rPr>
          <w:rFonts w:hint="eastAsia" w:ascii="仿宋_GB2312" w:hAnsi="仿宋_GB2312" w:eastAsia="仿宋_GB2312" w:cs="仿宋_GB2312"/>
          <w:color w:val="auto"/>
          <w:sz w:val="32"/>
          <w:szCs w:val="32"/>
          <w:highlight w:val="none"/>
        </w:rPr>
      </w:pPr>
      <w:bookmarkStart w:id="203" w:name="_Toc24333"/>
      <w:bookmarkStart w:id="204" w:name="_Toc6310"/>
      <w:bookmarkStart w:id="205" w:name="_Toc20668"/>
      <w:bookmarkStart w:id="206" w:name="_Toc1624"/>
      <w:bookmarkStart w:id="207" w:name="_Toc262"/>
      <w:bookmarkStart w:id="208" w:name="_Toc20019"/>
      <w:bookmarkStart w:id="209" w:name="_Toc15677"/>
      <w:bookmarkStart w:id="210" w:name="_Toc17892"/>
      <w:r>
        <w:rPr>
          <w:rFonts w:hint="eastAsia" w:ascii="仿宋_GB2312" w:hAnsi="仿宋_GB2312" w:eastAsia="仿宋_GB2312" w:cs="仿宋_GB2312"/>
          <w:color w:val="auto"/>
          <w:sz w:val="32"/>
          <w:szCs w:val="32"/>
          <w:highlight w:val="none"/>
        </w:rPr>
        <w:t>1.1词语定</w:t>
      </w:r>
      <w:bookmarkEnd w:id="199"/>
      <w:bookmarkEnd w:id="200"/>
      <w:bookmarkEnd w:id="201"/>
      <w:r>
        <w:rPr>
          <w:rFonts w:hint="eastAsia" w:ascii="仿宋_GB2312" w:hAnsi="仿宋_GB2312" w:eastAsia="仿宋_GB2312" w:cs="仿宋_GB2312"/>
          <w:color w:val="auto"/>
          <w:sz w:val="32"/>
          <w:szCs w:val="32"/>
          <w:highlight w:val="none"/>
        </w:rPr>
        <w:t>义与解</w:t>
      </w:r>
      <w:bookmarkEnd w:id="202"/>
      <w:r>
        <w:rPr>
          <w:rFonts w:hint="eastAsia" w:ascii="仿宋_GB2312" w:hAnsi="仿宋_GB2312" w:eastAsia="仿宋_GB2312" w:cs="仿宋_GB2312"/>
          <w:color w:val="auto"/>
          <w:sz w:val="32"/>
          <w:szCs w:val="32"/>
          <w:highlight w:val="none"/>
        </w:rPr>
        <w:t>释</w:t>
      </w:r>
      <w:bookmarkEnd w:id="203"/>
      <w:bookmarkEnd w:id="204"/>
      <w:bookmarkEnd w:id="205"/>
      <w:bookmarkEnd w:id="206"/>
      <w:bookmarkEnd w:id="207"/>
      <w:bookmarkEnd w:id="208"/>
      <w:bookmarkEnd w:id="209"/>
      <w:bookmarkEnd w:id="210"/>
    </w:p>
    <w:p w14:paraId="4CEA6C4E">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合同协议书、通用合同条款、专用合同条款中的下列词语具有本款所赋予的含义：</w:t>
      </w:r>
    </w:p>
    <w:p w14:paraId="02460CBB">
      <w:pPr>
        <w:autoSpaceDE w:val="0"/>
        <w:autoSpaceDN w:val="0"/>
        <w:adjustRightInd/>
        <w:snapToGrid/>
        <w:spacing w:line="576" w:lineRule="exact"/>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 xml:space="preserve">    1.1.1 合同</w:t>
      </w:r>
    </w:p>
    <w:p w14:paraId="1730601A">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1.1.1.1 合同：是指根据法律规定和合同当事人约定具有约束力的文件，构成合同的文件包括合同协议书、中标通知书（如果有）、投标函及其附录（如果有）、专用合同条款</w:t>
      </w:r>
      <w:r>
        <w:rPr>
          <w:rFonts w:hint="eastAsia" w:ascii="仿宋_GB2312" w:hAnsi="仿宋_GB2312" w:eastAsia="仿宋_GB2312" w:cs="仿宋_GB2312"/>
          <w:color w:val="auto"/>
          <w:sz w:val="32"/>
          <w:szCs w:val="32"/>
          <w:highlight w:val="none"/>
        </w:rPr>
        <w:t>及其附件</w:t>
      </w:r>
      <w:r>
        <w:rPr>
          <w:rFonts w:hint="eastAsia" w:ascii="仿宋_GB2312" w:hAnsi="仿宋_GB2312" w:eastAsia="仿宋_GB2312" w:cs="仿宋_GB2312"/>
          <w:color w:val="auto"/>
          <w:kern w:val="0"/>
          <w:sz w:val="32"/>
          <w:szCs w:val="32"/>
          <w:highlight w:val="none"/>
        </w:rPr>
        <w:t>、通用合同条款、技术标准和要求、图纸、已标价工程量清单或预算书以及其他合同文件。</w:t>
      </w:r>
    </w:p>
    <w:p w14:paraId="64948C63">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1.1.1.2 合同协议书：是指构成合同的由发包人和承包人共同签署的称为“合同协议书”的书面文件。</w:t>
      </w:r>
    </w:p>
    <w:p w14:paraId="2DD1174F">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1.1.1.3 中标通知书：是指构成合同的由发包人通知承包人中标的书面文件。</w:t>
      </w:r>
    </w:p>
    <w:p w14:paraId="757AE125">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1.1.1.4 投标函：是指构成合同的由承包人填写并签署的用于投标的称为“投标函”的文件。</w:t>
      </w:r>
    </w:p>
    <w:p w14:paraId="0DE90B98">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1.1.1.5 投标函附录：是指构成合同的附在投标函后的称为“投标函附录”的文件。</w:t>
      </w:r>
    </w:p>
    <w:p w14:paraId="7D92EAEC">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1.1.1.6 技术标准和要求：是指构成合同的施工应当遵守的或指导施工的国家、行业或地方的技术标准和要求，以及合同约定的技术标准和要求。</w:t>
      </w:r>
    </w:p>
    <w:p w14:paraId="0199522F">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1.1.1.7 图纸：是指构成合同的图纸，包括由发包人按照合同约定提供或经发包人批准的设计文件、施工图、鸟瞰图及模型等，以及在合同履行过程中形成的图纸文件。图纸应当按照法律规定审查合格。</w:t>
      </w:r>
    </w:p>
    <w:p w14:paraId="341736E8">
      <w:pPr>
        <w:autoSpaceDE w:val="0"/>
        <w:autoSpaceDN w:val="0"/>
        <w:adjustRightInd/>
        <w:snapToGrid/>
        <w:spacing w:line="576" w:lineRule="exact"/>
        <w:ind w:firstLine="624" w:firstLineChars="195"/>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1.1.1.8 已标价工程量清单：是指构成合同的由承包人按照规定的格式和要求填写并标明价格的工程量清单，包括说明和表格。</w:t>
      </w:r>
    </w:p>
    <w:p w14:paraId="4B83365B">
      <w:pPr>
        <w:autoSpaceDE w:val="0"/>
        <w:autoSpaceDN w:val="0"/>
        <w:adjustRightInd/>
        <w:snapToGrid/>
        <w:spacing w:line="576" w:lineRule="exact"/>
        <w:ind w:firstLine="624" w:firstLineChars="195"/>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1.1.1.9 预算书：是指构成合同的由承包人按照发包人规定的格式和要求编制的工程预算文件。</w:t>
      </w:r>
    </w:p>
    <w:p w14:paraId="483354B5">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1.1.1.10 其他合同文件：是指经合同当事人约定的与工程施工有关的具有合同约束力的文件或书面协议。合同当事人可以在专用合同条款中进行约定。</w:t>
      </w:r>
    </w:p>
    <w:p w14:paraId="14EAB010">
      <w:pPr>
        <w:autoSpaceDE w:val="0"/>
        <w:autoSpaceDN w:val="0"/>
        <w:adjustRightInd/>
        <w:snapToGrid/>
        <w:spacing w:line="576" w:lineRule="exact"/>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 xml:space="preserve">    1.1.2 合同当事人及其他相关方</w:t>
      </w:r>
    </w:p>
    <w:p w14:paraId="0AF21BCD">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1.1.2.1 合同当事人：是指发包人和（或）承包人。</w:t>
      </w:r>
    </w:p>
    <w:p w14:paraId="334C8A77">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1.1.2.2 发包人：是指与承包人签订合同协议书的当事人及取得该当事人资格的合法继承人。</w:t>
      </w:r>
    </w:p>
    <w:p w14:paraId="7A033690">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1.1.2.3 承包人：是指与发包人签订合同协议书的，具有相应工程施工承包资质的当事人及取得该当事人资格的合法继承人。</w:t>
      </w:r>
    </w:p>
    <w:p w14:paraId="7E28E797">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1.1.2.4 监理人：是指在专用合同条款中指明的，受发包人委托按照法律规定进行工程监督管理的法人或其他组织。</w:t>
      </w:r>
    </w:p>
    <w:p w14:paraId="049870C1">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1.1.2.5 设计人：是指在专用合同条款中指明的，受发包人委托负责工程设计并具备相应工程设计资质的法人或其他组织。</w:t>
      </w:r>
    </w:p>
    <w:p w14:paraId="5CD4DBB4">
      <w:pPr>
        <w:snapToGrid/>
        <w:spacing w:line="576" w:lineRule="exact"/>
        <w:ind w:firstLine="624" w:firstLineChars="195"/>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1.1.2.6 分包人</w:t>
      </w:r>
      <w:bookmarkStart w:id="211" w:name="#go5"/>
      <w:bookmarkEnd w:id="211"/>
      <w:r>
        <w:rPr>
          <w:rFonts w:hint="eastAsia" w:ascii="仿宋_GB2312" w:hAnsi="仿宋_GB2312" w:eastAsia="仿宋_GB2312" w:cs="仿宋_GB2312"/>
          <w:color w:val="auto"/>
          <w:kern w:val="0"/>
          <w:sz w:val="32"/>
          <w:szCs w:val="32"/>
          <w:highlight w:val="none"/>
        </w:rPr>
        <w:t>：是指按照法律规定和合同约定，分包部分工程或工作，并与承包人签订分包合同的具有相应资质的法人。</w:t>
      </w:r>
    </w:p>
    <w:p w14:paraId="0F8AF33C">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1.1.2.7 发包人代表：是指由发包人任命并派驻施工现场在发包人授权范围内行使发包人权利的人。</w:t>
      </w:r>
    </w:p>
    <w:p w14:paraId="369EE3D4">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1.1.2.8 项目经理：是指由承包人任命并派驻施工现场，在承包人授权范围内负责合同履行，且按照法律规定具有相应资格的项目负责人。</w:t>
      </w:r>
    </w:p>
    <w:p w14:paraId="12BE4E6F">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1.1.2.9 总监理工程师：是指由监理人任命并派驻施工现场进行工程监理的总负责人。</w:t>
      </w:r>
    </w:p>
    <w:p w14:paraId="55ACF1D8">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1.1.3 工程和设备</w:t>
      </w:r>
    </w:p>
    <w:p w14:paraId="10D31AE4">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1.1.3.1 工程：是指与合同协议书中工程承包范围对应的永久工程和（或）临时工程。</w:t>
      </w:r>
    </w:p>
    <w:p w14:paraId="47204DF0">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1.1.3.2 永久工程：是指按合同约定建造并移交给发包人的工程，包括工程设备。</w:t>
      </w:r>
    </w:p>
    <w:p w14:paraId="6FBC7CC2">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1.1.3.3 临时工程：是指为完成合同约定的永久工程所修建的各类临时性工程，不包括施工设备。</w:t>
      </w:r>
    </w:p>
    <w:p w14:paraId="371F1AB4">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1.1.3.4 单位工程：是指在合同协议书中指明的，具备独立施工条件并能形成独立使用功能的永久工程。</w:t>
      </w:r>
    </w:p>
    <w:p w14:paraId="367B54E7">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1.1.3.5 工程设备：是指构成永久工程的机电设备、金属结构设备、仪器及其他类似的设备和装置。</w:t>
      </w:r>
    </w:p>
    <w:p w14:paraId="6C456D1E">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1.1.3.6 施工设备：是指为完成合同约定的各项工作所需的设备、器具和其他物品，但不包括工程设备、临时工程和材料。</w:t>
      </w:r>
    </w:p>
    <w:p w14:paraId="3CA5C85F">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1.1.3.7 施工现场：是指用于工程施工的场所，以及在专用合同条款中指明作为施工场所组成部分的其他场所，包括永久占地和临时占地。</w:t>
      </w:r>
    </w:p>
    <w:p w14:paraId="491AD329">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1.1.3.8临时设施：是指为完成合同约定的各项工作所服务的临时性生产和生活设施。</w:t>
      </w:r>
    </w:p>
    <w:p w14:paraId="1F828957">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1.1.3.9 永久占地：是指专用合同条款中指明为实施工程需永久占用的土地。</w:t>
      </w:r>
    </w:p>
    <w:p w14:paraId="5A983344">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1.1.3.10 临时占地：是指专用合同条款中指明为实施工程需要临时占用的土地。</w:t>
      </w:r>
    </w:p>
    <w:p w14:paraId="6D41AF81">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1.1.4 日期和期限</w:t>
      </w:r>
    </w:p>
    <w:p w14:paraId="4D99E094">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1.1.4.1 开工日期：包括计划开工日期和实际开工日期。计划开工日期是指合同协议书约定的开工日期；实际开工日期是指监理人按照第7.3.2项〔开工通知〕约定发出的符合法律规定的开工通知中载明的开工日期。</w:t>
      </w:r>
    </w:p>
    <w:p w14:paraId="254C831C">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 xml:space="preserve">1.1.4.2 竣工日期：包括计划竣工日期和实际竣工日期。计划竣工日期是指合同协议书约定的竣工日期；实际竣工日期按照第13.2.3项〔竣工日期〕的约定确定。 </w:t>
      </w:r>
    </w:p>
    <w:p w14:paraId="34AE12F0">
      <w:pPr>
        <w:snapToGrid/>
        <w:spacing w:line="576" w:lineRule="exact"/>
        <w:ind w:firstLine="649" w:firstLineChars="203"/>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kern w:val="0"/>
          <w:sz w:val="32"/>
          <w:szCs w:val="32"/>
          <w:highlight w:val="none"/>
        </w:rPr>
        <w:t>1.1.4.3 工期：是指在合同协议书约定的承包人完成工程所需的期限，包括按照合同约定所作的期限变更。</w:t>
      </w:r>
    </w:p>
    <w:p w14:paraId="3D6CA425">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1.1.4.4 缺陷责任期：是指承包人按照合同约定承担缺陷修复义务，且发包人预留质量保证金（已缴纳履约保证金的除外）的期限，自工程实际竣工日期起计算。</w:t>
      </w:r>
    </w:p>
    <w:p w14:paraId="13601F86">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1.1.4.5 保修期：是指承包人按照合同约定对工程承担保修责任的期限，从工程竣工验收合格之日起计算。</w:t>
      </w:r>
    </w:p>
    <w:p w14:paraId="1AC57F18">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1.1.4.6 基准日期：招标发包的工程以投标截止日前28天的日期为基准日期，直接发包的工程以合同签订日前28天的日期为基准日期。</w:t>
      </w:r>
    </w:p>
    <w:p w14:paraId="445E3B5B">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1.1.4.7 天：除特别指明外，均指日历天。合同中按天计算时间的，开始当天不计入，从次日开始计算，期限最后一天的截止时间为当天24:00时。</w:t>
      </w:r>
    </w:p>
    <w:p w14:paraId="775EC28F">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1.1.5 合同价格和费用</w:t>
      </w:r>
    </w:p>
    <w:p w14:paraId="73C86CAB">
      <w:pPr>
        <w:snapToGrid/>
        <w:spacing w:line="576"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kern w:val="0"/>
          <w:sz w:val="32"/>
          <w:szCs w:val="32"/>
          <w:highlight w:val="none"/>
        </w:rPr>
        <w:t>1.1.5.1 签约合同价：是指</w:t>
      </w:r>
      <w:r>
        <w:rPr>
          <w:rFonts w:hint="eastAsia" w:ascii="仿宋_GB2312" w:hAnsi="仿宋_GB2312" w:eastAsia="仿宋_GB2312" w:cs="仿宋_GB2312"/>
          <w:color w:val="auto"/>
          <w:sz w:val="32"/>
          <w:szCs w:val="32"/>
          <w:highlight w:val="none"/>
        </w:rPr>
        <w:t>发包人和承包人在合同协议书中确定的总金额，包括安全文明施工费、暂估价及暂列金额等。</w:t>
      </w:r>
    </w:p>
    <w:p w14:paraId="596CA2C0">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1.1.5.2 合同价格：是指发包人用于支付承包人按照合同约定完成承包范围内全部工作的金额，包括合同履行过程中按合同约定发生的价格变化。</w:t>
      </w:r>
    </w:p>
    <w:p w14:paraId="7D452242">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1.1.5.3 费用：是指为履行合同所发生的或将要发生的所有必需的开支，包括管理费和应分摊的其他费用，但不包括利润。</w:t>
      </w:r>
    </w:p>
    <w:p w14:paraId="66B9A932">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1.1.5.4 暂估价：是指发包人在工程量清单或预算书中提供的用于支付必然发生但暂时不能确定价格的材料、工程设备的单价、专业工程以及服务工作的金额。</w:t>
      </w:r>
    </w:p>
    <w:p w14:paraId="02CE8AD6">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1.1.5.5 暂列金额：是指发包人在工程量清单或预算书中暂定并包括在合同价格中的一笔款项，用于工程合同签订时尚未确定或者不可预见的所需材料、工程设备、服务的采购，施工中可能发生的工程变更、合同约定调整因素出现时的合同价格调整以及发生的索赔、现场签证确认等的费用。</w:t>
      </w:r>
    </w:p>
    <w:p w14:paraId="334771E3">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1.1.5.6 计日工：是指合同履行过程中，承包人完成发包人提出的零星工作或需要采用计日工计价的变更工作时，按合同中约定的单价计价的一种方式。</w:t>
      </w:r>
    </w:p>
    <w:p w14:paraId="2361EEBE">
      <w:pPr>
        <w:snapToGrid/>
        <w:spacing w:line="576"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kern w:val="0"/>
          <w:sz w:val="32"/>
          <w:szCs w:val="32"/>
          <w:highlight w:val="none"/>
        </w:rPr>
        <w:t>1.1.5.7 质量保证</w:t>
      </w:r>
      <w:bookmarkStart w:id="212" w:name="#go2"/>
      <w:bookmarkEnd w:id="212"/>
      <w:r>
        <w:rPr>
          <w:rFonts w:hint="eastAsia" w:ascii="仿宋_GB2312" w:hAnsi="仿宋_GB2312" w:eastAsia="仿宋_GB2312" w:cs="仿宋_GB2312"/>
          <w:color w:val="auto"/>
          <w:kern w:val="0"/>
          <w:sz w:val="32"/>
          <w:szCs w:val="32"/>
          <w:highlight w:val="none"/>
        </w:rPr>
        <w:t>金：是指按照第15.3款〔质量保证金〕约定承包人用于保证其在缺陷责任期内履行缺陷修补义务的担保</w:t>
      </w:r>
      <w:r>
        <w:rPr>
          <w:rFonts w:hint="eastAsia" w:ascii="仿宋_GB2312" w:hAnsi="仿宋_GB2312" w:eastAsia="仿宋_GB2312" w:cs="仿宋_GB2312"/>
          <w:color w:val="auto"/>
          <w:sz w:val="32"/>
          <w:szCs w:val="32"/>
          <w:highlight w:val="none"/>
        </w:rPr>
        <w:t>。</w:t>
      </w:r>
    </w:p>
    <w:p w14:paraId="6AAF7E4F">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1.1.5.8 总价项目：是指在现行国家、行业以及地方的计量规则中无工程量计算规则，在已标价工程量清单或预算书中以总价或以费率形式计算的项目。</w:t>
      </w:r>
    </w:p>
    <w:p w14:paraId="43F1E81A">
      <w:pPr>
        <w:snapToGrid/>
        <w:spacing w:line="576"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1.1.6 其他</w:t>
      </w:r>
    </w:p>
    <w:p w14:paraId="74C24307">
      <w:pPr>
        <w:snapToGrid/>
        <w:spacing w:line="576"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1.1.6.1 书面形式：是指合同文件、信函、电报、传真等可以有形地表现所载内容的形式。</w:t>
      </w:r>
      <w:bookmarkStart w:id="213" w:name="_Toc337558729"/>
      <w:bookmarkStart w:id="214" w:name="_Toc296503029"/>
      <w:bookmarkStart w:id="215" w:name="_Toc351203497"/>
      <w:bookmarkStart w:id="216" w:name="_Toc296346530"/>
    </w:p>
    <w:p w14:paraId="7AD0F6DD">
      <w:pPr>
        <w:spacing w:line="576" w:lineRule="exact"/>
        <w:ind w:firstLine="640" w:firstLineChars="200"/>
        <w:jc w:val="both"/>
        <w:outlineLvl w:val="2"/>
        <w:rPr>
          <w:rFonts w:hint="eastAsia" w:ascii="仿宋_GB2312" w:hAnsi="仿宋_GB2312" w:eastAsia="仿宋_GB2312" w:cs="仿宋_GB2312"/>
          <w:color w:val="auto"/>
          <w:sz w:val="32"/>
          <w:szCs w:val="32"/>
          <w:highlight w:val="none"/>
        </w:rPr>
      </w:pPr>
      <w:bookmarkStart w:id="217" w:name="_Toc13865"/>
      <w:bookmarkStart w:id="218" w:name="_Toc3458"/>
      <w:bookmarkStart w:id="219" w:name="_Toc10283"/>
      <w:bookmarkStart w:id="220" w:name="_Toc6653"/>
      <w:bookmarkStart w:id="221" w:name="_Toc21326"/>
      <w:bookmarkStart w:id="222" w:name="_Toc28297"/>
      <w:bookmarkStart w:id="223" w:name="_Toc26768"/>
      <w:bookmarkStart w:id="224" w:name="_Toc4981"/>
      <w:r>
        <w:rPr>
          <w:rFonts w:hint="eastAsia" w:ascii="仿宋_GB2312" w:hAnsi="仿宋_GB2312" w:eastAsia="仿宋_GB2312" w:cs="仿宋_GB2312"/>
          <w:color w:val="auto"/>
          <w:sz w:val="32"/>
          <w:szCs w:val="32"/>
          <w:highlight w:val="none"/>
        </w:rPr>
        <w:t>1.2语言文</w:t>
      </w:r>
      <w:bookmarkEnd w:id="213"/>
      <w:bookmarkEnd w:id="214"/>
      <w:bookmarkEnd w:id="215"/>
      <w:bookmarkEnd w:id="216"/>
      <w:r>
        <w:rPr>
          <w:rFonts w:hint="eastAsia" w:ascii="仿宋_GB2312" w:hAnsi="仿宋_GB2312" w:eastAsia="仿宋_GB2312" w:cs="仿宋_GB2312"/>
          <w:color w:val="auto"/>
          <w:sz w:val="32"/>
          <w:szCs w:val="32"/>
          <w:highlight w:val="none"/>
        </w:rPr>
        <w:t>字</w:t>
      </w:r>
      <w:bookmarkEnd w:id="217"/>
      <w:bookmarkEnd w:id="218"/>
      <w:bookmarkEnd w:id="219"/>
      <w:bookmarkEnd w:id="220"/>
      <w:bookmarkEnd w:id="221"/>
      <w:bookmarkEnd w:id="222"/>
      <w:bookmarkEnd w:id="223"/>
      <w:bookmarkEnd w:id="224"/>
    </w:p>
    <w:p w14:paraId="018ACF26">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合同以中国的汉语简体文字编写、解释和说明。合同当事人在专用合同条款中约定使用两种以上语言时，汉语为优先解释和说明合同的语言。</w:t>
      </w:r>
      <w:bookmarkStart w:id="225" w:name="_Toc296346531"/>
      <w:bookmarkStart w:id="226" w:name="_Toc296503030"/>
      <w:bookmarkStart w:id="227" w:name="_Toc337558730"/>
      <w:bookmarkStart w:id="228" w:name="_Toc351203498"/>
    </w:p>
    <w:p w14:paraId="1509BDE7">
      <w:pPr>
        <w:spacing w:line="576" w:lineRule="exact"/>
        <w:ind w:firstLine="640" w:firstLineChars="200"/>
        <w:jc w:val="both"/>
        <w:outlineLvl w:val="2"/>
        <w:rPr>
          <w:rFonts w:hint="eastAsia" w:ascii="仿宋_GB2312" w:hAnsi="仿宋_GB2312" w:eastAsia="仿宋_GB2312" w:cs="仿宋_GB2312"/>
          <w:color w:val="auto"/>
          <w:sz w:val="32"/>
          <w:szCs w:val="32"/>
          <w:highlight w:val="none"/>
        </w:rPr>
      </w:pPr>
      <w:bookmarkStart w:id="229" w:name="_Toc27642"/>
      <w:bookmarkStart w:id="230" w:name="_Toc29038"/>
      <w:bookmarkStart w:id="231" w:name="_Toc9677"/>
      <w:bookmarkStart w:id="232" w:name="_Toc22731"/>
      <w:bookmarkStart w:id="233" w:name="_Toc27555"/>
      <w:bookmarkStart w:id="234" w:name="_Toc11427"/>
      <w:bookmarkStart w:id="235" w:name="_Toc13667"/>
      <w:bookmarkStart w:id="236" w:name="_Toc28011"/>
      <w:r>
        <w:rPr>
          <w:rFonts w:hint="eastAsia" w:ascii="仿宋_GB2312" w:hAnsi="仿宋_GB2312" w:eastAsia="仿宋_GB2312" w:cs="仿宋_GB2312"/>
          <w:color w:val="auto"/>
          <w:sz w:val="32"/>
          <w:szCs w:val="32"/>
          <w:highlight w:val="none"/>
        </w:rPr>
        <w:t>1.3法</w:t>
      </w:r>
      <w:bookmarkEnd w:id="225"/>
      <w:bookmarkEnd w:id="226"/>
      <w:bookmarkEnd w:id="227"/>
      <w:bookmarkEnd w:id="228"/>
      <w:r>
        <w:rPr>
          <w:rFonts w:hint="eastAsia" w:ascii="仿宋_GB2312" w:hAnsi="仿宋_GB2312" w:eastAsia="仿宋_GB2312" w:cs="仿宋_GB2312"/>
          <w:color w:val="auto"/>
          <w:sz w:val="32"/>
          <w:szCs w:val="32"/>
          <w:highlight w:val="none"/>
        </w:rPr>
        <w:t>律</w:t>
      </w:r>
      <w:bookmarkEnd w:id="229"/>
      <w:bookmarkEnd w:id="230"/>
      <w:bookmarkEnd w:id="231"/>
      <w:bookmarkEnd w:id="232"/>
      <w:bookmarkEnd w:id="233"/>
      <w:bookmarkEnd w:id="234"/>
      <w:bookmarkEnd w:id="235"/>
      <w:bookmarkEnd w:id="236"/>
    </w:p>
    <w:p w14:paraId="0F8EBC57">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合同所称法律是指中华人民共和国法律、行政法规、部门规章，以及工程所在地的地方性法规、自治条例、单行条例和地方政府规章等。</w:t>
      </w:r>
    </w:p>
    <w:p w14:paraId="659F1670">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合同当事人可以在专用合同条款中约定合同适用的其他规范性文件。</w:t>
      </w:r>
      <w:bookmarkStart w:id="237" w:name="_Toc351203499"/>
    </w:p>
    <w:p w14:paraId="54CF1D88">
      <w:pPr>
        <w:spacing w:line="576" w:lineRule="exact"/>
        <w:ind w:firstLine="640" w:firstLineChars="200"/>
        <w:jc w:val="both"/>
        <w:outlineLvl w:val="2"/>
        <w:rPr>
          <w:rFonts w:hint="eastAsia" w:ascii="仿宋_GB2312" w:hAnsi="仿宋_GB2312" w:eastAsia="仿宋_GB2312" w:cs="仿宋_GB2312"/>
          <w:color w:val="auto"/>
          <w:sz w:val="32"/>
          <w:szCs w:val="32"/>
          <w:highlight w:val="none"/>
        </w:rPr>
      </w:pPr>
      <w:bookmarkStart w:id="238" w:name="_Toc11539"/>
      <w:bookmarkStart w:id="239" w:name="_Toc29127"/>
      <w:bookmarkStart w:id="240" w:name="_Toc9618"/>
      <w:bookmarkStart w:id="241" w:name="_Toc3537"/>
      <w:bookmarkStart w:id="242" w:name="_Toc23906"/>
      <w:bookmarkStart w:id="243" w:name="_Toc28506"/>
      <w:bookmarkStart w:id="244" w:name="_Toc774"/>
      <w:bookmarkStart w:id="245" w:name="_Toc7862"/>
      <w:r>
        <w:rPr>
          <w:rFonts w:hint="eastAsia" w:ascii="仿宋_GB2312" w:hAnsi="仿宋_GB2312" w:eastAsia="仿宋_GB2312" w:cs="仿宋_GB2312"/>
          <w:color w:val="auto"/>
          <w:sz w:val="32"/>
          <w:szCs w:val="32"/>
          <w:highlight w:val="none"/>
        </w:rPr>
        <w:t>1.4 标准和规</w:t>
      </w:r>
      <w:bookmarkEnd w:id="237"/>
      <w:r>
        <w:rPr>
          <w:rFonts w:hint="eastAsia" w:ascii="仿宋_GB2312" w:hAnsi="仿宋_GB2312" w:eastAsia="仿宋_GB2312" w:cs="仿宋_GB2312"/>
          <w:color w:val="auto"/>
          <w:sz w:val="32"/>
          <w:szCs w:val="32"/>
          <w:highlight w:val="none"/>
        </w:rPr>
        <w:t>范</w:t>
      </w:r>
      <w:bookmarkEnd w:id="238"/>
      <w:bookmarkEnd w:id="239"/>
      <w:bookmarkEnd w:id="240"/>
      <w:bookmarkEnd w:id="241"/>
      <w:bookmarkEnd w:id="242"/>
      <w:bookmarkEnd w:id="243"/>
      <w:bookmarkEnd w:id="244"/>
      <w:bookmarkEnd w:id="245"/>
    </w:p>
    <w:p w14:paraId="12E6D93F">
      <w:pPr>
        <w:autoSpaceDE w:val="0"/>
        <w:autoSpaceDN w:val="0"/>
        <w:adjustRightInd/>
        <w:snapToGrid/>
        <w:spacing w:line="576" w:lineRule="exact"/>
        <w:ind w:firstLine="64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1.4.1 适用于工程的国家标准、行业标准、工程所在地的地方性标准，以及相应的规范、规程等，合同当事人有特别要求的，应在专用合同条款中约定。</w:t>
      </w:r>
    </w:p>
    <w:p w14:paraId="331F52C8">
      <w:pPr>
        <w:autoSpaceDE w:val="0"/>
        <w:autoSpaceDN w:val="0"/>
        <w:adjustRightInd/>
        <w:snapToGrid/>
        <w:spacing w:line="576" w:lineRule="exact"/>
        <w:ind w:firstLine="64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1.4.2 发包人要求使用国外标准、规范的，发包人负责提供原文版本和中文译本，并在专用合同条款中约定提供标准规范的名称、份数和时间。</w:t>
      </w:r>
    </w:p>
    <w:p w14:paraId="3A476EAD">
      <w:pPr>
        <w:autoSpaceDE w:val="0"/>
        <w:autoSpaceDN w:val="0"/>
        <w:adjustRightInd/>
        <w:snapToGrid/>
        <w:spacing w:line="576" w:lineRule="exact"/>
        <w:ind w:firstLine="64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1.4.3 发包人对工程的技术标准、功能要求高于或严于现行国家、行业或地方标准的，应当在专用合同条款中予以明确。除专用合同条款另有约定外，应视为承包人在签订合同前已充分预见前述技术标准和功能要求的复杂程度，签约合同价中已包含由此产生的费用。</w:t>
      </w:r>
      <w:bookmarkStart w:id="246" w:name="_Toc351203500"/>
    </w:p>
    <w:p w14:paraId="227C1D02">
      <w:pPr>
        <w:spacing w:line="576" w:lineRule="exact"/>
        <w:ind w:firstLine="640" w:firstLineChars="200"/>
        <w:jc w:val="both"/>
        <w:outlineLvl w:val="2"/>
        <w:rPr>
          <w:rFonts w:hint="eastAsia" w:ascii="仿宋_GB2312" w:hAnsi="仿宋_GB2312" w:eastAsia="仿宋_GB2312" w:cs="仿宋_GB2312"/>
          <w:color w:val="auto"/>
          <w:sz w:val="32"/>
          <w:szCs w:val="32"/>
          <w:highlight w:val="none"/>
        </w:rPr>
      </w:pPr>
      <w:bookmarkStart w:id="247" w:name="_Toc10745"/>
      <w:bookmarkStart w:id="248" w:name="_Toc7984"/>
      <w:bookmarkStart w:id="249" w:name="_Toc14042"/>
      <w:bookmarkStart w:id="250" w:name="_Toc296346532"/>
      <w:bookmarkStart w:id="251" w:name="_Toc23624"/>
      <w:bookmarkStart w:id="252" w:name="_Toc18875"/>
      <w:bookmarkStart w:id="253" w:name="_Toc13894"/>
      <w:bookmarkStart w:id="254" w:name="_Toc337558731"/>
      <w:bookmarkStart w:id="255" w:name="_Toc99"/>
      <w:bookmarkStart w:id="256" w:name="_Toc31935"/>
      <w:bookmarkStart w:id="257" w:name="_Toc296503031"/>
      <w:r>
        <w:rPr>
          <w:rFonts w:hint="eastAsia" w:ascii="仿宋_GB2312" w:hAnsi="仿宋_GB2312" w:eastAsia="仿宋_GB2312" w:cs="仿宋_GB2312"/>
          <w:color w:val="auto"/>
          <w:sz w:val="32"/>
          <w:szCs w:val="32"/>
          <w:highlight w:val="none"/>
        </w:rPr>
        <w:t>1.5 合同文件的优先顺</w:t>
      </w:r>
      <w:bookmarkEnd w:id="246"/>
      <w:r>
        <w:rPr>
          <w:rFonts w:hint="eastAsia" w:ascii="仿宋_GB2312" w:hAnsi="仿宋_GB2312" w:eastAsia="仿宋_GB2312" w:cs="仿宋_GB2312"/>
          <w:color w:val="auto"/>
          <w:sz w:val="32"/>
          <w:szCs w:val="32"/>
          <w:highlight w:val="none"/>
        </w:rPr>
        <w:t>序</w:t>
      </w:r>
      <w:bookmarkEnd w:id="247"/>
      <w:bookmarkEnd w:id="248"/>
      <w:bookmarkEnd w:id="249"/>
      <w:bookmarkEnd w:id="250"/>
      <w:bookmarkEnd w:id="251"/>
      <w:bookmarkEnd w:id="252"/>
      <w:bookmarkEnd w:id="253"/>
      <w:bookmarkEnd w:id="254"/>
      <w:bookmarkEnd w:id="255"/>
      <w:bookmarkEnd w:id="256"/>
      <w:bookmarkEnd w:id="257"/>
    </w:p>
    <w:p w14:paraId="6401DD08">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组成合同的各项文件应互相解释，互为说明。除专用合同条款另有约定外，解释合同文件的优先顺序如下：</w:t>
      </w:r>
    </w:p>
    <w:p w14:paraId="18E24782">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（1）合同协议书；</w:t>
      </w:r>
    </w:p>
    <w:p w14:paraId="27AB6753">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（2）中标通知书（如果有）；</w:t>
      </w:r>
    </w:p>
    <w:p w14:paraId="2C01112A">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（3）投标函及其附录（如果有）；</w:t>
      </w:r>
    </w:p>
    <w:p w14:paraId="23DC2F03">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（4）专用合同条款</w:t>
      </w:r>
      <w:r>
        <w:rPr>
          <w:rFonts w:hint="eastAsia" w:ascii="仿宋_GB2312" w:hAnsi="仿宋_GB2312" w:eastAsia="仿宋_GB2312" w:cs="仿宋_GB2312"/>
          <w:color w:val="auto"/>
          <w:sz w:val="32"/>
          <w:szCs w:val="32"/>
          <w:highlight w:val="none"/>
        </w:rPr>
        <w:t>及其附件</w:t>
      </w:r>
      <w:r>
        <w:rPr>
          <w:rFonts w:hint="eastAsia" w:ascii="仿宋_GB2312" w:hAnsi="仿宋_GB2312" w:eastAsia="仿宋_GB2312" w:cs="仿宋_GB2312"/>
          <w:color w:val="auto"/>
          <w:kern w:val="0"/>
          <w:sz w:val="32"/>
          <w:szCs w:val="32"/>
          <w:highlight w:val="none"/>
        </w:rPr>
        <w:t>；</w:t>
      </w:r>
    </w:p>
    <w:p w14:paraId="755233B9">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（5）通用合同条款；</w:t>
      </w:r>
    </w:p>
    <w:p w14:paraId="33B1BAB0">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（6）技术标准和要求；</w:t>
      </w:r>
    </w:p>
    <w:p w14:paraId="59201977">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（7）图纸；</w:t>
      </w:r>
    </w:p>
    <w:p w14:paraId="3DE1B351">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（8）已标价工程量清单或预算书；</w:t>
      </w:r>
    </w:p>
    <w:p w14:paraId="440FB736">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kern w:val="0"/>
          <w:sz w:val="32"/>
          <w:szCs w:val="32"/>
          <w:highlight w:val="none"/>
        </w:rPr>
        <w:t>（9）其他合同文件。</w:t>
      </w:r>
    </w:p>
    <w:p w14:paraId="420C17ED">
      <w:pPr>
        <w:snapToGrid/>
        <w:spacing w:line="576" w:lineRule="exact"/>
        <w:ind w:firstLine="681" w:firstLineChars="213"/>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上述各项合同文件包括合同当事人就该项合同文件所作出的补充和修改，属于同一类内容的文件，应以最新签署的为准。</w:t>
      </w:r>
    </w:p>
    <w:p w14:paraId="61467CD7">
      <w:pPr>
        <w:snapToGrid/>
        <w:spacing w:line="576" w:lineRule="exact"/>
        <w:ind w:firstLine="681" w:firstLineChars="213"/>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在合同订立及履行过程中形成的与合同有关的文件均构成合同文件组成部分，并根据其性质确定优先解释顺序。</w:t>
      </w:r>
      <w:bookmarkStart w:id="258" w:name="_Toc351203501"/>
    </w:p>
    <w:p w14:paraId="783064B6">
      <w:pPr>
        <w:spacing w:line="576" w:lineRule="exact"/>
        <w:ind w:firstLine="640" w:firstLineChars="200"/>
        <w:jc w:val="both"/>
        <w:outlineLvl w:val="2"/>
        <w:rPr>
          <w:rFonts w:hint="eastAsia" w:ascii="仿宋_GB2312" w:hAnsi="仿宋_GB2312" w:eastAsia="仿宋_GB2312" w:cs="仿宋_GB2312"/>
          <w:color w:val="auto"/>
          <w:sz w:val="32"/>
          <w:szCs w:val="32"/>
          <w:highlight w:val="none"/>
        </w:rPr>
      </w:pPr>
      <w:bookmarkStart w:id="259" w:name="_Toc700"/>
      <w:bookmarkStart w:id="260" w:name="_Toc337558732"/>
      <w:bookmarkStart w:id="261" w:name="_Toc296503032"/>
      <w:bookmarkStart w:id="262" w:name="_Toc13192"/>
      <w:bookmarkStart w:id="263" w:name="_Toc20207"/>
      <w:bookmarkStart w:id="264" w:name="_Toc19736"/>
      <w:bookmarkStart w:id="265" w:name="_Toc1755"/>
      <w:bookmarkStart w:id="266" w:name="_Toc17953"/>
      <w:bookmarkStart w:id="267" w:name="_Toc30582"/>
      <w:bookmarkStart w:id="268" w:name="_Toc296346533"/>
      <w:bookmarkStart w:id="269" w:name="_Toc13488"/>
      <w:r>
        <w:rPr>
          <w:rFonts w:hint="eastAsia" w:ascii="仿宋_GB2312" w:hAnsi="仿宋_GB2312" w:eastAsia="仿宋_GB2312" w:cs="仿宋_GB2312"/>
          <w:color w:val="auto"/>
          <w:sz w:val="32"/>
          <w:szCs w:val="32"/>
          <w:highlight w:val="none"/>
        </w:rPr>
        <w:t>1.6图纸和承包人文</w:t>
      </w:r>
      <w:bookmarkEnd w:id="258"/>
      <w:r>
        <w:rPr>
          <w:rFonts w:hint="eastAsia" w:ascii="仿宋_GB2312" w:hAnsi="仿宋_GB2312" w:eastAsia="仿宋_GB2312" w:cs="仿宋_GB2312"/>
          <w:color w:val="auto"/>
          <w:sz w:val="32"/>
          <w:szCs w:val="32"/>
          <w:highlight w:val="none"/>
        </w:rPr>
        <w:t>件</w:t>
      </w:r>
      <w:bookmarkEnd w:id="259"/>
      <w:bookmarkEnd w:id="260"/>
      <w:bookmarkEnd w:id="261"/>
      <w:bookmarkEnd w:id="262"/>
      <w:bookmarkEnd w:id="263"/>
      <w:bookmarkEnd w:id="264"/>
      <w:bookmarkEnd w:id="265"/>
      <w:bookmarkEnd w:id="266"/>
      <w:bookmarkEnd w:id="267"/>
      <w:bookmarkEnd w:id="268"/>
      <w:bookmarkEnd w:id="269"/>
    </w:p>
    <w:p w14:paraId="0A6A9B07">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1.6.1 图纸的提供和交底</w:t>
      </w:r>
    </w:p>
    <w:p w14:paraId="28E2E18C">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发包人应按照专用合同条款约定的期限、数量和内容向承包人免费提供图纸，并组织承包人、监理人和设计人进行图纸会审和设计交底。发包人至迟不得晚于第7.3.2项〔开工通知〕载明的开工日期前14天向承包人提供图纸。</w:t>
      </w:r>
    </w:p>
    <w:p w14:paraId="749033A2">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因发包人未按合同约定提供图纸导致承包人费用增加和（或）工期延误的，按照第7.5.1项〔因发包人原因导致工期延误〕约定办理。</w:t>
      </w:r>
    </w:p>
    <w:p w14:paraId="41D8F38C">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1.6.2 图纸的错误</w:t>
      </w:r>
    </w:p>
    <w:p w14:paraId="3D26750C">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承包人在收到发包人提供的图纸后，发现图纸存在差错、遗漏或缺陷的，应及时通知监理人。监理人接到该通知后，应附具相关意见并立即报送发包人，发包人应在收到监理人报送的通知后的合理时间内作出决定。合理时间是指发包人在收到监理人的报送通知后，尽其努力且不懈怠地完成图纸修改补充所需的时间。</w:t>
      </w:r>
    </w:p>
    <w:p w14:paraId="18F78434">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1.6.3 图纸的修改和补充</w:t>
      </w:r>
    </w:p>
    <w:p w14:paraId="12D75C1A">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图纸需要修改和补充的，应经图纸原设计人及审批部门同意，并由监理人在工程或工程相应部位施工前将修改后的图纸或补充图纸提交给承包人，承包人应按修改或补充后的图纸施工。</w:t>
      </w:r>
    </w:p>
    <w:p w14:paraId="1D52CF1C">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1.6.4 承包人文件</w:t>
      </w:r>
    </w:p>
    <w:p w14:paraId="6C20629D">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承包人应按照专用合同条款的约定提供应当由其编制的与工程施工有关的文件，并按照专用合同条款约定的期限、数量和形式提交监理人，并由监理人报送发包人。</w:t>
      </w:r>
    </w:p>
    <w:p w14:paraId="3A2C5452">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除专用合同条款另有约定外，监理人应在收到承包人文件后7天内审查完毕，监理人对承包人文件有异议的，承包人应予以修改，并重新报送监理人。监理人的审查并不减轻或免除承包人根据合同约定应当承担的责任。</w:t>
      </w:r>
    </w:p>
    <w:p w14:paraId="2033727B">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1.6.5 图纸和承包人文件的保管</w:t>
      </w:r>
    </w:p>
    <w:p w14:paraId="188E28B5">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除专用合同条款另有约定外，承包人应在施工现场另外保存一套完整的图纸和承包人文件，供发包人、监理人及有关人员进行工程检查时使用。</w:t>
      </w:r>
      <w:bookmarkStart w:id="270" w:name="_Toc351203502"/>
    </w:p>
    <w:p w14:paraId="03BAE140">
      <w:pPr>
        <w:spacing w:line="576" w:lineRule="exact"/>
        <w:ind w:firstLine="640" w:firstLineChars="200"/>
        <w:jc w:val="both"/>
        <w:outlineLvl w:val="2"/>
        <w:rPr>
          <w:rFonts w:hint="eastAsia" w:ascii="仿宋_GB2312" w:hAnsi="仿宋_GB2312" w:eastAsia="仿宋_GB2312" w:cs="仿宋_GB2312"/>
          <w:color w:val="auto"/>
          <w:sz w:val="32"/>
          <w:szCs w:val="32"/>
          <w:highlight w:val="none"/>
        </w:rPr>
      </w:pPr>
      <w:bookmarkStart w:id="271" w:name="_Toc296503033"/>
      <w:bookmarkStart w:id="272" w:name="_Toc20163"/>
      <w:bookmarkStart w:id="273" w:name="_Toc10012"/>
      <w:bookmarkStart w:id="274" w:name="_Toc296346534"/>
      <w:bookmarkStart w:id="275" w:name="_Toc16091"/>
      <w:bookmarkStart w:id="276" w:name="_Toc337558733"/>
      <w:bookmarkStart w:id="277" w:name="_Toc26590"/>
      <w:bookmarkStart w:id="278" w:name="_Toc29314"/>
      <w:bookmarkStart w:id="279" w:name="_Toc21980"/>
      <w:bookmarkStart w:id="280" w:name="_Toc7937"/>
      <w:bookmarkStart w:id="281" w:name="_Toc17905"/>
      <w:r>
        <w:rPr>
          <w:rFonts w:hint="eastAsia" w:ascii="仿宋_GB2312" w:hAnsi="仿宋_GB2312" w:eastAsia="仿宋_GB2312" w:cs="仿宋_GB2312"/>
          <w:color w:val="auto"/>
          <w:sz w:val="32"/>
          <w:szCs w:val="32"/>
          <w:highlight w:val="none"/>
        </w:rPr>
        <w:t>1.7联</w:t>
      </w:r>
      <w:bookmarkEnd w:id="270"/>
      <w:r>
        <w:rPr>
          <w:rFonts w:hint="eastAsia" w:ascii="仿宋_GB2312" w:hAnsi="仿宋_GB2312" w:eastAsia="仿宋_GB2312" w:cs="仿宋_GB2312"/>
          <w:color w:val="auto"/>
          <w:sz w:val="32"/>
          <w:szCs w:val="32"/>
          <w:highlight w:val="none"/>
        </w:rPr>
        <w:t>络</w:t>
      </w:r>
      <w:bookmarkEnd w:id="271"/>
      <w:bookmarkEnd w:id="272"/>
      <w:bookmarkEnd w:id="273"/>
      <w:bookmarkEnd w:id="274"/>
      <w:bookmarkEnd w:id="275"/>
      <w:bookmarkEnd w:id="276"/>
      <w:bookmarkEnd w:id="277"/>
      <w:bookmarkEnd w:id="278"/>
      <w:bookmarkEnd w:id="279"/>
      <w:bookmarkEnd w:id="280"/>
      <w:bookmarkEnd w:id="281"/>
    </w:p>
    <w:p w14:paraId="1C3582B4">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1.7.1 与合同有关的通知、批准、证明、证书、指示、指令、要求、请求、同意、意见、确定和决定等，均应采用书面形式，并应在合同约定的期限内送达接收人和送达地点。</w:t>
      </w:r>
    </w:p>
    <w:p w14:paraId="77D1695A">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1.7.2 发包人和承包人应在专用合同条款中约定各自的送达接收人和送达地点。任何一方合同当事人指定的接收人或送达地点发生变动的，应提前3天以书面形式通知对方。</w:t>
      </w:r>
    </w:p>
    <w:p w14:paraId="52834E89">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1.7.3 发包人和承包人应当及时签收另一方送达至送达地点和指定接收人的来往信函。拒不签收的，由此增加的费用和（或）延误的工期由拒绝接收一方承担。</w:t>
      </w:r>
      <w:bookmarkStart w:id="282" w:name="_Toc351203503"/>
    </w:p>
    <w:p w14:paraId="33E4F88E">
      <w:pPr>
        <w:spacing w:line="576" w:lineRule="exact"/>
        <w:ind w:firstLine="640" w:firstLineChars="200"/>
        <w:jc w:val="both"/>
        <w:outlineLvl w:val="2"/>
        <w:rPr>
          <w:rFonts w:hint="eastAsia" w:ascii="仿宋_GB2312" w:hAnsi="仿宋_GB2312" w:eastAsia="仿宋_GB2312" w:cs="仿宋_GB2312"/>
          <w:color w:val="auto"/>
          <w:sz w:val="32"/>
          <w:szCs w:val="32"/>
          <w:highlight w:val="none"/>
        </w:rPr>
      </w:pPr>
      <w:bookmarkStart w:id="283" w:name="_Toc296346536"/>
      <w:bookmarkStart w:id="284" w:name="_Toc337558734"/>
      <w:bookmarkStart w:id="285" w:name="_Toc7776"/>
      <w:bookmarkStart w:id="286" w:name="_Toc20458"/>
      <w:bookmarkStart w:id="287" w:name="_Toc296503035"/>
      <w:bookmarkStart w:id="288" w:name="_Toc10776"/>
      <w:bookmarkStart w:id="289" w:name="_Toc27487"/>
      <w:bookmarkStart w:id="290" w:name="_Toc25868"/>
      <w:bookmarkStart w:id="291" w:name="_Toc12700"/>
      <w:bookmarkStart w:id="292" w:name="_Toc26213"/>
      <w:bookmarkStart w:id="293" w:name="_Toc13640"/>
      <w:r>
        <w:rPr>
          <w:rFonts w:hint="eastAsia" w:ascii="仿宋_GB2312" w:hAnsi="仿宋_GB2312" w:eastAsia="仿宋_GB2312" w:cs="仿宋_GB2312"/>
          <w:color w:val="auto"/>
          <w:sz w:val="32"/>
          <w:szCs w:val="32"/>
          <w:highlight w:val="none"/>
        </w:rPr>
        <w:t>1.8严禁贿</w:t>
      </w:r>
      <w:bookmarkEnd w:id="282"/>
      <w:r>
        <w:rPr>
          <w:rFonts w:hint="eastAsia" w:ascii="仿宋_GB2312" w:hAnsi="仿宋_GB2312" w:eastAsia="仿宋_GB2312" w:cs="仿宋_GB2312"/>
          <w:color w:val="auto"/>
          <w:sz w:val="32"/>
          <w:szCs w:val="32"/>
          <w:highlight w:val="none"/>
        </w:rPr>
        <w:t>赂</w:t>
      </w:r>
      <w:bookmarkEnd w:id="283"/>
      <w:bookmarkEnd w:id="284"/>
      <w:bookmarkEnd w:id="285"/>
      <w:bookmarkEnd w:id="286"/>
      <w:bookmarkEnd w:id="287"/>
      <w:bookmarkEnd w:id="288"/>
      <w:bookmarkEnd w:id="289"/>
      <w:bookmarkEnd w:id="290"/>
      <w:bookmarkEnd w:id="291"/>
      <w:bookmarkEnd w:id="292"/>
      <w:bookmarkEnd w:id="293"/>
    </w:p>
    <w:p w14:paraId="628F4147">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合同当事人不得以贿赂或变相贿赂的方式，谋取非法利益或损害对方权益。因一方合同当事人的贿赂造成对方损失的，应赔偿损失，并承担相应的法律责任。</w:t>
      </w:r>
    </w:p>
    <w:p w14:paraId="672A5522">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承包人不得与监理人或发包人聘请的第三方串通损害发包人利益。未经发包人书面同意，承包人不得为监理人提供合同约定以外的通讯设备、交通工具及其他任何形式的利益，不得向监理人支付报酬。</w:t>
      </w:r>
      <w:bookmarkStart w:id="294" w:name="_Toc351203504"/>
    </w:p>
    <w:p w14:paraId="3116BC34">
      <w:pPr>
        <w:spacing w:line="576" w:lineRule="exact"/>
        <w:ind w:firstLine="640" w:firstLineChars="200"/>
        <w:jc w:val="both"/>
        <w:outlineLvl w:val="2"/>
        <w:rPr>
          <w:rFonts w:hint="eastAsia" w:ascii="仿宋_GB2312" w:hAnsi="仿宋_GB2312" w:eastAsia="仿宋_GB2312" w:cs="仿宋_GB2312"/>
          <w:color w:val="auto"/>
          <w:sz w:val="32"/>
          <w:szCs w:val="32"/>
          <w:highlight w:val="none"/>
        </w:rPr>
      </w:pPr>
      <w:bookmarkStart w:id="295" w:name="_Toc32719"/>
      <w:bookmarkStart w:id="296" w:name="_Toc8718"/>
      <w:bookmarkStart w:id="297" w:name="_Toc296503036"/>
      <w:bookmarkStart w:id="298" w:name="_Toc20889"/>
      <w:bookmarkStart w:id="299" w:name="_Toc31961"/>
      <w:bookmarkStart w:id="300" w:name="_Toc3972"/>
      <w:bookmarkStart w:id="301" w:name="_Toc29065"/>
      <w:bookmarkStart w:id="302" w:name="_Toc337558735"/>
      <w:bookmarkStart w:id="303" w:name="_Toc15664"/>
      <w:bookmarkStart w:id="304" w:name="_Toc23835"/>
      <w:bookmarkStart w:id="305" w:name="_Toc296346537"/>
      <w:r>
        <w:rPr>
          <w:rFonts w:hint="eastAsia" w:ascii="仿宋_GB2312" w:hAnsi="仿宋_GB2312" w:eastAsia="仿宋_GB2312" w:cs="仿宋_GB2312"/>
          <w:color w:val="auto"/>
          <w:sz w:val="32"/>
          <w:szCs w:val="32"/>
          <w:highlight w:val="none"/>
        </w:rPr>
        <w:t>1.9化石、文</w:t>
      </w:r>
      <w:bookmarkEnd w:id="294"/>
      <w:r>
        <w:rPr>
          <w:rFonts w:hint="eastAsia" w:ascii="仿宋_GB2312" w:hAnsi="仿宋_GB2312" w:eastAsia="仿宋_GB2312" w:cs="仿宋_GB2312"/>
          <w:color w:val="auto"/>
          <w:sz w:val="32"/>
          <w:szCs w:val="32"/>
          <w:highlight w:val="none"/>
        </w:rPr>
        <w:t>物</w:t>
      </w:r>
      <w:bookmarkEnd w:id="295"/>
      <w:bookmarkEnd w:id="296"/>
      <w:bookmarkEnd w:id="297"/>
      <w:bookmarkEnd w:id="298"/>
      <w:bookmarkEnd w:id="299"/>
      <w:bookmarkEnd w:id="300"/>
      <w:bookmarkEnd w:id="301"/>
      <w:bookmarkEnd w:id="302"/>
      <w:bookmarkEnd w:id="303"/>
      <w:bookmarkEnd w:id="304"/>
      <w:bookmarkEnd w:id="305"/>
    </w:p>
    <w:p w14:paraId="01265C23">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在施工现场发掘的所有文物、古迹以及具有地质研究或考古价值的其他遗迹、化石、钱币或物品属于国家所有。一旦发现上述文物，承包人应采取合理有效的保护措施，防止任何人员移动或损坏上述物品，并立即报告有关政府行政管理部门，同时通知监理人。</w:t>
      </w:r>
    </w:p>
    <w:p w14:paraId="7D2D1032">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发包人、监理人和承包人应按有关政府行政管理部门要求采取妥善的保护措施，由此增加的费用和（或）延误的工期由发包人承担。</w:t>
      </w:r>
    </w:p>
    <w:p w14:paraId="0127ED4B">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承包人发现文物后不及时报告或隐瞒不报，致使文物丢失或损坏的，应赔偿损失，并承担相应的法律责任。</w:t>
      </w:r>
      <w:bookmarkStart w:id="306" w:name="_Toc351203505"/>
    </w:p>
    <w:p w14:paraId="6C76A6C3">
      <w:pPr>
        <w:spacing w:line="576" w:lineRule="exact"/>
        <w:ind w:firstLine="640" w:firstLineChars="200"/>
        <w:jc w:val="both"/>
        <w:outlineLvl w:val="2"/>
        <w:rPr>
          <w:rFonts w:hint="eastAsia" w:ascii="仿宋_GB2312" w:hAnsi="仿宋_GB2312" w:eastAsia="仿宋_GB2312" w:cs="仿宋_GB2312"/>
          <w:color w:val="auto"/>
          <w:sz w:val="32"/>
          <w:szCs w:val="32"/>
          <w:highlight w:val="none"/>
        </w:rPr>
      </w:pPr>
      <w:bookmarkStart w:id="307" w:name="_Toc24512"/>
      <w:bookmarkStart w:id="308" w:name="_Toc6669"/>
      <w:bookmarkStart w:id="309" w:name="_Toc4650"/>
      <w:bookmarkStart w:id="310" w:name="_Toc337558736"/>
      <w:bookmarkStart w:id="311" w:name="_Toc7563"/>
      <w:bookmarkStart w:id="312" w:name="_Toc12970"/>
      <w:bookmarkStart w:id="313" w:name="_Toc5542"/>
      <w:bookmarkStart w:id="314" w:name="_Toc22391"/>
      <w:bookmarkStart w:id="315" w:name="_Toc79"/>
      <w:r>
        <w:rPr>
          <w:rFonts w:hint="eastAsia" w:ascii="仿宋_GB2312" w:hAnsi="仿宋_GB2312" w:eastAsia="仿宋_GB2312" w:cs="仿宋_GB2312"/>
          <w:color w:val="auto"/>
          <w:sz w:val="32"/>
          <w:szCs w:val="32"/>
          <w:highlight w:val="none"/>
        </w:rPr>
        <w:t>1.10交通运</w:t>
      </w:r>
      <w:bookmarkEnd w:id="306"/>
      <w:r>
        <w:rPr>
          <w:rFonts w:hint="eastAsia" w:ascii="仿宋_GB2312" w:hAnsi="仿宋_GB2312" w:eastAsia="仿宋_GB2312" w:cs="仿宋_GB2312"/>
          <w:color w:val="auto"/>
          <w:sz w:val="32"/>
          <w:szCs w:val="32"/>
          <w:highlight w:val="none"/>
        </w:rPr>
        <w:t>输</w:t>
      </w:r>
      <w:bookmarkEnd w:id="307"/>
      <w:bookmarkEnd w:id="308"/>
      <w:bookmarkEnd w:id="309"/>
      <w:bookmarkEnd w:id="310"/>
      <w:bookmarkEnd w:id="311"/>
      <w:bookmarkEnd w:id="312"/>
      <w:bookmarkEnd w:id="313"/>
      <w:bookmarkEnd w:id="314"/>
      <w:bookmarkEnd w:id="315"/>
    </w:p>
    <w:p w14:paraId="36A45042">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1.10.1出入现场的权利</w:t>
      </w:r>
    </w:p>
    <w:p w14:paraId="123F3E45">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除专用合同条款另有约定外，发包人应根据施工需要，负责取得出入施工现场所需的批准手续和全部权利，以及取得因施工所需修建道路、桥梁以及其他基础设施的权利，并承担相关手续费用和建设费用。承包人应协助发包人办理修建场内外道路、桥梁以及其他基础设施的手续。</w:t>
      </w:r>
    </w:p>
    <w:p w14:paraId="01250FD0">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承包人应在订立合同前查勘施工现场，并根据工程规模及技术参数合理预见工程施工所需的进出施工现场的方式、手段、路径等。因承包人未合理预见所增加的费用和（或）延误的工期由承包人承担。</w:t>
      </w:r>
    </w:p>
    <w:p w14:paraId="27FA236C">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1.10.2场外交通</w:t>
      </w:r>
    </w:p>
    <w:p w14:paraId="03454852">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发包人应提供场外交通设施的技术参数和具体条件，承包人应遵守有关交通法规，严格按照道路和桥梁的限制荷载行驶，执行有关道路限速、限行、禁止超载的规定，并配合交通管理部门的监督和检查。场外交通设施无法满足工程施工需要的，由发包人负责完善并承担相关费用。</w:t>
      </w:r>
    </w:p>
    <w:p w14:paraId="4C2FE9C6">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1.10.3场内交通</w:t>
      </w:r>
    </w:p>
    <w:p w14:paraId="3396DA84">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发包人应提供场内交通设施的技术参数和具体条件，并应按照专用合同条款的约定向承包人免费提供满足工程施工所需的场内道路和交通设施。因承包人原因造成上述道路或交通设施损坏的，承包人负责修复并承担由此增加的费用。</w:t>
      </w:r>
    </w:p>
    <w:p w14:paraId="4A27624A">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除发包人按照合同约定提供的场内道路和交通设施外，承包人负责修建、维修、养护和管理施工所需的其他场内临时道路和交通设施。发包人和监理人可以为实现合同目的使用承包人修建的场内临时道路和交通设施。</w:t>
      </w:r>
    </w:p>
    <w:p w14:paraId="70A78C94">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场外交通和场内交通的边界由合同当事人在专用合同条款中约定。</w:t>
      </w:r>
    </w:p>
    <w:p w14:paraId="4B929705">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1.10.4超大件和超重件的运输</w:t>
      </w:r>
    </w:p>
    <w:p w14:paraId="00A3141A">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由承包人负责运输的超大件或超重件，应由承包人负责向交通管理部门办理申请手续，发包人给予协助。运输超大件或超重件所需的道路和桥梁临时加固改造费用和其他有关费用，由承包人承担，但专用合同条款另有约定除外。</w:t>
      </w:r>
    </w:p>
    <w:p w14:paraId="40CE71C7">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1.10.5道路和桥梁的损坏责任</w:t>
      </w:r>
    </w:p>
    <w:p w14:paraId="1C454522">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因承包人运输造成施工场地内外公共道路和桥梁损坏的，由承包人承担修复损坏的全部费用和可能引起的赔偿。</w:t>
      </w:r>
    </w:p>
    <w:p w14:paraId="00F6605A">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1.10.6水路和航空运输</w:t>
      </w:r>
    </w:p>
    <w:p w14:paraId="04B85FF9">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本款前述各项的内容适用于水路运输和航空运输，其中“道路”一词的涵义包括河道、航线、船闸、机场、码头、堤防以及水路或航空运输中其他相似结构物；“车辆”一词的涵义包括船舶和飞机等。</w:t>
      </w:r>
      <w:bookmarkStart w:id="316" w:name="_Toc351203506"/>
    </w:p>
    <w:p w14:paraId="1799BAAA">
      <w:pPr>
        <w:spacing w:line="576" w:lineRule="exact"/>
        <w:ind w:firstLine="640" w:firstLineChars="200"/>
        <w:jc w:val="both"/>
        <w:outlineLvl w:val="2"/>
        <w:rPr>
          <w:rFonts w:hint="eastAsia" w:ascii="仿宋_GB2312" w:hAnsi="仿宋_GB2312" w:eastAsia="仿宋_GB2312" w:cs="仿宋_GB2312"/>
          <w:color w:val="auto"/>
          <w:sz w:val="32"/>
          <w:szCs w:val="32"/>
          <w:highlight w:val="none"/>
        </w:rPr>
      </w:pPr>
      <w:bookmarkStart w:id="317" w:name="_Toc337558737"/>
      <w:bookmarkStart w:id="318" w:name="_Toc6221"/>
      <w:bookmarkStart w:id="319" w:name="_Toc31394"/>
      <w:bookmarkStart w:id="320" w:name="_Toc26907"/>
      <w:bookmarkStart w:id="321" w:name="_Toc25973"/>
      <w:bookmarkStart w:id="322" w:name="_Toc16344"/>
      <w:bookmarkStart w:id="323" w:name="_Toc296503037"/>
      <w:bookmarkStart w:id="324" w:name="_Toc7523"/>
      <w:bookmarkStart w:id="325" w:name="_Toc27052"/>
      <w:bookmarkStart w:id="326" w:name="_Toc296346538"/>
      <w:bookmarkStart w:id="327" w:name="_Toc1148"/>
      <w:r>
        <w:rPr>
          <w:rFonts w:hint="eastAsia" w:ascii="仿宋_GB2312" w:hAnsi="仿宋_GB2312" w:eastAsia="仿宋_GB2312" w:cs="仿宋_GB2312"/>
          <w:color w:val="auto"/>
          <w:sz w:val="32"/>
          <w:szCs w:val="32"/>
          <w:highlight w:val="none"/>
        </w:rPr>
        <w:t>1.11知识产</w:t>
      </w:r>
      <w:bookmarkEnd w:id="316"/>
      <w:bookmarkEnd w:id="317"/>
      <w:r>
        <w:rPr>
          <w:rFonts w:hint="eastAsia" w:ascii="仿宋_GB2312" w:hAnsi="仿宋_GB2312" w:eastAsia="仿宋_GB2312" w:cs="仿宋_GB2312"/>
          <w:color w:val="auto"/>
          <w:sz w:val="32"/>
          <w:szCs w:val="32"/>
          <w:highlight w:val="none"/>
        </w:rPr>
        <w:t>权</w:t>
      </w:r>
      <w:bookmarkEnd w:id="318"/>
      <w:bookmarkEnd w:id="319"/>
      <w:bookmarkEnd w:id="320"/>
      <w:bookmarkEnd w:id="321"/>
      <w:bookmarkEnd w:id="322"/>
      <w:bookmarkEnd w:id="323"/>
      <w:bookmarkEnd w:id="324"/>
      <w:bookmarkEnd w:id="325"/>
      <w:bookmarkEnd w:id="326"/>
      <w:bookmarkEnd w:id="327"/>
    </w:p>
    <w:p w14:paraId="51151719">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1.11.1 除专用合同条款另有约定外，发包人提供给承包人的图纸、发包人为实施工程自行编制或委托编制的技术规范以及反映发包人要求的或其他类似性质的文件的著作权属于发包人，承包人可以为实现合同目的而复制、使用此类文件，但不能用于与合同无关的其他事项。未经发包人书面同意，承包人不得为了合同以外的目的而复制、使用上述文件或将之提供给任何第三方。</w:t>
      </w:r>
    </w:p>
    <w:p w14:paraId="57F648EE">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1.11.2 除专用合同条款另有约定外，承包人为实施工程所编制的文件，除署名权以外的著作权属于发包人，承包人可因实施工程的运行、调试、维修、改造等目的而复制、使用此类文件，但不能用于与合同无关的其他事项。未经发包人书面同意，承包人不得为了合同以外的目的而复制、使用上述文件或将之提供给任何第三方。</w:t>
      </w:r>
    </w:p>
    <w:p w14:paraId="28FE9128">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1.11.3 合同当事人保证在履行合同过程中不侵犯对方及第三方的知识产权。承包人在使用材料、施工设备、工程设备或采用施工工艺时，因侵犯他人的专利权或其他知识产权所引起的责任，由承包人承担；因发包人提供的材料、施工设备、工程设备或施工工艺导致侵权的，由发包人承担责任。</w:t>
      </w:r>
    </w:p>
    <w:p w14:paraId="1E84FED1">
      <w:pPr>
        <w:snapToGrid/>
        <w:spacing w:line="576"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1.11.4 除专用合同条款另有约定外，承包人在合同签订前和签订时已确定采用的专利、专有技术、技术秘密的使用费已包含在签约合同价中。</w:t>
      </w:r>
      <w:bookmarkStart w:id="328" w:name="_Toc351203507"/>
    </w:p>
    <w:p w14:paraId="3A0B732C">
      <w:pPr>
        <w:spacing w:line="576" w:lineRule="exact"/>
        <w:ind w:firstLine="640" w:firstLineChars="200"/>
        <w:jc w:val="both"/>
        <w:outlineLvl w:val="2"/>
        <w:rPr>
          <w:rFonts w:hint="eastAsia" w:ascii="仿宋_GB2312" w:hAnsi="仿宋_GB2312" w:eastAsia="仿宋_GB2312" w:cs="仿宋_GB2312"/>
          <w:color w:val="auto"/>
          <w:sz w:val="32"/>
          <w:szCs w:val="32"/>
          <w:highlight w:val="none"/>
        </w:rPr>
      </w:pPr>
      <w:bookmarkStart w:id="329" w:name="_Toc32240"/>
      <w:bookmarkStart w:id="330" w:name="_Toc2948"/>
      <w:bookmarkStart w:id="331" w:name="_Toc300"/>
      <w:bookmarkStart w:id="332" w:name="_Toc16723"/>
      <w:bookmarkStart w:id="333" w:name="_Toc337558738"/>
      <w:bookmarkStart w:id="334" w:name="_Toc17627"/>
      <w:bookmarkStart w:id="335" w:name="_Toc15235"/>
      <w:bookmarkStart w:id="336" w:name="_Toc2476"/>
      <w:bookmarkStart w:id="337" w:name="_Toc19133"/>
      <w:r>
        <w:rPr>
          <w:rFonts w:hint="eastAsia" w:ascii="仿宋_GB2312" w:hAnsi="仿宋_GB2312" w:eastAsia="仿宋_GB2312" w:cs="仿宋_GB2312"/>
          <w:color w:val="auto"/>
          <w:sz w:val="32"/>
          <w:szCs w:val="32"/>
          <w:highlight w:val="none"/>
        </w:rPr>
        <w:t>1.12保</w:t>
      </w:r>
      <w:bookmarkEnd w:id="328"/>
      <w:r>
        <w:rPr>
          <w:rFonts w:hint="eastAsia" w:ascii="仿宋_GB2312" w:hAnsi="仿宋_GB2312" w:eastAsia="仿宋_GB2312" w:cs="仿宋_GB2312"/>
          <w:color w:val="auto"/>
          <w:sz w:val="32"/>
          <w:szCs w:val="32"/>
          <w:highlight w:val="none"/>
        </w:rPr>
        <w:t>密</w:t>
      </w:r>
      <w:bookmarkEnd w:id="329"/>
      <w:bookmarkEnd w:id="330"/>
      <w:bookmarkEnd w:id="331"/>
      <w:bookmarkEnd w:id="332"/>
      <w:bookmarkEnd w:id="333"/>
      <w:bookmarkEnd w:id="334"/>
      <w:bookmarkEnd w:id="335"/>
      <w:bookmarkEnd w:id="336"/>
      <w:bookmarkEnd w:id="337"/>
    </w:p>
    <w:p w14:paraId="6D9B9A8C">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除法律规定或合同另有约定外，未经发包人同意，承包人不得将发包人提供的图纸、文件以及声明需要保密的资料信息等商业秘密泄露给第三方。</w:t>
      </w:r>
    </w:p>
    <w:p w14:paraId="620F8B50">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除法律规定或合同另有约定外，未经承包人同意，发包人不得将承包人提供的技术秘密及声明需要保密的资料信息等商业秘密泄露给第三方。</w:t>
      </w:r>
      <w:bookmarkStart w:id="338" w:name="_Toc351203508"/>
    </w:p>
    <w:p w14:paraId="15452131">
      <w:pPr>
        <w:spacing w:line="576" w:lineRule="exact"/>
        <w:ind w:firstLine="640" w:firstLineChars="200"/>
        <w:jc w:val="both"/>
        <w:outlineLvl w:val="2"/>
        <w:rPr>
          <w:rFonts w:hint="eastAsia" w:ascii="仿宋_GB2312" w:hAnsi="仿宋_GB2312" w:eastAsia="仿宋_GB2312" w:cs="仿宋_GB2312"/>
          <w:color w:val="auto"/>
          <w:sz w:val="32"/>
          <w:szCs w:val="32"/>
          <w:highlight w:val="none"/>
        </w:rPr>
      </w:pPr>
      <w:bookmarkStart w:id="339" w:name="_Toc30189"/>
      <w:bookmarkStart w:id="340" w:name="_Toc4335"/>
      <w:bookmarkStart w:id="341" w:name="_Toc3892"/>
      <w:bookmarkStart w:id="342" w:name="_Toc19188"/>
      <w:bookmarkStart w:id="343" w:name="_Toc9522"/>
      <w:bookmarkStart w:id="344" w:name="_Toc17485"/>
      <w:bookmarkStart w:id="345" w:name="_Toc28136"/>
      <w:bookmarkStart w:id="346" w:name="_Toc21673"/>
      <w:r>
        <w:rPr>
          <w:rFonts w:hint="eastAsia" w:ascii="仿宋_GB2312" w:hAnsi="仿宋_GB2312" w:eastAsia="仿宋_GB2312" w:cs="仿宋_GB2312"/>
          <w:color w:val="auto"/>
          <w:sz w:val="32"/>
          <w:szCs w:val="32"/>
          <w:highlight w:val="none"/>
        </w:rPr>
        <w:t>1.13工程量清单错误的修</w:t>
      </w:r>
      <w:bookmarkEnd w:id="338"/>
      <w:r>
        <w:rPr>
          <w:rFonts w:hint="eastAsia" w:ascii="仿宋_GB2312" w:hAnsi="仿宋_GB2312" w:eastAsia="仿宋_GB2312" w:cs="仿宋_GB2312"/>
          <w:color w:val="auto"/>
          <w:sz w:val="32"/>
          <w:szCs w:val="32"/>
          <w:highlight w:val="none"/>
        </w:rPr>
        <w:t>正</w:t>
      </w:r>
      <w:bookmarkEnd w:id="339"/>
      <w:bookmarkEnd w:id="340"/>
      <w:bookmarkEnd w:id="341"/>
      <w:bookmarkEnd w:id="342"/>
      <w:bookmarkEnd w:id="343"/>
      <w:bookmarkEnd w:id="344"/>
      <w:bookmarkEnd w:id="345"/>
      <w:bookmarkEnd w:id="346"/>
    </w:p>
    <w:p w14:paraId="14735673">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除专用合同条款另有约定外，发包人提供的工程量清单，应被认为是准确的和完整的。出现下列情形之一时，发包人应予以修正，并相应调整合同价格：</w:t>
      </w:r>
    </w:p>
    <w:p w14:paraId="65FE5D75">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（1）工程量清单存在缺项、漏项的；</w:t>
      </w:r>
    </w:p>
    <w:p w14:paraId="012578A8">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（2）工程量清单偏差超出专用合同条款约定的工程量偏差范围的；</w:t>
      </w:r>
    </w:p>
    <w:p w14:paraId="7ACF4FE5">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（3）未按照国家现行计量规范强制性规定计量的。</w:t>
      </w:r>
      <w:bookmarkStart w:id="347" w:name="_Toc351203509"/>
    </w:p>
    <w:p w14:paraId="6204AA3C">
      <w:pPr>
        <w:spacing w:line="576" w:lineRule="exact"/>
        <w:jc w:val="both"/>
        <w:outlineLvl w:val="1"/>
        <w:rPr>
          <w:rFonts w:hint="eastAsia" w:ascii="仿宋_GB2312" w:hAnsi="仿宋_GB2312" w:eastAsia="仿宋_GB2312" w:cs="仿宋_GB2312"/>
          <w:color w:val="auto"/>
          <w:sz w:val="32"/>
          <w:szCs w:val="32"/>
          <w:highlight w:val="none"/>
        </w:rPr>
      </w:pPr>
      <w:bookmarkStart w:id="348" w:name="_Toc25745"/>
      <w:bookmarkStart w:id="349" w:name="_Toc296346539"/>
      <w:bookmarkStart w:id="350" w:name="_Toc12740"/>
      <w:bookmarkStart w:id="351" w:name="_Toc15489"/>
      <w:bookmarkStart w:id="352" w:name="_Toc296503038"/>
      <w:bookmarkStart w:id="353" w:name="_Toc2600"/>
      <w:bookmarkStart w:id="354" w:name="_Toc8382"/>
      <w:bookmarkStart w:id="355" w:name="_Toc32671"/>
      <w:bookmarkStart w:id="356" w:name="_Toc22295"/>
      <w:bookmarkStart w:id="357" w:name="_Toc4989"/>
      <w:bookmarkStart w:id="358" w:name="_Toc19075"/>
      <w:bookmarkStart w:id="359" w:name="_Toc337558739"/>
      <w:bookmarkStart w:id="360" w:name="_Toc10717"/>
      <w:bookmarkStart w:id="361" w:name="OLE_LINK2"/>
      <w:bookmarkStart w:id="362" w:name="OLE_LINK1"/>
      <w:r>
        <w:rPr>
          <w:rFonts w:hint="eastAsia" w:ascii="仿宋_GB2312" w:hAnsi="仿宋_GB2312" w:eastAsia="仿宋_GB2312" w:cs="仿宋_GB2312"/>
          <w:color w:val="auto"/>
          <w:sz w:val="32"/>
          <w:szCs w:val="32"/>
          <w:highlight w:val="none"/>
        </w:rPr>
        <w:t>2. 发包</w:t>
      </w:r>
      <w:bookmarkEnd w:id="347"/>
      <w:r>
        <w:rPr>
          <w:rFonts w:hint="eastAsia" w:ascii="仿宋_GB2312" w:hAnsi="仿宋_GB2312" w:eastAsia="仿宋_GB2312" w:cs="仿宋_GB2312"/>
          <w:color w:val="auto"/>
          <w:sz w:val="32"/>
          <w:szCs w:val="32"/>
          <w:highlight w:val="none"/>
        </w:rPr>
        <w:t>人</w:t>
      </w:r>
      <w:bookmarkEnd w:id="348"/>
      <w:bookmarkEnd w:id="349"/>
      <w:bookmarkEnd w:id="350"/>
      <w:bookmarkEnd w:id="351"/>
      <w:bookmarkEnd w:id="352"/>
      <w:bookmarkEnd w:id="353"/>
      <w:bookmarkEnd w:id="354"/>
      <w:bookmarkEnd w:id="355"/>
      <w:bookmarkEnd w:id="356"/>
      <w:bookmarkEnd w:id="357"/>
      <w:bookmarkEnd w:id="358"/>
      <w:bookmarkEnd w:id="359"/>
      <w:bookmarkEnd w:id="360"/>
      <w:bookmarkStart w:id="363" w:name="_Toc351203510"/>
    </w:p>
    <w:p w14:paraId="2A06B2BE">
      <w:pPr>
        <w:spacing w:line="576" w:lineRule="exact"/>
        <w:ind w:firstLine="640" w:firstLineChars="200"/>
        <w:jc w:val="both"/>
        <w:outlineLvl w:val="2"/>
        <w:rPr>
          <w:rFonts w:hint="eastAsia" w:ascii="仿宋_GB2312" w:hAnsi="仿宋_GB2312" w:eastAsia="仿宋_GB2312" w:cs="仿宋_GB2312"/>
          <w:color w:val="auto"/>
          <w:sz w:val="32"/>
          <w:szCs w:val="32"/>
          <w:highlight w:val="none"/>
        </w:rPr>
      </w:pPr>
      <w:bookmarkStart w:id="364" w:name="_Toc2256"/>
      <w:bookmarkStart w:id="365" w:name="_Toc18199"/>
      <w:bookmarkStart w:id="366" w:name="_Toc16986"/>
      <w:bookmarkStart w:id="367" w:name="_Toc9784"/>
      <w:bookmarkStart w:id="368" w:name="_Toc3472"/>
      <w:bookmarkStart w:id="369" w:name="_Toc123"/>
      <w:bookmarkStart w:id="370" w:name="_Toc16243"/>
      <w:bookmarkStart w:id="371" w:name="_Toc2347"/>
      <w:bookmarkStart w:id="372" w:name="_Toc337558740"/>
      <w:bookmarkStart w:id="373" w:name="_Toc296503039"/>
      <w:bookmarkStart w:id="374" w:name="_Toc296346540"/>
      <w:r>
        <w:rPr>
          <w:rFonts w:hint="eastAsia" w:ascii="仿宋_GB2312" w:hAnsi="仿宋_GB2312" w:eastAsia="仿宋_GB2312" w:cs="仿宋_GB2312"/>
          <w:color w:val="auto"/>
          <w:sz w:val="32"/>
          <w:szCs w:val="32"/>
          <w:highlight w:val="none"/>
        </w:rPr>
        <w:t>2.1 许可或批</w:t>
      </w:r>
      <w:bookmarkEnd w:id="363"/>
      <w:r>
        <w:rPr>
          <w:rFonts w:hint="eastAsia" w:ascii="仿宋_GB2312" w:hAnsi="仿宋_GB2312" w:eastAsia="仿宋_GB2312" w:cs="仿宋_GB2312"/>
          <w:color w:val="auto"/>
          <w:sz w:val="32"/>
          <w:szCs w:val="32"/>
          <w:highlight w:val="none"/>
        </w:rPr>
        <w:t>准</w:t>
      </w:r>
      <w:bookmarkEnd w:id="364"/>
      <w:bookmarkEnd w:id="365"/>
      <w:bookmarkEnd w:id="366"/>
      <w:bookmarkEnd w:id="367"/>
      <w:bookmarkEnd w:id="368"/>
      <w:bookmarkEnd w:id="369"/>
      <w:bookmarkEnd w:id="370"/>
      <w:bookmarkEnd w:id="371"/>
    </w:p>
    <w:p w14:paraId="628C610E">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发包人应遵守法律，并办理法律规定由其办理的许可、批准或备案，包括但不限于建设用地规划许可证、建设工程规划许可证、建设工程施工许可证、施工所需临时用水、临时用电、中断道路交通、临时占用土地等许可和批准。发包人应协助承包人办理法律规定的有关施工证件和批件。</w:t>
      </w:r>
    </w:p>
    <w:p w14:paraId="12C7109C">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因发包人原因未能及时办理完毕前述许可、批准或备案，由发包人承担由此增加的费用和（或）延误的工期，并支付承包人合理的利润。</w:t>
      </w:r>
      <w:bookmarkStart w:id="375" w:name="_Toc351203511"/>
    </w:p>
    <w:p w14:paraId="3C9157B3">
      <w:pPr>
        <w:spacing w:line="576" w:lineRule="exact"/>
        <w:ind w:firstLine="640" w:firstLineChars="200"/>
        <w:jc w:val="both"/>
        <w:outlineLvl w:val="2"/>
        <w:rPr>
          <w:rFonts w:hint="eastAsia" w:ascii="仿宋_GB2312" w:hAnsi="仿宋_GB2312" w:eastAsia="仿宋_GB2312" w:cs="仿宋_GB2312"/>
          <w:color w:val="auto"/>
          <w:sz w:val="32"/>
          <w:szCs w:val="32"/>
          <w:highlight w:val="none"/>
        </w:rPr>
      </w:pPr>
      <w:bookmarkStart w:id="376" w:name="_Toc29004"/>
      <w:bookmarkStart w:id="377" w:name="_Toc4749"/>
      <w:bookmarkStart w:id="378" w:name="_Toc25796"/>
      <w:bookmarkStart w:id="379" w:name="_Toc5817"/>
      <w:bookmarkStart w:id="380" w:name="_Toc17782"/>
      <w:bookmarkStart w:id="381" w:name="_Toc29433"/>
      <w:bookmarkStart w:id="382" w:name="_Toc22274"/>
      <w:bookmarkStart w:id="383" w:name="_Toc13805"/>
      <w:r>
        <w:rPr>
          <w:rFonts w:hint="eastAsia" w:ascii="仿宋_GB2312" w:hAnsi="仿宋_GB2312" w:eastAsia="仿宋_GB2312" w:cs="仿宋_GB2312"/>
          <w:color w:val="auto"/>
          <w:sz w:val="32"/>
          <w:szCs w:val="32"/>
          <w:highlight w:val="none"/>
        </w:rPr>
        <w:t>2.2 发包人代</w:t>
      </w:r>
      <w:bookmarkEnd w:id="375"/>
      <w:r>
        <w:rPr>
          <w:rFonts w:hint="eastAsia" w:ascii="仿宋_GB2312" w:hAnsi="仿宋_GB2312" w:eastAsia="仿宋_GB2312" w:cs="仿宋_GB2312"/>
          <w:color w:val="auto"/>
          <w:sz w:val="32"/>
          <w:szCs w:val="32"/>
          <w:highlight w:val="none"/>
        </w:rPr>
        <w:t>表</w:t>
      </w:r>
      <w:bookmarkEnd w:id="376"/>
      <w:bookmarkEnd w:id="377"/>
      <w:bookmarkEnd w:id="378"/>
      <w:bookmarkEnd w:id="379"/>
      <w:bookmarkEnd w:id="380"/>
      <w:bookmarkEnd w:id="381"/>
      <w:bookmarkEnd w:id="382"/>
      <w:bookmarkEnd w:id="383"/>
    </w:p>
    <w:p w14:paraId="411F24EE">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发包人应在专用合同条款中明确其派驻施工现场的发包人代表的姓名、职务、联系方式及授权范围等事项。发包人代表在发包人的授权范围内，负责处理合同履行过程中与发包人有关的具体事宜。发包人代表在授权范围内的行为由发包人承担法律责任。发包人更换发包人代表的，应提前7天书面通知承包人。</w:t>
      </w:r>
    </w:p>
    <w:p w14:paraId="24014F91">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发包人代表不能按照合同约定履行其职责及义务，并导致合同无法继续正常履行的，承包人可以要求发包人撤换发包人代表。</w:t>
      </w:r>
    </w:p>
    <w:p w14:paraId="70EAAB6C">
      <w:pPr>
        <w:snapToGrid/>
        <w:spacing w:line="576"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kern w:val="0"/>
          <w:sz w:val="32"/>
          <w:szCs w:val="32"/>
          <w:highlight w:val="none"/>
        </w:rPr>
        <w:t>不属于法定必须监理的工程，监理人的职权可以由发包人代表或发包人指定的其他人员行使。</w:t>
      </w:r>
      <w:bookmarkStart w:id="384" w:name="_Toc351203512"/>
    </w:p>
    <w:p w14:paraId="30B5946E">
      <w:pPr>
        <w:spacing w:line="576" w:lineRule="exact"/>
        <w:ind w:firstLine="640" w:firstLineChars="200"/>
        <w:jc w:val="both"/>
        <w:outlineLvl w:val="2"/>
        <w:rPr>
          <w:rFonts w:hint="eastAsia" w:ascii="仿宋_GB2312" w:hAnsi="仿宋_GB2312" w:eastAsia="仿宋_GB2312" w:cs="仿宋_GB2312"/>
          <w:color w:val="auto"/>
          <w:sz w:val="32"/>
          <w:szCs w:val="32"/>
          <w:highlight w:val="none"/>
        </w:rPr>
      </w:pPr>
      <w:bookmarkStart w:id="385" w:name="_Toc10055"/>
      <w:bookmarkStart w:id="386" w:name="_Toc19496"/>
      <w:bookmarkStart w:id="387" w:name="_Toc31126"/>
      <w:bookmarkStart w:id="388" w:name="_Toc4294"/>
      <w:bookmarkStart w:id="389" w:name="_Toc14073"/>
      <w:bookmarkStart w:id="390" w:name="_Toc11673"/>
      <w:bookmarkStart w:id="391" w:name="_Toc9276"/>
      <w:bookmarkStart w:id="392" w:name="_Toc15488"/>
      <w:r>
        <w:rPr>
          <w:rFonts w:hint="eastAsia" w:ascii="仿宋_GB2312" w:hAnsi="仿宋_GB2312" w:eastAsia="仿宋_GB2312" w:cs="仿宋_GB2312"/>
          <w:color w:val="auto"/>
          <w:sz w:val="32"/>
          <w:szCs w:val="32"/>
          <w:highlight w:val="none"/>
        </w:rPr>
        <w:t>2.3 发包人人</w:t>
      </w:r>
      <w:bookmarkEnd w:id="384"/>
      <w:r>
        <w:rPr>
          <w:rFonts w:hint="eastAsia" w:ascii="仿宋_GB2312" w:hAnsi="仿宋_GB2312" w:eastAsia="仿宋_GB2312" w:cs="仿宋_GB2312"/>
          <w:color w:val="auto"/>
          <w:sz w:val="32"/>
          <w:szCs w:val="32"/>
          <w:highlight w:val="none"/>
        </w:rPr>
        <w:t>员</w:t>
      </w:r>
      <w:bookmarkEnd w:id="385"/>
      <w:bookmarkEnd w:id="386"/>
      <w:bookmarkEnd w:id="387"/>
      <w:bookmarkEnd w:id="388"/>
      <w:bookmarkEnd w:id="389"/>
      <w:bookmarkEnd w:id="390"/>
      <w:bookmarkEnd w:id="391"/>
      <w:bookmarkEnd w:id="392"/>
    </w:p>
    <w:p w14:paraId="11799317">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发包人应要求在施工现场的发包人人员遵守法律及有关安全、质量、环境保护、文明施工等规定，并保障承包人免于承受因发包人人员未遵守上述要求给承包人造成的损失和责任。</w:t>
      </w:r>
    </w:p>
    <w:p w14:paraId="77C31B1F">
      <w:pPr>
        <w:snapToGrid/>
        <w:spacing w:line="576" w:lineRule="exact"/>
        <w:ind w:firstLine="64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发包人人员包括发包人代表及其他由发包人派驻施工现场的人员</w:t>
      </w:r>
      <w:bookmarkEnd w:id="372"/>
      <w:bookmarkEnd w:id="373"/>
      <w:bookmarkEnd w:id="374"/>
      <w:r>
        <w:rPr>
          <w:rFonts w:hint="eastAsia" w:ascii="仿宋_GB2312" w:hAnsi="仿宋_GB2312" w:eastAsia="仿宋_GB2312" w:cs="仿宋_GB2312"/>
          <w:color w:val="auto"/>
          <w:kern w:val="0"/>
          <w:sz w:val="32"/>
          <w:szCs w:val="32"/>
          <w:highlight w:val="none"/>
        </w:rPr>
        <w:t>。</w:t>
      </w:r>
      <w:bookmarkStart w:id="393" w:name="_Toc351203513"/>
    </w:p>
    <w:p w14:paraId="2C7D706E">
      <w:pPr>
        <w:spacing w:line="576" w:lineRule="exact"/>
        <w:ind w:firstLine="640" w:firstLineChars="200"/>
        <w:jc w:val="both"/>
        <w:outlineLvl w:val="2"/>
        <w:rPr>
          <w:rFonts w:hint="eastAsia" w:ascii="仿宋_GB2312" w:hAnsi="仿宋_GB2312" w:eastAsia="仿宋_GB2312" w:cs="仿宋_GB2312"/>
          <w:color w:val="auto"/>
          <w:sz w:val="32"/>
          <w:szCs w:val="32"/>
          <w:highlight w:val="none"/>
        </w:rPr>
      </w:pPr>
      <w:bookmarkStart w:id="394" w:name="_Toc296503040"/>
      <w:bookmarkStart w:id="395" w:name="_Toc337558741"/>
      <w:bookmarkStart w:id="396" w:name="_Toc296346541"/>
      <w:bookmarkStart w:id="397" w:name="_Toc20965"/>
      <w:bookmarkStart w:id="398" w:name="_Toc12421"/>
      <w:bookmarkStart w:id="399" w:name="_Toc19843"/>
      <w:bookmarkStart w:id="400" w:name="_Toc22843"/>
      <w:bookmarkStart w:id="401" w:name="_Toc8370"/>
      <w:bookmarkStart w:id="402" w:name="_Toc18430"/>
      <w:bookmarkStart w:id="403" w:name="_Toc21478"/>
      <w:bookmarkStart w:id="404" w:name="_Toc6488"/>
      <w:r>
        <w:rPr>
          <w:rFonts w:hint="eastAsia" w:ascii="仿宋_GB2312" w:hAnsi="仿宋_GB2312" w:eastAsia="仿宋_GB2312" w:cs="仿宋_GB2312"/>
          <w:color w:val="auto"/>
          <w:sz w:val="32"/>
          <w:szCs w:val="32"/>
          <w:highlight w:val="none"/>
        </w:rPr>
        <w:t>2.4 施工现场、施工条件和基础资料的提</w:t>
      </w:r>
      <w:bookmarkEnd w:id="393"/>
      <w:bookmarkEnd w:id="394"/>
      <w:bookmarkEnd w:id="395"/>
      <w:bookmarkEnd w:id="396"/>
      <w:r>
        <w:rPr>
          <w:rFonts w:hint="eastAsia" w:ascii="仿宋_GB2312" w:hAnsi="仿宋_GB2312" w:eastAsia="仿宋_GB2312" w:cs="仿宋_GB2312"/>
          <w:color w:val="auto"/>
          <w:sz w:val="32"/>
          <w:szCs w:val="32"/>
          <w:highlight w:val="none"/>
        </w:rPr>
        <w:t>供</w:t>
      </w:r>
      <w:bookmarkEnd w:id="397"/>
      <w:bookmarkEnd w:id="398"/>
      <w:bookmarkEnd w:id="399"/>
      <w:bookmarkEnd w:id="400"/>
      <w:bookmarkEnd w:id="401"/>
      <w:bookmarkEnd w:id="402"/>
      <w:bookmarkEnd w:id="403"/>
      <w:bookmarkEnd w:id="404"/>
    </w:p>
    <w:p w14:paraId="559401B2">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2.4.1 提供施工现场</w:t>
      </w:r>
    </w:p>
    <w:bookmarkEnd w:id="361"/>
    <w:bookmarkEnd w:id="362"/>
    <w:p w14:paraId="40B7FD73">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除专用合同条款另有约定外，发包人应最迟于开工日期7天前向承包人移交施工现场。</w:t>
      </w:r>
    </w:p>
    <w:p w14:paraId="1A2D3767">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2.4.2 提供施工条件</w:t>
      </w:r>
    </w:p>
    <w:p w14:paraId="655255FC">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除专用合同条款另有约定外，发包人应负责提供施工所需要的条件，包括：</w:t>
      </w:r>
    </w:p>
    <w:p w14:paraId="472BD2EE">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（1）将施工用水、电力、通讯线路等施工所必需的条件接至施工现场内；</w:t>
      </w:r>
    </w:p>
    <w:p w14:paraId="597156A8">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（2）保证向承包人提供正常施工所需要的进入施工现场的交通条件；</w:t>
      </w:r>
    </w:p>
    <w:p w14:paraId="58A7FABD">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（3）协调处理施工现场周围地下管线和邻近建筑物、构筑物、古树名木的保护工作，并承担相关费用；</w:t>
      </w:r>
    </w:p>
    <w:p w14:paraId="31D05519">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（4）按照专用合同条款约定应提供的其他设施和条件。</w:t>
      </w:r>
    </w:p>
    <w:p w14:paraId="409F9E60">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kern w:val="0"/>
          <w:sz w:val="32"/>
          <w:szCs w:val="32"/>
          <w:highlight w:val="none"/>
        </w:rPr>
        <w:t>2.4.3 提供基础资料</w:t>
      </w:r>
    </w:p>
    <w:p w14:paraId="4DBA5531">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发包人应当在移交施工现场前向承包人提供施工现场及工程施工所必需的毗邻区域内供水、排水、供电、供气、供热、通信、广播电视等地下管线资料，气象和水文观测资料，地质勘察资料，相邻建筑物、构筑物和地下工程等有关基础资料，并对所提供资料的真实性、准确性和完整性负责。</w:t>
      </w:r>
    </w:p>
    <w:p w14:paraId="3C10630E">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按照法律规定确需在开工后方能提供的基础资料，发包人应尽其努力及时地在相应工程施工前的合理期限内提供，合理期限应以不影响承包人的正常施工为限。</w:t>
      </w:r>
    </w:p>
    <w:p w14:paraId="1177C6EA">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2.4.4 逾期提供的责任</w:t>
      </w:r>
    </w:p>
    <w:p w14:paraId="4F13647E">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因发包人原因未能按合同约定及时向承包人提供施工现场、施工条件、基础资料的，由发包人承担由此增加的费用和（或）延误的工期。</w:t>
      </w:r>
      <w:bookmarkStart w:id="405" w:name="_Toc351203514"/>
    </w:p>
    <w:p w14:paraId="79D48871">
      <w:pPr>
        <w:spacing w:line="576" w:lineRule="exact"/>
        <w:ind w:firstLine="640" w:firstLineChars="200"/>
        <w:jc w:val="both"/>
        <w:outlineLvl w:val="2"/>
        <w:rPr>
          <w:rFonts w:hint="eastAsia" w:ascii="仿宋_GB2312" w:hAnsi="仿宋_GB2312" w:eastAsia="仿宋_GB2312" w:cs="仿宋_GB2312"/>
          <w:color w:val="auto"/>
          <w:sz w:val="32"/>
          <w:szCs w:val="32"/>
          <w:highlight w:val="none"/>
        </w:rPr>
      </w:pPr>
      <w:bookmarkStart w:id="406" w:name="_Toc337558745"/>
      <w:bookmarkStart w:id="407" w:name="_Toc296503042"/>
      <w:bookmarkStart w:id="408" w:name="_Toc296346543"/>
      <w:bookmarkStart w:id="409" w:name="_Toc27494"/>
      <w:bookmarkStart w:id="410" w:name="_Toc13060"/>
      <w:bookmarkStart w:id="411" w:name="_Toc17786"/>
      <w:bookmarkStart w:id="412" w:name="_Toc10380"/>
      <w:bookmarkStart w:id="413" w:name="_Toc4658"/>
      <w:bookmarkStart w:id="414" w:name="_Toc3828"/>
      <w:bookmarkStart w:id="415" w:name="_Toc13468"/>
      <w:bookmarkStart w:id="416" w:name="_Toc1505"/>
      <w:r>
        <w:rPr>
          <w:rFonts w:hint="eastAsia" w:ascii="仿宋_GB2312" w:hAnsi="仿宋_GB2312" w:eastAsia="仿宋_GB2312" w:cs="仿宋_GB2312"/>
          <w:color w:val="auto"/>
          <w:sz w:val="32"/>
          <w:szCs w:val="32"/>
          <w:highlight w:val="none"/>
        </w:rPr>
        <w:t xml:space="preserve">2.5 </w:t>
      </w:r>
      <w:bookmarkEnd w:id="406"/>
      <w:bookmarkEnd w:id="407"/>
      <w:bookmarkEnd w:id="408"/>
      <w:r>
        <w:rPr>
          <w:rFonts w:hint="eastAsia" w:ascii="仿宋_GB2312" w:hAnsi="仿宋_GB2312" w:eastAsia="仿宋_GB2312" w:cs="仿宋_GB2312"/>
          <w:color w:val="auto"/>
          <w:sz w:val="32"/>
          <w:szCs w:val="32"/>
          <w:highlight w:val="none"/>
        </w:rPr>
        <w:t>资金来源证明及支付担</w:t>
      </w:r>
      <w:bookmarkEnd w:id="405"/>
      <w:r>
        <w:rPr>
          <w:rFonts w:hint="eastAsia" w:ascii="仿宋_GB2312" w:hAnsi="仿宋_GB2312" w:eastAsia="仿宋_GB2312" w:cs="仿宋_GB2312"/>
          <w:color w:val="auto"/>
          <w:sz w:val="32"/>
          <w:szCs w:val="32"/>
          <w:highlight w:val="none"/>
        </w:rPr>
        <w:t>保</w:t>
      </w:r>
      <w:bookmarkEnd w:id="409"/>
      <w:bookmarkEnd w:id="410"/>
      <w:bookmarkEnd w:id="411"/>
      <w:bookmarkEnd w:id="412"/>
      <w:bookmarkEnd w:id="413"/>
      <w:bookmarkEnd w:id="414"/>
      <w:bookmarkEnd w:id="415"/>
      <w:bookmarkEnd w:id="416"/>
    </w:p>
    <w:p w14:paraId="04F35C0C">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除专用合同条款另有约定外，发包人应在收到承包人要求提供资金来源证明的书面通知后28天内，向承包人提供能够按照合同约定支付合同价款的相应资金来源证明。</w:t>
      </w:r>
    </w:p>
    <w:p w14:paraId="6D38BB47">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除专用合同条款另有约定外，发包人要求承包人提供履约担保的，发包人应当向承包人提供支付担保。支付担保可以采用银行保函或担保公司担保等形式，具体由合同当事人在专用合同条款中约定。</w:t>
      </w:r>
      <w:bookmarkStart w:id="417" w:name="_Toc351203515"/>
    </w:p>
    <w:p w14:paraId="15BEFCD2">
      <w:pPr>
        <w:spacing w:line="576" w:lineRule="exact"/>
        <w:ind w:firstLine="640" w:firstLineChars="200"/>
        <w:jc w:val="both"/>
        <w:outlineLvl w:val="2"/>
        <w:rPr>
          <w:rFonts w:hint="eastAsia" w:ascii="仿宋_GB2312" w:hAnsi="仿宋_GB2312" w:eastAsia="仿宋_GB2312" w:cs="仿宋_GB2312"/>
          <w:color w:val="auto"/>
          <w:sz w:val="32"/>
          <w:szCs w:val="32"/>
          <w:highlight w:val="none"/>
        </w:rPr>
      </w:pPr>
      <w:bookmarkStart w:id="418" w:name="_Toc8730"/>
      <w:bookmarkStart w:id="419" w:name="_Toc23796"/>
      <w:bookmarkStart w:id="420" w:name="_Toc12930"/>
      <w:bookmarkStart w:id="421" w:name="_Toc3216"/>
      <w:bookmarkStart w:id="422" w:name="_Toc30101"/>
      <w:bookmarkStart w:id="423" w:name="_Toc10630"/>
      <w:bookmarkStart w:id="424" w:name="_Toc18813"/>
      <w:bookmarkStart w:id="425" w:name="_Toc30916"/>
      <w:r>
        <w:rPr>
          <w:rFonts w:hint="eastAsia" w:ascii="仿宋_GB2312" w:hAnsi="仿宋_GB2312" w:eastAsia="仿宋_GB2312" w:cs="仿宋_GB2312"/>
          <w:color w:val="auto"/>
          <w:sz w:val="32"/>
          <w:szCs w:val="32"/>
          <w:highlight w:val="none"/>
        </w:rPr>
        <w:t>2.6 支付合同价</w:t>
      </w:r>
      <w:bookmarkEnd w:id="417"/>
      <w:r>
        <w:rPr>
          <w:rFonts w:hint="eastAsia" w:ascii="仿宋_GB2312" w:hAnsi="仿宋_GB2312" w:eastAsia="仿宋_GB2312" w:cs="仿宋_GB2312"/>
          <w:color w:val="auto"/>
          <w:sz w:val="32"/>
          <w:szCs w:val="32"/>
          <w:highlight w:val="none"/>
        </w:rPr>
        <w:t>款</w:t>
      </w:r>
      <w:bookmarkEnd w:id="418"/>
      <w:bookmarkEnd w:id="419"/>
      <w:bookmarkEnd w:id="420"/>
      <w:bookmarkEnd w:id="421"/>
      <w:bookmarkEnd w:id="422"/>
      <w:bookmarkEnd w:id="423"/>
      <w:bookmarkEnd w:id="424"/>
      <w:bookmarkEnd w:id="425"/>
    </w:p>
    <w:p w14:paraId="1A456FA3">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发包人应按合同约定向承包人及时支付合同价款。</w:t>
      </w:r>
      <w:bookmarkStart w:id="426" w:name="_Toc351203516"/>
    </w:p>
    <w:p w14:paraId="40C276FF">
      <w:pPr>
        <w:spacing w:line="576" w:lineRule="exact"/>
        <w:ind w:firstLine="640" w:firstLineChars="200"/>
        <w:jc w:val="both"/>
        <w:outlineLvl w:val="2"/>
        <w:rPr>
          <w:rFonts w:hint="eastAsia" w:ascii="仿宋_GB2312" w:hAnsi="仿宋_GB2312" w:eastAsia="仿宋_GB2312" w:cs="仿宋_GB2312"/>
          <w:color w:val="auto"/>
          <w:sz w:val="32"/>
          <w:szCs w:val="32"/>
          <w:highlight w:val="none"/>
        </w:rPr>
      </w:pPr>
      <w:bookmarkStart w:id="427" w:name="_Toc26327"/>
      <w:bookmarkStart w:id="428" w:name="_Toc31185"/>
      <w:bookmarkStart w:id="429" w:name="_Toc8801"/>
      <w:bookmarkStart w:id="430" w:name="_Toc28156"/>
      <w:bookmarkStart w:id="431" w:name="_Toc22656"/>
      <w:bookmarkStart w:id="432" w:name="_Toc29393"/>
      <w:bookmarkStart w:id="433" w:name="_Toc28153"/>
      <w:bookmarkStart w:id="434" w:name="_Toc23634"/>
      <w:r>
        <w:rPr>
          <w:rFonts w:hint="eastAsia" w:ascii="仿宋_GB2312" w:hAnsi="仿宋_GB2312" w:eastAsia="仿宋_GB2312" w:cs="仿宋_GB2312"/>
          <w:color w:val="auto"/>
          <w:sz w:val="32"/>
          <w:szCs w:val="32"/>
          <w:highlight w:val="none"/>
        </w:rPr>
        <w:t>2.7 组织竣工验</w:t>
      </w:r>
      <w:bookmarkEnd w:id="426"/>
      <w:r>
        <w:rPr>
          <w:rFonts w:hint="eastAsia" w:ascii="仿宋_GB2312" w:hAnsi="仿宋_GB2312" w:eastAsia="仿宋_GB2312" w:cs="仿宋_GB2312"/>
          <w:color w:val="auto"/>
          <w:sz w:val="32"/>
          <w:szCs w:val="32"/>
          <w:highlight w:val="none"/>
        </w:rPr>
        <w:t>收</w:t>
      </w:r>
      <w:bookmarkEnd w:id="427"/>
      <w:bookmarkEnd w:id="428"/>
      <w:bookmarkEnd w:id="429"/>
      <w:bookmarkEnd w:id="430"/>
      <w:bookmarkEnd w:id="431"/>
      <w:bookmarkEnd w:id="432"/>
      <w:bookmarkEnd w:id="433"/>
      <w:bookmarkEnd w:id="434"/>
    </w:p>
    <w:p w14:paraId="06E2A60D">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发包人应按合同约定及时组织竣工验收。</w:t>
      </w:r>
      <w:bookmarkStart w:id="435" w:name="_Toc351203517"/>
    </w:p>
    <w:p w14:paraId="5715DC06">
      <w:pPr>
        <w:spacing w:line="576" w:lineRule="exact"/>
        <w:ind w:firstLine="640" w:firstLineChars="200"/>
        <w:jc w:val="both"/>
        <w:outlineLvl w:val="2"/>
        <w:rPr>
          <w:rFonts w:hint="eastAsia" w:ascii="仿宋_GB2312" w:hAnsi="仿宋_GB2312" w:eastAsia="仿宋_GB2312" w:cs="仿宋_GB2312"/>
          <w:color w:val="auto"/>
          <w:sz w:val="32"/>
          <w:szCs w:val="32"/>
          <w:highlight w:val="none"/>
        </w:rPr>
      </w:pPr>
      <w:bookmarkStart w:id="436" w:name="_Toc17303"/>
      <w:bookmarkStart w:id="437" w:name="_Toc19022"/>
      <w:bookmarkStart w:id="438" w:name="_Toc32377"/>
      <w:bookmarkStart w:id="439" w:name="_Toc31054"/>
      <w:bookmarkStart w:id="440" w:name="_Toc4041"/>
      <w:bookmarkStart w:id="441" w:name="_Toc24846"/>
      <w:bookmarkStart w:id="442" w:name="_Toc20295"/>
      <w:bookmarkStart w:id="443" w:name="_Toc3061"/>
      <w:r>
        <w:rPr>
          <w:rFonts w:hint="eastAsia" w:ascii="仿宋_GB2312" w:hAnsi="仿宋_GB2312" w:eastAsia="仿宋_GB2312" w:cs="仿宋_GB2312"/>
          <w:color w:val="auto"/>
          <w:sz w:val="32"/>
          <w:szCs w:val="32"/>
          <w:highlight w:val="none"/>
        </w:rPr>
        <w:t>2.8 现场统一管理协</w:t>
      </w:r>
      <w:bookmarkEnd w:id="435"/>
      <w:r>
        <w:rPr>
          <w:rFonts w:hint="eastAsia" w:ascii="仿宋_GB2312" w:hAnsi="仿宋_GB2312" w:eastAsia="仿宋_GB2312" w:cs="仿宋_GB2312"/>
          <w:color w:val="auto"/>
          <w:sz w:val="32"/>
          <w:szCs w:val="32"/>
          <w:highlight w:val="none"/>
        </w:rPr>
        <w:t>议</w:t>
      </w:r>
      <w:bookmarkEnd w:id="436"/>
      <w:bookmarkEnd w:id="437"/>
      <w:bookmarkEnd w:id="438"/>
      <w:bookmarkEnd w:id="439"/>
      <w:bookmarkEnd w:id="440"/>
      <w:bookmarkEnd w:id="441"/>
      <w:bookmarkEnd w:id="442"/>
      <w:bookmarkEnd w:id="443"/>
    </w:p>
    <w:p w14:paraId="24A0E3E6">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发包人应与承包人、由发包人直接发包的专业工程的承包人签订施工现场统一管理协议，明确各方的权利义务。施工现场统一管理协议作为专用合同条款的附件。</w:t>
      </w:r>
      <w:bookmarkStart w:id="444" w:name="_Toc351203518"/>
    </w:p>
    <w:p w14:paraId="4144808E">
      <w:pPr>
        <w:spacing w:line="576" w:lineRule="exact"/>
        <w:jc w:val="both"/>
        <w:outlineLvl w:val="1"/>
        <w:rPr>
          <w:rFonts w:hint="eastAsia" w:ascii="仿宋_GB2312" w:hAnsi="仿宋_GB2312" w:eastAsia="仿宋_GB2312" w:cs="仿宋_GB2312"/>
          <w:color w:val="auto"/>
          <w:sz w:val="32"/>
          <w:szCs w:val="32"/>
          <w:highlight w:val="none"/>
        </w:rPr>
      </w:pPr>
      <w:bookmarkStart w:id="445" w:name="_Toc12638"/>
      <w:bookmarkStart w:id="446" w:name="_Toc7601"/>
      <w:bookmarkStart w:id="447" w:name="_Toc296503045"/>
      <w:bookmarkStart w:id="448" w:name="_Toc296346546"/>
      <w:bookmarkStart w:id="449" w:name="_Toc3974"/>
      <w:bookmarkStart w:id="450" w:name="_Toc24716"/>
      <w:bookmarkStart w:id="451" w:name="_Toc16765"/>
      <w:bookmarkStart w:id="452" w:name="_Toc31946"/>
      <w:bookmarkStart w:id="453" w:name="_Toc337558746"/>
      <w:bookmarkStart w:id="454" w:name="_Toc345"/>
      <w:bookmarkStart w:id="455" w:name="_Toc15175"/>
      <w:bookmarkStart w:id="456" w:name="_Toc590"/>
      <w:bookmarkStart w:id="457" w:name="_Toc18723"/>
      <w:r>
        <w:rPr>
          <w:rFonts w:hint="eastAsia" w:ascii="仿宋_GB2312" w:hAnsi="仿宋_GB2312" w:eastAsia="仿宋_GB2312" w:cs="仿宋_GB2312"/>
          <w:color w:val="auto"/>
          <w:sz w:val="32"/>
          <w:szCs w:val="32"/>
          <w:highlight w:val="none"/>
        </w:rPr>
        <w:t>3. 承包</w:t>
      </w:r>
      <w:bookmarkEnd w:id="444"/>
      <w:r>
        <w:rPr>
          <w:rFonts w:hint="eastAsia" w:ascii="仿宋_GB2312" w:hAnsi="仿宋_GB2312" w:eastAsia="仿宋_GB2312" w:cs="仿宋_GB2312"/>
          <w:color w:val="auto"/>
          <w:sz w:val="32"/>
          <w:szCs w:val="32"/>
          <w:highlight w:val="none"/>
        </w:rPr>
        <w:t>人</w:t>
      </w:r>
      <w:bookmarkEnd w:id="445"/>
      <w:bookmarkEnd w:id="446"/>
      <w:bookmarkEnd w:id="447"/>
      <w:bookmarkEnd w:id="448"/>
      <w:bookmarkEnd w:id="449"/>
      <w:bookmarkEnd w:id="450"/>
      <w:bookmarkEnd w:id="451"/>
      <w:bookmarkEnd w:id="452"/>
      <w:bookmarkEnd w:id="453"/>
      <w:bookmarkEnd w:id="454"/>
      <w:bookmarkEnd w:id="455"/>
      <w:bookmarkEnd w:id="456"/>
      <w:bookmarkEnd w:id="457"/>
      <w:bookmarkStart w:id="458" w:name="_Toc351203519"/>
    </w:p>
    <w:p w14:paraId="30A06E4A">
      <w:pPr>
        <w:spacing w:line="576" w:lineRule="exact"/>
        <w:ind w:firstLine="640" w:firstLineChars="200"/>
        <w:jc w:val="both"/>
        <w:outlineLvl w:val="2"/>
        <w:rPr>
          <w:rFonts w:hint="eastAsia" w:ascii="仿宋_GB2312" w:hAnsi="仿宋_GB2312" w:eastAsia="仿宋_GB2312" w:cs="仿宋_GB2312"/>
          <w:color w:val="auto"/>
          <w:sz w:val="32"/>
          <w:szCs w:val="32"/>
          <w:highlight w:val="none"/>
        </w:rPr>
      </w:pPr>
      <w:bookmarkStart w:id="459" w:name="_Toc27681"/>
      <w:bookmarkStart w:id="460" w:name="_Toc25046"/>
      <w:bookmarkStart w:id="461" w:name="_Toc6833"/>
      <w:bookmarkStart w:id="462" w:name="_Toc337558747"/>
      <w:bookmarkStart w:id="463" w:name="_Toc296503046"/>
      <w:bookmarkStart w:id="464" w:name="_Toc296346547"/>
      <w:bookmarkStart w:id="465" w:name="_Toc3935"/>
      <w:bookmarkStart w:id="466" w:name="_Toc17538"/>
      <w:bookmarkStart w:id="467" w:name="_Toc12182"/>
      <w:bookmarkStart w:id="468" w:name="_Toc5033"/>
      <w:bookmarkStart w:id="469" w:name="_Toc31998"/>
      <w:r>
        <w:rPr>
          <w:rFonts w:hint="eastAsia" w:ascii="仿宋_GB2312" w:hAnsi="仿宋_GB2312" w:eastAsia="仿宋_GB2312" w:cs="仿宋_GB2312"/>
          <w:color w:val="auto"/>
          <w:sz w:val="32"/>
          <w:szCs w:val="32"/>
          <w:highlight w:val="none"/>
        </w:rPr>
        <w:t>3.1 承包人的一般义</w:t>
      </w:r>
      <w:bookmarkEnd w:id="458"/>
      <w:r>
        <w:rPr>
          <w:rFonts w:hint="eastAsia" w:ascii="仿宋_GB2312" w:hAnsi="仿宋_GB2312" w:eastAsia="仿宋_GB2312" w:cs="仿宋_GB2312"/>
          <w:color w:val="auto"/>
          <w:sz w:val="32"/>
          <w:szCs w:val="32"/>
          <w:highlight w:val="none"/>
        </w:rPr>
        <w:t>务</w:t>
      </w:r>
      <w:bookmarkEnd w:id="459"/>
      <w:bookmarkEnd w:id="460"/>
      <w:bookmarkEnd w:id="461"/>
      <w:bookmarkEnd w:id="462"/>
      <w:bookmarkEnd w:id="463"/>
      <w:bookmarkEnd w:id="464"/>
      <w:bookmarkEnd w:id="465"/>
      <w:bookmarkEnd w:id="466"/>
      <w:bookmarkEnd w:id="467"/>
      <w:bookmarkEnd w:id="468"/>
      <w:bookmarkEnd w:id="469"/>
    </w:p>
    <w:p w14:paraId="28D43528">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承包人在履行合同过程中应遵守法律和工程建设标准规范，并履行以下义务：</w:t>
      </w:r>
    </w:p>
    <w:p w14:paraId="2DD6EAEB">
      <w:pPr>
        <w:numPr>
          <w:ilvl w:val="0"/>
          <w:numId w:val="2"/>
        </w:num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办理法律规定应由承包人办理的许可和批准，并将办理结果书面报送发包人留存；</w:t>
      </w:r>
    </w:p>
    <w:p w14:paraId="435C478F">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（2）按法律规定和合同约定完成工程，并在保修期内承担保修义务；</w:t>
      </w:r>
    </w:p>
    <w:p w14:paraId="70950616">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（3）按法律规定和合同约定采取施工安全和环境保护措施，办理工伤保险，确保工程及人员、材料、设备和设施的安全；</w:t>
      </w:r>
    </w:p>
    <w:p w14:paraId="224435EA">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（4）按合同约定的工作内容和施工进度要求，编制施工组织设计和施工措施计划，并对所有施工作业和施工方法的完备性和安全可靠性负责；</w:t>
      </w:r>
    </w:p>
    <w:p w14:paraId="1FEE8DC7">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5）在进行合同约定的各项工作时，不得侵害发包人与他人使用公用道路、水源、市政管网等公共设施的权利，避免对邻近的公共设施产生干扰。承包人占用或使用他人的施工场地，影响他人作业或生活的，应承担相应责任；</w:t>
      </w:r>
    </w:p>
    <w:p w14:paraId="7BF1E286">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（6）按照第6.3款〔环境保护〕约定负责施工场地及其周边环境与生态的保护工作；</w:t>
      </w:r>
    </w:p>
    <w:p w14:paraId="572F832C">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（7）按第6.1款〔安全文明施工〕约定采取施工安全措施，确保工程及其人员、材料、设备和设施的安全，防止因工程施工造成的人身伤害和财产损失；</w:t>
      </w:r>
    </w:p>
    <w:p w14:paraId="1A836B70">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（8）将发包人按合同约定支付的各项价款专用于合同工程，且应及时支付其雇用人员工资，并及时向分包人支付合同价款；</w:t>
      </w:r>
    </w:p>
    <w:p w14:paraId="14CCABBE">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（9）按照法律规定和合同约定编制竣工资料，完成竣工资料立卷及归档，并按专用合同条款约定的竣工资料的套数、内容、时间等要求移交发包人；</w:t>
      </w:r>
    </w:p>
    <w:p w14:paraId="7B5D2835">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（10）应履行的其他义务。</w:t>
      </w:r>
      <w:bookmarkStart w:id="470" w:name="_Toc351203520"/>
    </w:p>
    <w:p w14:paraId="49C9AB96">
      <w:pPr>
        <w:spacing w:line="576" w:lineRule="exact"/>
        <w:ind w:firstLine="640" w:firstLineChars="200"/>
        <w:jc w:val="both"/>
        <w:outlineLvl w:val="2"/>
        <w:rPr>
          <w:rFonts w:hint="eastAsia" w:ascii="仿宋_GB2312" w:hAnsi="仿宋_GB2312" w:eastAsia="仿宋_GB2312" w:cs="仿宋_GB2312"/>
          <w:color w:val="auto"/>
          <w:sz w:val="32"/>
          <w:szCs w:val="32"/>
          <w:highlight w:val="none"/>
        </w:rPr>
      </w:pPr>
      <w:bookmarkStart w:id="471" w:name="_Toc11326"/>
      <w:bookmarkStart w:id="472" w:name="_Toc14355"/>
      <w:bookmarkStart w:id="473" w:name="_Toc296503047"/>
      <w:bookmarkStart w:id="474" w:name="_Toc24791"/>
      <w:bookmarkStart w:id="475" w:name="_Toc11755"/>
      <w:bookmarkStart w:id="476" w:name="_Toc20658"/>
      <w:bookmarkStart w:id="477" w:name="_Toc7702"/>
      <w:bookmarkStart w:id="478" w:name="_Toc337558748"/>
      <w:bookmarkStart w:id="479" w:name="_Toc8502"/>
      <w:bookmarkStart w:id="480" w:name="_Toc3791"/>
      <w:bookmarkStart w:id="481" w:name="_Toc296346548"/>
      <w:r>
        <w:rPr>
          <w:rFonts w:hint="eastAsia" w:ascii="仿宋_GB2312" w:hAnsi="仿宋_GB2312" w:eastAsia="仿宋_GB2312" w:cs="仿宋_GB2312"/>
          <w:color w:val="auto"/>
          <w:sz w:val="32"/>
          <w:szCs w:val="32"/>
          <w:highlight w:val="none"/>
        </w:rPr>
        <w:t>3.2</w:t>
      </w:r>
      <w:bookmarkEnd w:id="470"/>
      <w:r>
        <w:rPr>
          <w:rFonts w:hint="eastAsia" w:ascii="仿宋_GB2312" w:hAnsi="仿宋_GB2312" w:eastAsia="仿宋_GB2312" w:cs="仿宋_GB2312"/>
          <w:color w:val="auto"/>
          <w:sz w:val="32"/>
          <w:szCs w:val="32"/>
          <w:highlight w:val="none"/>
        </w:rPr>
        <w:t xml:space="preserve"> 项目经理</w:t>
      </w:r>
      <w:bookmarkEnd w:id="471"/>
      <w:bookmarkEnd w:id="472"/>
      <w:bookmarkEnd w:id="473"/>
      <w:bookmarkEnd w:id="474"/>
      <w:bookmarkEnd w:id="475"/>
      <w:bookmarkEnd w:id="476"/>
      <w:bookmarkEnd w:id="477"/>
      <w:bookmarkEnd w:id="478"/>
      <w:bookmarkEnd w:id="479"/>
      <w:bookmarkEnd w:id="480"/>
      <w:bookmarkEnd w:id="481"/>
    </w:p>
    <w:p w14:paraId="5D229DEA">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3.2.1 项目经理应为合同当事人所确认的人选，并在专用合同条款中明确项目经理的姓名、职称、注册执业证书编号、联系方式及授权范围等事项，项目经理经承包人授权后代表承包人负责履行合同。项目经理应是承包人正式聘用的员工，承包人应向发包人提交项目经理与承包人之间的劳动合同，以及承包人为项目经理缴纳社会保险的有效证明。承包人不提交上述文件的，项目经理无权履行职责，发包人有权要求更换项目经理，由此增加的费用和（或）延误的工期由承包人承担。</w:t>
      </w:r>
    </w:p>
    <w:p w14:paraId="46385B12">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项目经理应常驻施工现场，且每月在施工现场时间不得少于专用合同条款约定的天数。项目经理不得同时担任其他项目的项目经理。项目经理确需离开施工现场时，应事先通知监理人，并取得发包人的书面同意。项目经理的通知中应当载明临时代行其职责的人员的注册执业资格、管理经验等资料，该人员应具备履行相应职责的能力。</w:t>
      </w:r>
    </w:p>
    <w:p w14:paraId="3141520C">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承包人违反上述约定的，应按照专用合同条款的约定，承担违约责任。</w:t>
      </w:r>
    </w:p>
    <w:p w14:paraId="027D27DA">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3.2.2 项目经理按合同约定组织工程实施。在紧急情况下为确保施工安全和人员安全，在无法与发包人代表和总监理工程师及时取得联系时，项目经理有权采取必要的措施保证与工程有关的人身、财产和工程的安全，但应在48小时内向发包人代表和总监理工程师提交书面报告。</w:t>
      </w:r>
    </w:p>
    <w:p w14:paraId="38CE131C">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3.2.3 承包人需要更换项目经理的，应提前14天书面通知发包人和监理人，并征得发包人书面同意。通知中应当载明继任项目经理的注册执业资格、管理经验等资料，继任项目经理继续履行第3.2.1项约定的职责。未经发包人书面同意，承包人不得擅自更换项目经理。承包人擅自更换项目经理的，应按照专用合同条款的约定承担违约责任。</w:t>
      </w:r>
    </w:p>
    <w:p w14:paraId="4CB0BFE3">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3.2.4 发包人有权书面通知承包人更换其认为不称职的项目经理，通知中应当载明要求更换的理由。承包人应在接到更换通知后14天内向发包人提出书面的改进报告。发包人收到改进报告后仍要求更换的，承包人应在接到第二次更换通知的28天内进行更换，并将新任命的项目经理的注册执业资格、管理经验等资料书面通知发包人。继任项目经理继续履行第3.2.1项约定的职责。承包人无正当理由拒绝更换项目经理的，应按照专用合同条款的约定承担违约责任。</w:t>
      </w:r>
    </w:p>
    <w:p w14:paraId="0F3020FB">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3.2.5 项目经理因特殊情况授权其下属人员履行其某项工作职责的，该下属人员应具备履行相应职责的能力，并应提前7天将上述人员的姓名和授权范围书面通知监理人，并征得发包人书面同意。</w:t>
      </w:r>
      <w:bookmarkStart w:id="482" w:name="_Toc351203521"/>
    </w:p>
    <w:p w14:paraId="0017E08A">
      <w:pPr>
        <w:spacing w:line="576" w:lineRule="exact"/>
        <w:ind w:firstLine="640" w:firstLineChars="200"/>
        <w:jc w:val="both"/>
        <w:outlineLvl w:val="2"/>
        <w:rPr>
          <w:rFonts w:hint="eastAsia" w:ascii="仿宋_GB2312" w:hAnsi="仿宋_GB2312" w:eastAsia="仿宋_GB2312" w:cs="仿宋_GB2312"/>
          <w:color w:val="auto"/>
          <w:sz w:val="32"/>
          <w:szCs w:val="32"/>
          <w:highlight w:val="none"/>
        </w:rPr>
      </w:pPr>
      <w:bookmarkStart w:id="483" w:name="_Toc296503048"/>
      <w:bookmarkStart w:id="484" w:name="_Toc296346549"/>
      <w:bookmarkStart w:id="485" w:name="_Toc15027"/>
      <w:bookmarkStart w:id="486" w:name="_Toc11252"/>
      <w:bookmarkStart w:id="487" w:name="_Toc29239"/>
      <w:bookmarkStart w:id="488" w:name="_Toc12027"/>
      <w:bookmarkStart w:id="489" w:name="_Toc12540"/>
      <w:bookmarkStart w:id="490" w:name="_Toc29197"/>
      <w:bookmarkStart w:id="491" w:name="_Toc584"/>
      <w:bookmarkStart w:id="492" w:name="_Toc7459"/>
      <w:bookmarkStart w:id="493" w:name="_Toc337558749"/>
      <w:r>
        <w:rPr>
          <w:rFonts w:hint="eastAsia" w:ascii="仿宋_GB2312" w:hAnsi="仿宋_GB2312" w:eastAsia="仿宋_GB2312" w:cs="仿宋_GB2312"/>
          <w:color w:val="auto"/>
          <w:sz w:val="32"/>
          <w:szCs w:val="32"/>
          <w:highlight w:val="none"/>
        </w:rPr>
        <w:t>3.3</w:t>
      </w:r>
      <w:bookmarkEnd w:id="483"/>
      <w:bookmarkEnd w:id="484"/>
      <w:r>
        <w:rPr>
          <w:rFonts w:hint="eastAsia" w:ascii="仿宋_GB2312" w:hAnsi="仿宋_GB2312" w:eastAsia="仿宋_GB2312" w:cs="仿宋_GB2312"/>
          <w:color w:val="auto"/>
          <w:sz w:val="32"/>
          <w:szCs w:val="32"/>
          <w:highlight w:val="none"/>
        </w:rPr>
        <w:t xml:space="preserve"> 承包人人</w:t>
      </w:r>
      <w:bookmarkEnd w:id="482"/>
      <w:r>
        <w:rPr>
          <w:rFonts w:hint="eastAsia" w:ascii="仿宋_GB2312" w:hAnsi="仿宋_GB2312" w:eastAsia="仿宋_GB2312" w:cs="仿宋_GB2312"/>
          <w:color w:val="auto"/>
          <w:sz w:val="32"/>
          <w:szCs w:val="32"/>
          <w:highlight w:val="none"/>
        </w:rPr>
        <w:t>员</w:t>
      </w:r>
      <w:bookmarkEnd w:id="485"/>
      <w:bookmarkEnd w:id="486"/>
      <w:bookmarkEnd w:id="487"/>
      <w:bookmarkEnd w:id="488"/>
      <w:bookmarkEnd w:id="489"/>
      <w:bookmarkEnd w:id="490"/>
      <w:bookmarkEnd w:id="491"/>
      <w:bookmarkEnd w:id="492"/>
      <w:bookmarkEnd w:id="493"/>
    </w:p>
    <w:p w14:paraId="0DD00079">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3.3.1 除专用合同条款另有约定外，承包人应在接到开工通知后7天内，向监理人提交承包人项目管理机构及施工现场人员安排的报告，其内容应包括合同管理、施工、技术、材料、质量、安全、财务等主要施工管理人员名单及其岗位、注册执业资格等，以及各工种技术工人的安排情况，并同时提交主要施工管理人员与承包人之间的劳动关系证明和缴纳社会保险的有效证明。</w:t>
      </w:r>
    </w:p>
    <w:p w14:paraId="17B146B6">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3.3.2 承包人派驻到施工现场的主要施工管理人员应相对稳定。施工过程中如有变动，承包人应及时向监理人提交施工现场人员变动情况的报告。承包人更换主要施工管理人员时，应提前7天书面通知监理人，并征得发包人书面同意。通知中应当载明继任人员的注册执业资格、管理经验等资料。</w:t>
      </w:r>
    </w:p>
    <w:p w14:paraId="31071410">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特殊工种作业人员均应持有相应的资格证明，监理人可以随时检查。</w:t>
      </w:r>
    </w:p>
    <w:p w14:paraId="23D49DDA">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3.3.3 发包人对于承包人主要施工管理人员的资格或能力有异议的，承包人应提供资料证明被质疑人员有能力完成其岗位工作或不存在发包人所质疑的情形。发包人要求撤换不能按照合同约定履行职责及义务的主要施工管理人员的，承包人应当撤换。承包人无正当理由拒绝撤换的，应按照专用合同条款的约定承担违约责任。</w:t>
      </w:r>
    </w:p>
    <w:p w14:paraId="0564080D">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3.3.4 除专用合同条款另有约定外，承包人的主要施工管理人员离开施工现场每月累计不超过5天的，应报监理人同意；离开施工现场每月累计超过5天的，应通知监理人，并征得发包人书面同意。主要施工管理人员离开施工现场前应指定一名有经验的人员临时代行其职责，该人员应具备履行相应职责的资格和能力，且应征得监理人或发包人的同意。</w:t>
      </w:r>
    </w:p>
    <w:p w14:paraId="07AFD2C0">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3.3.5 承包人擅自更换主要施工管理人员，或前述人员未经监理人或发包人同意擅自离开施工现场的，应按照专用合同条款约定承担违约责任。</w:t>
      </w:r>
      <w:bookmarkStart w:id="494" w:name="_Toc351203522"/>
    </w:p>
    <w:p w14:paraId="1644FF37">
      <w:pPr>
        <w:spacing w:line="576" w:lineRule="exact"/>
        <w:ind w:firstLine="640" w:firstLineChars="200"/>
        <w:jc w:val="both"/>
        <w:outlineLvl w:val="2"/>
        <w:rPr>
          <w:rFonts w:hint="eastAsia" w:ascii="仿宋_GB2312" w:hAnsi="仿宋_GB2312" w:eastAsia="仿宋_GB2312" w:cs="仿宋_GB2312"/>
          <w:color w:val="auto"/>
          <w:sz w:val="32"/>
          <w:szCs w:val="32"/>
          <w:highlight w:val="none"/>
        </w:rPr>
      </w:pPr>
      <w:bookmarkStart w:id="495" w:name="_Toc31271"/>
      <w:bookmarkStart w:id="496" w:name="_Toc9966"/>
      <w:bookmarkStart w:id="497" w:name="_Toc296346551"/>
      <w:bookmarkStart w:id="498" w:name="_Toc31288"/>
      <w:bookmarkStart w:id="499" w:name="_Toc8886"/>
      <w:bookmarkStart w:id="500" w:name="_Toc14153"/>
      <w:bookmarkStart w:id="501" w:name="_Toc337558750"/>
      <w:bookmarkStart w:id="502" w:name="_Toc29949"/>
      <w:bookmarkStart w:id="503" w:name="_Toc296503050"/>
      <w:bookmarkStart w:id="504" w:name="_Toc28674"/>
      <w:bookmarkStart w:id="505" w:name="_Toc13739"/>
      <w:r>
        <w:rPr>
          <w:rFonts w:hint="eastAsia" w:ascii="仿宋_GB2312" w:hAnsi="仿宋_GB2312" w:eastAsia="仿宋_GB2312" w:cs="仿宋_GB2312"/>
          <w:color w:val="auto"/>
          <w:sz w:val="32"/>
          <w:szCs w:val="32"/>
          <w:highlight w:val="none"/>
        </w:rPr>
        <w:t>3.4 承包人现场查</w:t>
      </w:r>
      <w:bookmarkEnd w:id="494"/>
      <w:r>
        <w:rPr>
          <w:rFonts w:hint="eastAsia" w:ascii="仿宋_GB2312" w:hAnsi="仿宋_GB2312" w:eastAsia="仿宋_GB2312" w:cs="仿宋_GB2312"/>
          <w:color w:val="auto"/>
          <w:sz w:val="32"/>
          <w:szCs w:val="32"/>
          <w:highlight w:val="none"/>
        </w:rPr>
        <w:t>勘</w:t>
      </w:r>
      <w:bookmarkEnd w:id="495"/>
      <w:bookmarkEnd w:id="496"/>
      <w:bookmarkEnd w:id="497"/>
      <w:bookmarkEnd w:id="498"/>
      <w:bookmarkEnd w:id="499"/>
      <w:bookmarkEnd w:id="500"/>
      <w:bookmarkEnd w:id="501"/>
      <w:bookmarkEnd w:id="502"/>
      <w:bookmarkEnd w:id="503"/>
      <w:bookmarkEnd w:id="504"/>
      <w:bookmarkEnd w:id="505"/>
    </w:p>
    <w:p w14:paraId="210CE1D5">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kern w:val="0"/>
          <w:sz w:val="32"/>
          <w:szCs w:val="32"/>
          <w:highlight w:val="none"/>
        </w:rPr>
        <w:t>承包人应对基于发包人按照第2.4.3项〔提供基础资料〕提交的基础资料所做出的解释和推断负责，但因基础资料存在错误、遗漏导致承包人解释或推断失实的，由发包人承担责任。</w:t>
      </w:r>
    </w:p>
    <w:p w14:paraId="5EECC33B">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承包人应对施工现场和施工条件进行查勘，并充分了解工程所在地的气象条件、交通条件、风俗习惯以及其他与完成合同工作有关的其他资料。因承包人未能充分查勘、了解前述情况或未能充分估计前述情况所可能产生后果的，承包人承担由此增加的费用和（或）延误的工期。</w:t>
      </w:r>
      <w:bookmarkStart w:id="506" w:name="_Toc351203523"/>
    </w:p>
    <w:p w14:paraId="54311FA0">
      <w:pPr>
        <w:spacing w:line="576" w:lineRule="exact"/>
        <w:ind w:firstLine="640" w:firstLineChars="200"/>
        <w:jc w:val="both"/>
        <w:outlineLvl w:val="2"/>
        <w:rPr>
          <w:rFonts w:hint="eastAsia" w:ascii="仿宋_GB2312" w:hAnsi="仿宋_GB2312" w:eastAsia="仿宋_GB2312" w:cs="仿宋_GB2312"/>
          <w:color w:val="auto"/>
          <w:sz w:val="32"/>
          <w:szCs w:val="32"/>
          <w:highlight w:val="none"/>
        </w:rPr>
      </w:pPr>
      <w:bookmarkStart w:id="507" w:name="_Toc6149"/>
      <w:bookmarkStart w:id="508" w:name="_Toc2463"/>
      <w:bookmarkStart w:id="509" w:name="_Toc337558751"/>
      <w:bookmarkStart w:id="510" w:name="_Toc20079"/>
      <w:bookmarkStart w:id="511" w:name="_Toc296503051"/>
      <w:bookmarkStart w:id="512" w:name="_Toc296346552"/>
      <w:bookmarkStart w:id="513" w:name="_Toc22797"/>
      <w:bookmarkStart w:id="514" w:name="_Toc17813"/>
      <w:bookmarkStart w:id="515" w:name="_Toc10178"/>
      <w:bookmarkStart w:id="516" w:name="_Toc12454"/>
      <w:bookmarkStart w:id="517" w:name="_Toc13503"/>
      <w:r>
        <w:rPr>
          <w:rFonts w:hint="eastAsia" w:ascii="仿宋_GB2312" w:hAnsi="仿宋_GB2312" w:eastAsia="仿宋_GB2312" w:cs="仿宋_GB2312"/>
          <w:color w:val="auto"/>
          <w:sz w:val="32"/>
          <w:szCs w:val="32"/>
          <w:highlight w:val="none"/>
        </w:rPr>
        <w:t>3.5 分</w:t>
      </w:r>
      <w:bookmarkEnd w:id="506"/>
      <w:r>
        <w:rPr>
          <w:rFonts w:hint="eastAsia" w:ascii="仿宋_GB2312" w:hAnsi="仿宋_GB2312" w:eastAsia="仿宋_GB2312" w:cs="仿宋_GB2312"/>
          <w:color w:val="auto"/>
          <w:sz w:val="32"/>
          <w:szCs w:val="32"/>
          <w:highlight w:val="none"/>
        </w:rPr>
        <w:t>包</w:t>
      </w:r>
      <w:bookmarkEnd w:id="507"/>
      <w:bookmarkEnd w:id="508"/>
      <w:bookmarkEnd w:id="509"/>
      <w:bookmarkEnd w:id="510"/>
      <w:bookmarkEnd w:id="511"/>
      <w:bookmarkEnd w:id="512"/>
      <w:bookmarkEnd w:id="513"/>
      <w:bookmarkEnd w:id="514"/>
      <w:bookmarkEnd w:id="515"/>
      <w:bookmarkEnd w:id="516"/>
      <w:bookmarkEnd w:id="517"/>
    </w:p>
    <w:p w14:paraId="5B9B3D36">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3.5.1 分包的一般约定</w:t>
      </w:r>
    </w:p>
    <w:p w14:paraId="536145EE">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承包人不得将其承包的全部工程转包给第三人，或将其承包的全部工程肢解后以分包的名义转包给第三人。承包人不得将工程主体结构、关键性工作及专用合同条款中禁止分包的专业工程分包给第三人，主体结构、关键性工作的范围由合同当事人按照法律规定在专用合同条款中予以明确。</w:t>
      </w:r>
    </w:p>
    <w:p w14:paraId="5433203F">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承包人不得以劳务分包的名义转包或违法分包工程。</w:t>
      </w:r>
    </w:p>
    <w:p w14:paraId="6B9AD080">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3.5.2 分包的确定</w:t>
      </w:r>
    </w:p>
    <w:p w14:paraId="37896BB1">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承包人应按专用合同条款的约定进行分包，确定分包人。已标价工程量清单或预算书中给定暂估价的专业工程，按照第10.7款〔暂估价〕确定分包人。按照合同约定进行分包的，承包人应确保分包人具有相应的资质和能力。工程分包不减轻或免除承包人的责任和义务，承包人和分包人就分包工程向发包人承担连带责任。除合同另有约定外，承包人应在分包合同签订后7天内向发包人和监理人提交分包合同副本。</w:t>
      </w:r>
    </w:p>
    <w:p w14:paraId="1A524F47">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3.5.3 分包管理</w:t>
      </w:r>
    </w:p>
    <w:p w14:paraId="6D18BC83">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承包人应向监理人提交分包人的主要施工管理人员表，并对分包人的施工人员进行实名制管理，包括但不限于进出场管理、登记造册以及各种证照的办理。</w:t>
      </w:r>
    </w:p>
    <w:p w14:paraId="26B1003B">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3.5.4 分包合同价款</w:t>
      </w:r>
    </w:p>
    <w:p w14:paraId="30B1AA84">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（1）除本项第（2）目约定的情况或专用合同条款另有约定外，分包合同价款由承包人与分包人结算，未经承包人同意，发包人不得向分包人支付分包工程价款；</w:t>
      </w:r>
    </w:p>
    <w:p w14:paraId="1BC1A3BD">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（2）生效法律文书要求发包人向分包人支付分包合同价款的，发包人有权从应付承包人工程款中扣除该部分款项。</w:t>
      </w:r>
    </w:p>
    <w:p w14:paraId="5A9AE6B5">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3.5.5 分包合同权益的转让</w:t>
      </w:r>
    </w:p>
    <w:p w14:paraId="58DD3A04">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分包人在分包合同项下的义务持续到缺陷责任期届满以后的，发包人有权在缺陷责任期届满前，要求承包人将其在分包合同项下的权益转让给发包人，承包人应当转让。除转让合同另有约定外，转让合同生效后，由分包人向发包人履行义务</w:t>
      </w:r>
      <w:bookmarkStart w:id="518" w:name="_Toc351203524"/>
      <w:r>
        <w:rPr>
          <w:rFonts w:hint="eastAsia" w:ascii="仿宋_GB2312" w:hAnsi="仿宋_GB2312" w:eastAsia="仿宋_GB2312" w:cs="仿宋_GB2312"/>
          <w:color w:val="auto"/>
          <w:kern w:val="0"/>
          <w:sz w:val="32"/>
          <w:szCs w:val="32"/>
          <w:highlight w:val="none"/>
        </w:rPr>
        <w:t>。</w:t>
      </w:r>
    </w:p>
    <w:p w14:paraId="02D34623">
      <w:pPr>
        <w:spacing w:line="576" w:lineRule="exact"/>
        <w:ind w:firstLine="640" w:firstLineChars="200"/>
        <w:jc w:val="both"/>
        <w:outlineLvl w:val="2"/>
        <w:rPr>
          <w:rFonts w:hint="eastAsia" w:ascii="仿宋_GB2312" w:hAnsi="仿宋_GB2312" w:eastAsia="仿宋_GB2312" w:cs="仿宋_GB2312"/>
          <w:color w:val="auto"/>
          <w:sz w:val="32"/>
          <w:szCs w:val="32"/>
          <w:highlight w:val="none"/>
        </w:rPr>
      </w:pPr>
      <w:bookmarkStart w:id="519" w:name="_Toc13950"/>
      <w:bookmarkStart w:id="520" w:name="_Toc18057"/>
      <w:bookmarkStart w:id="521" w:name="_Toc17331"/>
      <w:bookmarkStart w:id="522" w:name="_Toc29842"/>
      <w:bookmarkStart w:id="523" w:name="_Toc12305"/>
      <w:bookmarkStart w:id="524" w:name="_Toc11868"/>
      <w:bookmarkStart w:id="525" w:name="_Toc31189"/>
      <w:bookmarkStart w:id="526" w:name="_Toc4486"/>
      <w:r>
        <w:rPr>
          <w:rFonts w:hint="eastAsia" w:ascii="仿宋_GB2312" w:hAnsi="仿宋_GB2312" w:eastAsia="仿宋_GB2312" w:cs="仿宋_GB2312"/>
          <w:color w:val="auto"/>
          <w:sz w:val="32"/>
          <w:szCs w:val="32"/>
          <w:highlight w:val="none"/>
        </w:rPr>
        <w:t>3.6 工程照管与成品、半成品保</w:t>
      </w:r>
      <w:bookmarkEnd w:id="518"/>
      <w:r>
        <w:rPr>
          <w:rFonts w:hint="eastAsia" w:ascii="仿宋_GB2312" w:hAnsi="仿宋_GB2312" w:eastAsia="仿宋_GB2312" w:cs="仿宋_GB2312"/>
          <w:color w:val="auto"/>
          <w:sz w:val="32"/>
          <w:szCs w:val="32"/>
          <w:highlight w:val="none"/>
        </w:rPr>
        <w:t>护</w:t>
      </w:r>
      <w:bookmarkEnd w:id="519"/>
      <w:bookmarkEnd w:id="520"/>
      <w:bookmarkEnd w:id="521"/>
      <w:bookmarkEnd w:id="522"/>
      <w:bookmarkEnd w:id="523"/>
      <w:bookmarkEnd w:id="524"/>
      <w:bookmarkEnd w:id="525"/>
      <w:bookmarkEnd w:id="526"/>
    </w:p>
    <w:p w14:paraId="251EE1AF">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（1）除专用合同条款另有约定外，自发包人向承包人移交施工现场之日起，承包人应负责照管工程及工程相关的材料、工程设备，直到颁发工程接收证书之日止。</w:t>
      </w:r>
    </w:p>
    <w:p w14:paraId="11A1F546">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（2）在承包人负责照管期间，因承包人原因造成工程、材料、工程设备损坏的，由承包人负责修复或更换，并承担由此增加的费用和（或）延误的工期。</w:t>
      </w:r>
    </w:p>
    <w:p w14:paraId="512A7D32">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（3）对合同内分期完成的成品和半成品，在工程接收证书颁发前，由承包人承担保护责任。因承包人原因造成成品或半成品损坏的，由承包人负责修复或更换，并承担由此增加的费用和（或）延误的工期。</w:t>
      </w:r>
      <w:bookmarkStart w:id="527" w:name="_Toc351203525"/>
    </w:p>
    <w:p w14:paraId="760844BE">
      <w:pPr>
        <w:spacing w:line="576" w:lineRule="exact"/>
        <w:ind w:firstLine="640" w:firstLineChars="200"/>
        <w:jc w:val="both"/>
        <w:outlineLvl w:val="2"/>
        <w:rPr>
          <w:rFonts w:hint="eastAsia" w:ascii="仿宋_GB2312" w:hAnsi="仿宋_GB2312" w:eastAsia="仿宋_GB2312" w:cs="仿宋_GB2312"/>
          <w:color w:val="auto"/>
          <w:sz w:val="32"/>
          <w:szCs w:val="32"/>
          <w:highlight w:val="none"/>
        </w:rPr>
      </w:pPr>
      <w:bookmarkStart w:id="528" w:name="_Toc296503052"/>
      <w:bookmarkStart w:id="529" w:name="_Toc5135"/>
      <w:bookmarkStart w:id="530" w:name="_Toc17033"/>
      <w:bookmarkStart w:id="531" w:name="_Toc337558752"/>
      <w:bookmarkStart w:id="532" w:name="_Toc3930"/>
      <w:bookmarkStart w:id="533" w:name="_Toc18553"/>
      <w:bookmarkStart w:id="534" w:name="_Toc4189"/>
      <w:bookmarkStart w:id="535" w:name="_Toc296346553"/>
      <w:bookmarkStart w:id="536" w:name="_Toc5747"/>
      <w:bookmarkStart w:id="537" w:name="_Toc4931"/>
      <w:bookmarkStart w:id="538" w:name="_Toc21242"/>
      <w:r>
        <w:rPr>
          <w:rFonts w:hint="eastAsia" w:ascii="仿宋_GB2312" w:hAnsi="仿宋_GB2312" w:eastAsia="仿宋_GB2312" w:cs="仿宋_GB2312"/>
          <w:color w:val="auto"/>
          <w:sz w:val="32"/>
          <w:szCs w:val="32"/>
          <w:highlight w:val="none"/>
        </w:rPr>
        <w:t>3.7 履约担</w:t>
      </w:r>
      <w:bookmarkEnd w:id="527"/>
      <w:r>
        <w:rPr>
          <w:rFonts w:hint="eastAsia" w:ascii="仿宋_GB2312" w:hAnsi="仿宋_GB2312" w:eastAsia="仿宋_GB2312" w:cs="仿宋_GB2312"/>
          <w:color w:val="auto"/>
          <w:sz w:val="32"/>
          <w:szCs w:val="32"/>
          <w:highlight w:val="none"/>
        </w:rPr>
        <w:t>保</w:t>
      </w:r>
      <w:bookmarkEnd w:id="528"/>
      <w:bookmarkEnd w:id="529"/>
      <w:bookmarkEnd w:id="530"/>
      <w:bookmarkEnd w:id="531"/>
      <w:bookmarkEnd w:id="532"/>
      <w:bookmarkEnd w:id="533"/>
      <w:bookmarkEnd w:id="534"/>
      <w:bookmarkEnd w:id="535"/>
      <w:bookmarkEnd w:id="536"/>
      <w:bookmarkEnd w:id="537"/>
      <w:bookmarkEnd w:id="538"/>
    </w:p>
    <w:p w14:paraId="245A3AAA">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发包人需要承包人提供履约担保的，由合同当事人在专用合同条款中约定履约担保的方式、金额及期限等。履约担保可以采用银行保函或担保公司担保等形式，具体由合同当事人在专用合同条款中约定。</w:t>
      </w:r>
    </w:p>
    <w:p w14:paraId="76DFBA2A">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因承包人原因导致工期延长的，继续提供履约担保所增加的费用由承包人承担；非因承包人原因导致工期延长的，继续提供履约担保所增加的费用由发包人承担。</w:t>
      </w:r>
      <w:bookmarkStart w:id="539" w:name="_Toc351203526"/>
    </w:p>
    <w:p w14:paraId="1B233129">
      <w:pPr>
        <w:spacing w:line="576" w:lineRule="exact"/>
        <w:ind w:firstLine="640" w:firstLineChars="200"/>
        <w:jc w:val="both"/>
        <w:outlineLvl w:val="2"/>
        <w:rPr>
          <w:rFonts w:hint="eastAsia" w:ascii="仿宋_GB2312" w:hAnsi="仿宋_GB2312" w:eastAsia="仿宋_GB2312" w:cs="仿宋_GB2312"/>
          <w:color w:val="auto"/>
          <w:sz w:val="32"/>
          <w:szCs w:val="32"/>
          <w:highlight w:val="none"/>
        </w:rPr>
      </w:pPr>
      <w:bookmarkStart w:id="540" w:name="_Toc8863"/>
      <w:bookmarkStart w:id="541" w:name="_Toc19132"/>
      <w:bookmarkStart w:id="542" w:name="_Toc13013"/>
      <w:bookmarkStart w:id="543" w:name="_Toc20259"/>
      <w:bookmarkStart w:id="544" w:name="_Toc11476"/>
      <w:bookmarkStart w:id="545" w:name="_Toc32399"/>
      <w:bookmarkStart w:id="546" w:name="_Toc9483"/>
      <w:bookmarkStart w:id="547" w:name="_Toc1866"/>
      <w:r>
        <w:rPr>
          <w:rFonts w:hint="eastAsia" w:ascii="仿宋_GB2312" w:hAnsi="仿宋_GB2312" w:eastAsia="仿宋_GB2312" w:cs="仿宋_GB2312"/>
          <w:color w:val="auto"/>
          <w:sz w:val="32"/>
          <w:szCs w:val="32"/>
          <w:highlight w:val="none"/>
        </w:rPr>
        <w:t>3.8 联合</w:t>
      </w:r>
      <w:bookmarkEnd w:id="539"/>
      <w:r>
        <w:rPr>
          <w:rFonts w:hint="eastAsia" w:ascii="仿宋_GB2312" w:hAnsi="仿宋_GB2312" w:eastAsia="仿宋_GB2312" w:cs="仿宋_GB2312"/>
          <w:color w:val="auto"/>
          <w:sz w:val="32"/>
          <w:szCs w:val="32"/>
          <w:highlight w:val="none"/>
        </w:rPr>
        <w:t>体</w:t>
      </w:r>
      <w:bookmarkEnd w:id="540"/>
      <w:bookmarkEnd w:id="541"/>
      <w:bookmarkEnd w:id="542"/>
      <w:bookmarkEnd w:id="543"/>
      <w:bookmarkEnd w:id="544"/>
      <w:bookmarkEnd w:id="545"/>
      <w:bookmarkEnd w:id="546"/>
      <w:bookmarkEnd w:id="547"/>
    </w:p>
    <w:p w14:paraId="1F6D2722">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3.8.1 联合体各方应共同与发包人签订合同协议书。联合体各方应为履行合同向发包人承担连带责任。</w:t>
      </w:r>
    </w:p>
    <w:p w14:paraId="13D2B242">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3.8.2 联合体协议经发包人确认后作为合同附件。在履行合同过程中，未经发包人同意，不得修改联合体协议。</w:t>
      </w:r>
    </w:p>
    <w:p w14:paraId="7242BF3A">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3.8.3 联合体牵头人负责与发包人和监理人联系，并接受指示，负责组织联合体各成员全面履行合同。</w:t>
      </w:r>
      <w:bookmarkStart w:id="548" w:name="_Toc351203527"/>
    </w:p>
    <w:p w14:paraId="5128DC51">
      <w:pPr>
        <w:spacing w:line="576" w:lineRule="exact"/>
        <w:jc w:val="both"/>
        <w:outlineLvl w:val="1"/>
        <w:rPr>
          <w:rFonts w:hint="eastAsia" w:ascii="仿宋_GB2312" w:hAnsi="仿宋_GB2312" w:eastAsia="仿宋_GB2312" w:cs="仿宋_GB2312"/>
          <w:color w:val="auto"/>
          <w:sz w:val="32"/>
          <w:szCs w:val="32"/>
          <w:highlight w:val="none"/>
        </w:rPr>
      </w:pPr>
      <w:bookmarkStart w:id="549" w:name="_Toc296346554"/>
      <w:bookmarkStart w:id="550" w:name="_Toc296503053"/>
      <w:bookmarkStart w:id="551" w:name="_Toc13281"/>
      <w:bookmarkStart w:id="552" w:name="_Toc13832"/>
      <w:bookmarkStart w:id="553" w:name="_Toc10233"/>
      <w:bookmarkStart w:id="554" w:name="_Toc9513"/>
      <w:bookmarkStart w:id="555" w:name="_Toc7897"/>
      <w:bookmarkStart w:id="556" w:name="_Toc19054"/>
      <w:bookmarkStart w:id="557" w:name="_Toc26913"/>
      <w:bookmarkStart w:id="558" w:name="_Toc24536"/>
      <w:bookmarkStart w:id="559" w:name="_Toc337558753"/>
      <w:bookmarkStart w:id="560" w:name="_Toc1727"/>
      <w:bookmarkStart w:id="561" w:name="_Toc18327"/>
      <w:r>
        <w:rPr>
          <w:rFonts w:hint="eastAsia" w:ascii="仿宋_GB2312" w:hAnsi="仿宋_GB2312" w:eastAsia="仿宋_GB2312" w:cs="仿宋_GB2312"/>
          <w:color w:val="auto"/>
          <w:sz w:val="32"/>
          <w:szCs w:val="32"/>
          <w:highlight w:val="none"/>
        </w:rPr>
        <w:t xml:space="preserve">4. </w:t>
      </w:r>
      <w:bookmarkEnd w:id="549"/>
      <w:bookmarkEnd w:id="550"/>
      <w:r>
        <w:rPr>
          <w:rFonts w:hint="eastAsia" w:ascii="仿宋_GB2312" w:hAnsi="仿宋_GB2312" w:eastAsia="仿宋_GB2312" w:cs="仿宋_GB2312"/>
          <w:color w:val="auto"/>
          <w:sz w:val="32"/>
          <w:szCs w:val="32"/>
          <w:highlight w:val="none"/>
        </w:rPr>
        <w:t>监理</w:t>
      </w:r>
      <w:bookmarkEnd w:id="548"/>
      <w:r>
        <w:rPr>
          <w:rFonts w:hint="eastAsia" w:ascii="仿宋_GB2312" w:hAnsi="仿宋_GB2312" w:eastAsia="仿宋_GB2312" w:cs="仿宋_GB2312"/>
          <w:color w:val="auto"/>
          <w:sz w:val="32"/>
          <w:szCs w:val="32"/>
          <w:highlight w:val="none"/>
        </w:rPr>
        <w:t>人</w:t>
      </w:r>
      <w:bookmarkEnd w:id="551"/>
      <w:bookmarkEnd w:id="552"/>
      <w:bookmarkEnd w:id="553"/>
      <w:bookmarkEnd w:id="554"/>
      <w:bookmarkEnd w:id="555"/>
      <w:bookmarkEnd w:id="556"/>
      <w:bookmarkEnd w:id="557"/>
      <w:bookmarkEnd w:id="558"/>
      <w:bookmarkEnd w:id="559"/>
      <w:bookmarkEnd w:id="560"/>
      <w:bookmarkEnd w:id="561"/>
      <w:bookmarkStart w:id="562" w:name="_Toc351203528"/>
    </w:p>
    <w:p w14:paraId="59E0C730">
      <w:pPr>
        <w:spacing w:line="576" w:lineRule="exact"/>
        <w:ind w:firstLine="640" w:firstLineChars="200"/>
        <w:jc w:val="both"/>
        <w:outlineLvl w:val="2"/>
        <w:rPr>
          <w:rFonts w:hint="eastAsia" w:ascii="仿宋_GB2312" w:hAnsi="仿宋_GB2312" w:eastAsia="仿宋_GB2312" w:cs="仿宋_GB2312"/>
          <w:color w:val="auto"/>
          <w:sz w:val="32"/>
          <w:szCs w:val="32"/>
          <w:highlight w:val="none"/>
        </w:rPr>
      </w:pPr>
      <w:bookmarkStart w:id="563" w:name="_Toc25316"/>
      <w:bookmarkStart w:id="564" w:name="_Toc9575"/>
      <w:bookmarkStart w:id="565" w:name="_Toc236"/>
      <w:bookmarkStart w:id="566" w:name="_Toc337558754"/>
      <w:bookmarkStart w:id="567" w:name="_Toc296346555"/>
      <w:bookmarkStart w:id="568" w:name="_Toc10257"/>
      <w:bookmarkStart w:id="569" w:name="_Toc19815"/>
      <w:bookmarkStart w:id="570" w:name="_Toc3637"/>
      <w:bookmarkStart w:id="571" w:name="_Toc296503054"/>
      <w:bookmarkStart w:id="572" w:name="_Toc2639"/>
      <w:bookmarkStart w:id="573" w:name="_Toc23761"/>
      <w:r>
        <w:rPr>
          <w:rFonts w:hint="eastAsia" w:ascii="仿宋_GB2312" w:hAnsi="仿宋_GB2312" w:eastAsia="仿宋_GB2312" w:cs="仿宋_GB2312"/>
          <w:color w:val="auto"/>
          <w:sz w:val="32"/>
          <w:szCs w:val="32"/>
          <w:highlight w:val="none"/>
        </w:rPr>
        <w:t>4.1监理人的一般规</w:t>
      </w:r>
      <w:bookmarkEnd w:id="562"/>
      <w:r>
        <w:rPr>
          <w:rFonts w:hint="eastAsia" w:ascii="仿宋_GB2312" w:hAnsi="仿宋_GB2312" w:eastAsia="仿宋_GB2312" w:cs="仿宋_GB2312"/>
          <w:color w:val="auto"/>
          <w:sz w:val="32"/>
          <w:szCs w:val="32"/>
          <w:highlight w:val="none"/>
        </w:rPr>
        <w:t>定</w:t>
      </w:r>
      <w:bookmarkEnd w:id="563"/>
      <w:bookmarkEnd w:id="564"/>
      <w:bookmarkEnd w:id="565"/>
      <w:bookmarkEnd w:id="566"/>
      <w:bookmarkEnd w:id="567"/>
      <w:bookmarkEnd w:id="568"/>
      <w:bookmarkEnd w:id="569"/>
      <w:bookmarkEnd w:id="570"/>
      <w:bookmarkEnd w:id="571"/>
      <w:bookmarkEnd w:id="572"/>
      <w:bookmarkEnd w:id="573"/>
    </w:p>
    <w:p w14:paraId="6AD75181">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工程实行监理的，发包人和承包人应在专用合同条款中明确监理人的监理内容及监理权限等事项。监理人应当根据发包人授权及法律规定，代表发包人对工程施工相关事项进行检查、查验、审核、验收，并签发相关指示，但监理人无权修改合同，且无权减轻或免除合同约定的承包人的任何责任与义务。</w:t>
      </w:r>
    </w:p>
    <w:p w14:paraId="4BD06B30">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除专用合同条款另有约定外，监理人在施工现场的办公场所、生活场所由承包人提供，所发生的费用由发包人承担。</w:t>
      </w:r>
      <w:bookmarkStart w:id="574" w:name="_Toc351203529"/>
    </w:p>
    <w:p w14:paraId="1516D009">
      <w:pPr>
        <w:spacing w:line="576" w:lineRule="exact"/>
        <w:ind w:firstLine="640" w:firstLineChars="200"/>
        <w:jc w:val="both"/>
        <w:outlineLvl w:val="2"/>
        <w:rPr>
          <w:rFonts w:hint="eastAsia" w:ascii="仿宋_GB2312" w:hAnsi="仿宋_GB2312" w:eastAsia="仿宋_GB2312" w:cs="仿宋_GB2312"/>
          <w:color w:val="auto"/>
          <w:sz w:val="32"/>
          <w:szCs w:val="32"/>
          <w:highlight w:val="none"/>
        </w:rPr>
      </w:pPr>
      <w:bookmarkStart w:id="575" w:name="_Toc337558755"/>
      <w:bookmarkStart w:id="576" w:name="_Toc4911"/>
      <w:bookmarkStart w:id="577" w:name="_Toc28158"/>
      <w:bookmarkStart w:id="578" w:name="_Toc3922"/>
      <w:bookmarkStart w:id="579" w:name="_Toc21780"/>
      <w:bookmarkStart w:id="580" w:name="_Toc18386"/>
      <w:bookmarkStart w:id="581" w:name="_Toc20605"/>
      <w:bookmarkStart w:id="582" w:name="_Toc26845"/>
      <w:bookmarkStart w:id="583" w:name="_Toc23328"/>
      <w:r>
        <w:rPr>
          <w:rFonts w:hint="eastAsia" w:ascii="仿宋_GB2312" w:hAnsi="仿宋_GB2312" w:eastAsia="仿宋_GB2312" w:cs="仿宋_GB2312"/>
          <w:color w:val="auto"/>
          <w:sz w:val="32"/>
          <w:szCs w:val="32"/>
          <w:highlight w:val="none"/>
        </w:rPr>
        <w:t>4.2监理人</w:t>
      </w:r>
      <w:bookmarkEnd w:id="574"/>
      <w:r>
        <w:rPr>
          <w:rFonts w:hint="eastAsia" w:ascii="仿宋_GB2312" w:hAnsi="仿宋_GB2312" w:eastAsia="仿宋_GB2312" w:cs="仿宋_GB2312"/>
          <w:color w:val="auto"/>
          <w:sz w:val="32"/>
          <w:szCs w:val="32"/>
          <w:highlight w:val="none"/>
        </w:rPr>
        <w:t>员</w:t>
      </w:r>
      <w:bookmarkEnd w:id="575"/>
      <w:bookmarkEnd w:id="576"/>
      <w:bookmarkEnd w:id="577"/>
      <w:bookmarkEnd w:id="578"/>
      <w:bookmarkEnd w:id="579"/>
      <w:bookmarkEnd w:id="580"/>
      <w:bookmarkEnd w:id="581"/>
      <w:bookmarkEnd w:id="582"/>
      <w:bookmarkEnd w:id="583"/>
    </w:p>
    <w:p w14:paraId="637453B6">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发包人授予监理人对工程实施监理的权利由监理人派驻施工现场的监理人员行使，监理人员包括总监理工程师及监理工程师。监理人应将授权的总监理工程师和监理工程师的姓名及授权范围以书面形式提前通知承包人。更换总监理工程师的，监理人应提前7天书面通知承包人；更换其他监理人员，监理人应提前48小时书面通知承包人。</w:t>
      </w:r>
      <w:bookmarkStart w:id="584" w:name="_Toc351203530"/>
    </w:p>
    <w:p w14:paraId="34CEEC8C">
      <w:pPr>
        <w:spacing w:line="576" w:lineRule="exact"/>
        <w:ind w:firstLine="640" w:firstLineChars="200"/>
        <w:jc w:val="both"/>
        <w:outlineLvl w:val="2"/>
        <w:rPr>
          <w:rFonts w:hint="eastAsia" w:ascii="仿宋_GB2312" w:hAnsi="仿宋_GB2312" w:eastAsia="仿宋_GB2312" w:cs="仿宋_GB2312"/>
          <w:color w:val="auto"/>
          <w:sz w:val="32"/>
          <w:szCs w:val="32"/>
          <w:highlight w:val="none"/>
        </w:rPr>
      </w:pPr>
      <w:bookmarkStart w:id="585" w:name="_Toc296346556"/>
      <w:bookmarkStart w:id="586" w:name="_Toc296503055"/>
      <w:bookmarkStart w:id="587" w:name="_Toc337558756"/>
      <w:bookmarkStart w:id="588" w:name="_Toc5211"/>
      <w:bookmarkStart w:id="589" w:name="_Toc13942"/>
      <w:bookmarkStart w:id="590" w:name="_Toc21929"/>
      <w:bookmarkStart w:id="591" w:name="_Toc25867"/>
      <w:bookmarkStart w:id="592" w:name="_Toc15451"/>
      <w:bookmarkStart w:id="593" w:name="_Toc9556"/>
      <w:bookmarkStart w:id="594" w:name="_Toc15563"/>
      <w:bookmarkStart w:id="595" w:name="_Toc15916"/>
      <w:r>
        <w:rPr>
          <w:rFonts w:hint="eastAsia" w:ascii="仿宋_GB2312" w:hAnsi="仿宋_GB2312" w:eastAsia="仿宋_GB2312" w:cs="仿宋_GB2312"/>
          <w:color w:val="auto"/>
          <w:sz w:val="32"/>
          <w:szCs w:val="32"/>
          <w:highlight w:val="none"/>
        </w:rPr>
        <w:t>4.</w:t>
      </w:r>
      <w:bookmarkEnd w:id="585"/>
      <w:bookmarkEnd w:id="586"/>
      <w:r>
        <w:rPr>
          <w:rFonts w:hint="eastAsia" w:ascii="仿宋_GB2312" w:hAnsi="仿宋_GB2312" w:eastAsia="仿宋_GB2312" w:cs="仿宋_GB2312"/>
          <w:color w:val="auto"/>
          <w:sz w:val="32"/>
          <w:szCs w:val="32"/>
          <w:highlight w:val="none"/>
        </w:rPr>
        <w:t>3监理人的</w:t>
      </w:r>
      <w:bookmarkEnd w:id="587"/>
      <w:r>
        <w:rPr>
          <w:rFonts w:hint="eastAsia" w:ascii="仿宋_GB2312" w:hAnsi="仿宋_GB2312" w:eastAsia="仿宋_GB2312" w:cs="仿宋_GB2312"/>
          <w:color w:val="auto"/>
          <w:sz w:val="32"/>
          <w:szCs w:val="32"/>
          <w:highlight w:val="none"/>
        </w:rPr>
        <w:t>指</w:t>
      </w:r>
      <w:bookmarkEnd w:id="584"/>
      <w:r>
        <w:rPr>
          <w:rFonts w:hint="eastAsia" w:ascii="仿宋_GB2312" w:hAnsi="仿宋_GB2312" w:eastAsia="仿宋_GB2312" w:cs="仿宋_GB2312"/>
          <w:color w:val="auto"/>
          <w:sz w:val="32"/>
          <w:szCs w:val="32"/>
          <w:highlight w:val="none"/>
        </w:rPr>
        <w:t>示</w:t>
      </w:r>
      <w:bookmarkEnd w:id="588"/>
      <w:bookmarkEnd w:id="589"/>
      <w:bookmarkEnd w:id="590"/>
      <w:bookmarkEnd w:id="591"/>
      <w:bookmarkEnd w:id="592"/>
      <w:bookmarkEnd w:id="593"/>
      <w:bookmarkEnd w:id="594"/>
      <w:bookmarkEnd w:id="595"/>
    </w:p>
    <w:p w14:paraId="06B30A0E">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监理人应按照发包人的授权发出监理指示。监理人的指示应采用书面形式，并经其授权的监理人员签字。紧急情况下，为了保证施工人员的安全或避免工程受损，监理人员可以口头形式发出指示，该指示与书面形式的指示具有同等法律效力，但必须在发出口头指示后24小时内补发书面监理指示，补发的书面监理指示应与口头指示一致。</w:t>
      </w:r>
    </w:p>
    <w:p w14:paraId="4366233D">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监理人发出的指示应送达承包人项目经理或经项目经理授权接收的人员。因监理人未能按合同约定发出指示、指示延误或发出了错误指示而导致承包人费用增加和（或）工期延误的，由发包人承担相应责任。除专用合同条款另有约定外，总监理工程师不应将第4.4款〔商定或确定〕约定应由总监理工程师作出确定的权力授权或委托给其他监理人员。</w:t>
      </w:r>
    </w:p>
    <w:p w14:paraId="4752C2A9">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承包人对监理人发出的指示有疑问的，应向监理人提出书面异议，监理人应在48小时内对该指示予以确认、更改或撤销，监理人逾期未回复的，承包人有权拒绝执行上述指示。</w:t>
      </w:r>
    </w:p>
    <w:p w14:paraId="18F65191">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监理人对承包人的任何工作、工程或其采用的材料和工程设备未在约定的或合理期限内提出意见的，视为批准，但不免除或减轻承包人对该工作、工程、材料、工程设备等应承担的责任和义务。</w:t>
      </w:r>
      <w:bookmarkStart w:id="596" w:name="_Toc351203531"/>
    </w:p>
    <w:p w14:paraId="377AAE8D">
      <w:pPr>
        <w:spacing w:line="576" w:lineRule="exact"/>
        <w:ind w:firstLine="640" w:firstLineChars="200"/>
        <w:jc w:val="both"/>
        <w:outlineLvl w:val="2"/>
        <w:rPr>
          <w:rFonts w:hint="eastAsia" w:ascii="仿宋_GB2312" w:hAnsi="仿宋_GB2312" w:eastAsia="仿宋_GB2312" w:cs="仿宋_GB2312"/>
          <w:color w:val="auto"/>
          <w:sz w:val="32"/>
          <w:szCs w:val="32"/>
          <w:highlight w:val="none"/>
        </w:rPr>
      </w:pPr>
      <w:bookmarkStart w:id="597" w:name="_Toc23732"/>
      <w:bookmarkStart w:id="598" w:name="_Toc296503057"/>
      <w:bookmarkStart w:id="599" w:name="_Toc31218"/>
      <w:bookmarkStart w:id="600" w:name="_Toc31518"/>
      <w:bookmarkStart w:id="601" w:name="_Toc6085"/>
      <w:bookmarkStart w:id="602" w:name="_Toc296346558"/>
      <w:bookmarkStart w:id="603" w:name="_Toc8044"/>
      <w:bookmarkStart w:id="604" w:name="_Toc26583"/>
      <w:bookmarkStart w:id="605" w:name="_Toc11437"/>
      <w:bookmarkStart w:id="606" w:name="_Toc337558757"/>
      <w:bookmarkStart w:id="607" w:name="_Toc32659"/>
      <w:r>
        <w:rPr>
          <w:rFonts w:hint="eastAsia" w:ascii="仿宋_GB2312" w:hAnsi="仿宋_GB2312" w:eastAsia="仿宋_GB2312" w:cs="仿宋_GB2312"/>
          <w:color w:val="auto"/>
          <w:sz w:val="32"/>
          <w:szCs w:val="32"/>
          <w:highlight w:val="none"/>
        </w:rPr>
        <w:t>4.4 商定或确</w:t>
      </w:r>
      <w:bookmarkEnd w:id="596"/>
      <w:r>
        <w:rPr>
          <w:rFonts w:hint="eastAsia" w:ascii="仿宋_GB2312" w:hAnsi="仿宋_GB2312" w:eastAsia="仿宋_GB2312" w:cs="仿宋_GB2312"/>
          <w:color w:val="auto"/>
          <w:sz w:val="32"/>
          <w:szCs w:val="32"/>
          <w:highlight w:val="none"/>
        </w:rPr>
        <w:t>定</w:t>
      </w:r>
      <w:bookmarkEnd w:id="597"/>
      <w:bookmarkEnd w:id="598"/>
      <w:bookmarkEnd w:id="599"/>
      <w:bookmarkEnd w:id="600"/>
      <w:bookmarkEnd w:id="601"/>
      <w:bookmarkEnd w:id="602"/>
      <w:bookmarkEnd w:id="603"/>
      <w:bookmarkEnd w:id="604"/>
      <w:bookmarkEnd w:id="605"/>
      <w:bookmarkEnd w:id="606"/>
      <w:bookmarkEnd w:id="607"/>
    </w:p>
    <w:p w14:paraId="3EFF44C5">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合同当事人进行商定或确定时，总监理工程师应当会同合同当事人尽量通过协商达成一致，不能达成一致的，由总监理工程师按照合同约定审慎</w:t>
      </w:r>
      <w:r>
        <w:rPr>
          <w:rFonts w:hint="eastAsia" w:ascii="仿宋_GB2312" w:hAnsi="仿宋_GB2312" w:eastAsia="仿宋_GB2312" w:cs="仿宋_GB2312"/>
          <w:color w:val="auto"/>
          <w:kern w:val="0"/>
          <w:sz w:val="32"/>
          <w:szCs w:val="32"/>
          <w:highlight w:val="none"/>
          <w:lang w:eastAsia="zh-CN"/>
        </w:rPr>
        <w:t>作出</w:t>
      </w:r>
      <w:r>
        <w:rPr>
          <w:rFonts w:hint="eastAsia" w:ascii="仿宋_GB2312" w:hAnsi="仿宋_GB2312" w:eastAsia="仿宋_GB2312" w:cs="仿宋_GB2312"/>
          <w:color w:val="auto"/>
          <w:kern w:val="0"/>
          <w:sz w:val="32"/>
          <w:szCs w:val="32"/>
          <w:highlight w:val="none"/>
        </w:rPr>
        <w:t>公正的确定。</w:t>
      </w:r>
    </w:p>
    <w:p w14:paraId="0E0D5858">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总监理工程师应将确定以书面形式通知发包人和承包人，并附详细依据。合同当事人对总监理工程师的确定没有异议的，按照总监理工程师的确定执行。任何一方合同当事人有异议，按照第20条〔争议解决〕约定处理。争议解决前，合同当事人暂按总监理工程师的确定执行；争议解决后，争议解决的结果与总监理工程师的确定不一致的，按照争议解决的结果执行，由此造成的损失由责任人承担。</w:t>
      </w:r>
      <w:bookmarkStart w:id="608" w:name="_Toc351203532"/>
    </w:p>
    <w:p w14:paraId="26380C11">
      <w:pPr>
        <w:spacing w:line="576" w:lineRule="exact"/>
        <w:jc w:val="both"/>
        <w:outlineLvl w:val="1"/>
        <w:rPr>
          <w:rFonts w:hint="eastAsia" w:ascii="仿宋_GB2312" w:hAnsi="仿宋_GB2312" w:eastAsia="仿宋_GB2312" w:cs="仿宋_GB2312"/>
          <w:color w:val="auto"/>
          <w:sz w:val="32"/>
          <w:szCs w:val="32"/>
          <w:highlight w:val="none"/>
        </w:rPr>
      </w:pPr>
      <w:bookmarkStart w:id="609" w:name="_Toc11996"/>
      <w:bookmarkStart w:id="610" w:name="_Toc337558758"/>
      <w:bookmarkStart w:id="611" w:name="_Toc26823"/>
      <w:bookmarkStart w:id="612" w:name="_Toc7329"/>
      <w:bookmarkStart w:id="613" w:name="_Toc24190"/>
      <w:bookmarkStart w:id="614" w:name="_Toc8635"/>
      <w:bookmarkStart w:id="615" w:name="_Toc26285"/>
      <w:bookmarkStart w:id="616" w:name="_Toc28103"/>
      <w:bookmarkStart w:id="617" w:name="_Toc24011"/>
      <w:bookmarkStart w:id="618" w:name="_Toc10016"/>
      <w:bookmarkStart w:id="619" w:name="_Toc24104"/>
      <w:r>
        <w:rPr>
          <w:rFonts w:hint="eastAsia" w:ascii="仿宋_GB2312" w:hAnsi="仿宋_GB2312" w:eastAsia="仿宋_GB2312" w:cs="仿宋_GB2312"/>
          <w:color w:val="auto"/>
          <w:sz w:val="32"/>
          <w:szCs w:val="32"/>
          <w:highlight w:val="none"/>
        </w:rPr>
        <w:t>5. 工程质</w:t>
      </w:r>
      <w:bookmarkEnd w:id="608"/>
      <w:r>
        <w:rPr>
          <w:rFonts w:hint="eastAsia" w:ascii="仿宋_GB2312" w:hAnsi="仿宋_GB2312" w:eastAsia="仿宋_GB2312" w:cs="仿宋_GB2312"/>
          <w:color w:val="auto"/>
          <w:sz w:val="32"/>
          <w:szCs w:val="32"/>
          <w:highlight w:val="none"/>
        </w:rPr>
        <w:t>量</w:t>
      </w:r>
      <w:bookmarkEnd w:id="609"/>
      <w:bookmarkEnd w:id="610"/>
      <w:bookmarkEnd w:id="611"/>
      <w:bookmarkEnd w:id="612"/>
      <w:bookmarkEnd w:id="613"/>
      <w:bookmarkEnd w:id="614"/>
      <w:bookmarkEnd w:id="615"/>
      <w:bookmarkEnd w:id="616"/>
      <w:bookmarkEnd w:id="617"/>
      <w:bookmarkEnd w:id="618"/>
      <w:bookmarkEnd w:id="619"/>
      <w:bookmarkStart w:id="620" w:name="_Toc351203533"/>
    </w:p>
    <w:p w14:paraId="7DE72B84">
      <w:pPr>
        <w:spacing w:line="576" w:lineRule="exact"/>
        <w:ind w:firstLine="640" w:firstLineChars="200"/>
        <w:jc w:val="both"/>
        <w:outlineLvl w:val="2"/>
        <w:rPr>
          <w:rFonts w:hint="eastAsia" w:ascii="仿宋_GB2312" w:hAnsi="仿宋_GB2312" w:eastAsia="仿宋_GB2312" w:cs="仿宋_GB2312"/>
          <w:color w:val="auto"/>
          <w:sz w:val="32"/>
          <w:szCs w:val="32"/>
          <w:highlight w:val="none"/>
        </w:rPr>
      </w:pPr>
      <w:bookmarkStart w:id="621" w:name="_Toc29337"/>
      <w:bookmarkStart w:id="622" w:name="_Toc29780"/>
      <w:bookmarkStart w:id="623" w:name="_Toc337558759"/>
      <w:bookmarkStart w:id="624" w:name="_Toc26729"/>
      <w:bookmarkStart w:id="625" w:name="_Toc26227"/>
      <w:bookmarkStart w:id="626" w:name="_Toc12265"/>
      <w:bookmarkStart w:id="627" w:name="_Toc28258"/>
      <w:bookmarkStart w:id="628" w:name="_Toc16304"/>
      <w:bookmarkStart w:id="629" w:name="_Toc5028"/>
      <w:r>
        <w:rPr>
          <w:rFonts w:hint="eastAsia" w:ascii="仿宋_GB2312" w:hAnsi="仿宋_GB2312" w:eastAsia="仿宋_GB2312" w:cs="仿宋_GB2312"/>
          <w:color w:val="auto"/>
          <w:sz w:val="32"/>
          <w:szCs w:val="32"/>
          <w:highlight w:val="none"/>
        </w:rPr>
        <w:t>5.1质量要</w:t>
      </w:r>
      <w:bookmarkEnd w:id="620"/>
      <w:r>
        <w:rPr>
          <w:rFonts w:hint="eastAsia" w:ascii="仿宋_GB2312" w:hAnsi="仿宋_GB2312" w:eastAsia="仿宋_GB2312" w:cs="仿宋_GB2312"/>
          <w:color w:val="auto"/>
          <w:sz w:val="32"/>
          <w:szCs w:val="32"/>
          <w:highlight w:val="none"/>
        </w:rPr>
        <w:t>求</w:t>
      </w:r>
      <w:bookmarkEnd w:id="621"/>
      <w:bookmarkEnd w:id="622"/>
      <w:bookmarkEnd w:id="623"/>
      <w:bookmarkEnd w:id="624"/>
      <w:bookmarkEnd w:id="625"/>
      <w:bookmarkEnd w:id="626"/>
      <w:bookmarkEnd w:id="627"/>
      <w:bookmarkEnd w:id="628"/>
      <w:bookmarkEnd w:id="629"/>
    </w:p>
    <w:p w14:paraId="7F14BB34">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5.1.1 工程质量标准必须符合现行国家有关工程施工质量验收规范和标准的要求。有关工程质量的特殊标准或要求由合同当事人在专用合同条款中约定。</w:t>
      </w:r>
    </w:p>
    <w:p w14:paraId="6A8BE4AD">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5.1.2 因发包人原因造成工程质量未达到合同约定标准的，由发包人承担由此增加的费用和（或）延误的工期，并支付承包人合理的利润。</w:t>
      </w:r>
    </w:p>
    <w:p w14:paraId="6E829AC3">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5.1.3 因承包人原因造成工程质量未达到合同约定标准的，发包人有权要求承包人返工直至工程质量达到合同约定的标准为止，并由承包人承担由此增加的费用和（或）延误的工期。</w:t>
      </w:r>
      <w:bookmarkStart w:id="630" w:name="_Toc351203534"/>
    </w:p>
    <w:p w14:paraId="4F6FBB4E">
      <w:pPr>
        <w:spacing w:line="576" w:lineRule="exact"/>
        <w:ind w:firstLine="640" w:firstLineChars="200"/>
        <w:jc w:val="both"/>
        <w:outlineLvl w:val="2"/>
        <w:rPr>
          <w:rFonts w:hint="eastAsia" w:ascii="仿宋_GB2312" w:hAnsi="仿宋_GB2312" w:eastAsia="仿宋_GB2312" w:cs="仿宋_GB2312"/>
          <w:color w:val="auto"/>
          <w:sz w:val="32"/>
          <w:szCs w:val="32"/>
          <w:highlight w:val="none"/>
        </w:rPr>
      </w:pPr>
      <w:bookmarkStart w:id="631" w:name="_Toc30053"/>
      <w:bookmarkStart w:id="632" w:name="_Toc19697"/>
      <w:bookmarkStart w:id="633" w:name="_Toc28109"/>
      <w:bookmarkStart w:id="634" w:name="_Toc27183"/>
      <w:bookmarkStart w:id="635" w:name="_Toc337558760"/>
      <w:bookmarkStart w:id="636" w:name="_Toc24353"/>
      <w:bookmarkStart w:id="637" w:name="_Toc4951"/>
      <w:bookmarkStart w:id="638" w:name="_Toc22290"/>
      <w:bookmarkStart w:id="639" w:name="_Toc31707"/>
      <w:r>
        <w:rPr>
          <w:rFonts w:hint="eastAsia" w:ascii="仿宋_GB2312" w:hAnsi="仿宋_GB2312" w:eastAsia="仿宋_GB2312" w:cs="仿宋_GB2312"/>
          <w:color w:val="auto"/>
          <w:sz w:val="32"/>
          <w:szCs w:val="32"/>
          <w:highlight w:val="none"/>
        </w:rPr>
        <w:t>5.2质量保证措</w:t>
      </w:r>
      <w:bookmarkEnd w:id="630"/>
      <w:r>
        <w:rPr>
          <w:rFonts w:hint="eastAsia" w:ascii="仿宋_GB2312" w:hAnsi="仿宋_GB2312" w:eastAsia="仿宋_GB2312" w:cs="仿宋_GB2312"/>
          <w:color w:val="auto"/>
          <w:sz w:val="32"/>
          <w:szCs w:val="32"/>
          <w:highlight w:val="none"/>
        </w:rPr>
        <w:t>施</w:t>
      </w:r>
      <w:bookmarkEnd w:id="631"/>
      <w:bookmarkEnd w:id="632"/>
      <w:bookmarkEnd w:id="633"/>
      <w:bookmarkEnd w:id="634"/>
      <w:bookmarkEnd w:id="635"/>
      <w:bookmarkEnd w:id="636"/>
      <w:bookmarkEnd w:id="637"/>
      <w:bookmarkEnd w:id="638"/>
      <w:bookmarkEnd w:id="639"/>
    </w:p>
    <w:p w14:paraId="4112204A">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5.2.1 发包人的质量管理</w:t>
      </w:r>
    </w:p>
    <w:p w14:paraId="37A9B47B">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发包人应按照法律规定及合同约定完成与工程质量有关的各项工作。</w:t>
      </w:r>
    </w:p>
    <w:p w14:paraId="55A8ACA4">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5.2.2 承包人的质量管理</w:t>
      </w:r>
    </w:p>
    <w:p w14:paraId="41D0162D">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承包人按照第7.1款〔施工组织设计〕约定向发包人和监理人提交工程质量保证体系及措施文件，建立完善的质量检查制度，并提交相应的工程质量文件。对于发包人和监理人违反法律规定和合同约定的错误指示，承包人有权拒绝实施。</w:t>
      </w:r>
    </w:p>
    <w:p w14:paraId="6441AF27">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承包人应对施工人员进行质量教育和技术培训，定期考核施工人员的劳动技能，严格执行施工规范和操作规程。</w:t>
      </w:r>
    </w:p>
    <w:p w14:paraId="22E2D4CA">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承包人应按照法律规定和发包人的要求，对材料、工程设备以及工程的所有部位及其施工工艺进行全过程的质量检查和检验，并</w:t>
      </w:r>
      <w:r>
        <w:rPr>
          <w:rFonts w:hint="eastAsia" w:ascii="仿宋_GB2312" w:hAnsi="仿宋_GB2312" w:eastAsia="仿宋_GB2312" w:cs="仿宋_GB2312"/>
          <w:color w:val="auto"/>
          <w:kern w:val="0"/>
          <w:sz w:val="32"/>
          <w:szCs w:val="32"/>
          <w:highlight w:val="none"/>
          <w:lang w:eastAsia="zh-CN"/>
        </w:rPr>
        <w:t>做</w:t>
      </w:r>
      <w:r>
        <w:rPr>
          <w:rFonts w:hint="eastAsia" w:ascii="仿宋_GB2312" w:hAnsi="仿宋_GB2312" w:eastAsia="仿宋_GB2312" w:cs="仿宋_GB2312"/>
          <w:color w:val="auto"/>
          <w:kern w:val="0"/>
          <w:sz w:val="32"/>
          <w:szCs w:val="32"/>
          <w:highlight w:val="none"/>
        </w:rPr>
        <w:t>详细记录，编制工程质量报表，报送监理人审查。此外，承包人还应按照法律规定和发包人的要求，进行施工现场取样试验、工程复核测量和设备性能检测，提供试验样品、提交试验报告和测量成果以及其他工作。</w:t>
      </w:r>
    </w:p>
    <w:p w14:paraId="08505393">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5.2.3 监理人的质量检查和检验</w:t>
      </w:r>
    </w:p>
    <w:p w14:paraId="2955F8DF">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监理人按照法律规定和发包人授权对工程的所有部位及其施工工艺、材料和工程设备进行检查和检验。承包人应为监理人的检查和检验提供方便，包括监理人到施工现场，或制造、加工地点，或合同约定的其他地方进行察看和查阅施工原始记录。监理人为此进行的检查和检验，不免除或减轻承包人按照合同约定应当承担的责任。</w:t>
      </w:r>
    </w:p>
    <w:p w14:paraId="2DA55BE2">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监理人的检查和检验不应影响施工正常进行。监理人的检查和检验影响施工正常进行的，且经检查检验不合格的，影响正常施工的费用由承包人承担，工期不予顺延；经检查检验合格的，由此增加的费用和（或）延误的工期由发包人承担。</w:t>
      </w:r>
      <w:bookmarkStart w:id="640" w:name="_Toc351203535"/>
    </w:p>
    <w:p w14:paraId="030AA29C">
      <w:pPr>
        <w:spacing w:line="576" w:lineRule="exact"/>
        <w:ind w:firstLine="640" w:firstLineChars="200"/>
        <w:jc w:val="both"/>
        <w:outlineLvl w:val="2"/>
        <w:rPr>
          <w:rFonts w:hint="eastAsia" w:ascii="仿宋_GB2312" w:hAnsi="仿宋_GB2312" w:eastAsia="仿宋_GB2312" w:cs="仿宋_GB2312"/>
          <w:color w:val="auto"/>
          <w:sz w:val="32"/>
          <w:szCs w:val="32"/>
          <w:highlight w:val="none"/>
        </w:rPr>
      </w:pPr>
      <w:bookmarkStart w:id="641" w:name="_Toc6755"/>
      <w:bookmarkStart w:id="642" w:name="_Toc337558761"/>
      <w:bookmarkStart w:id="643" w:name="_Toc14614"/>
      <w:bookmarkStart w:id="644" w:name="_Toc7759"/>
      <w:bookmarkStart w:id="645" w:name="_Toc16497"/>
      <w:bookmarkStart w:id="646" w:name="_Toc25255"/>
      <w:bookmarkStart w:id="647" w:name="_Toc4957"/>
      <w:bookmarkStart w:id="648" w:name="_Toc11438"/>
      <w:bookmarkStart w:id="649" w:name="_Toc30876"/>
      <w:r>
        <w:rPr>
          <w:rFonts w:hint="eastAsia" w:ascii="仿宋_GB2312" w:hAnsi="仿宋_GB2312" w:eastAsia="仿宋_GB2312" w:cs="仿宋_GB2312"/>
          <w:color w:val="auto"/>
          <w:sz w:val="32"/>
          <w:szCs w:val="32"/>
          <w:highlight w:val="none"/>
        </w:rPr>
        <w:t>5.3 隐蔽工程检</w:t>
      </w:r>
      <w:bookmarkEnd w:id="640"/>
      <w:r>
        <w:rPr>
          <w:rFonts w:hint="eastAsia" w:ascii="仿宋_GB2312" w:hAnsi="仿宋_GB2312" w:eastAsia="仿宋_GB2312" w:cs="仿宋_GB2312"/>
          <w:color w:val="auto"/>
          <w:sz w:val="32"/>
          <w:szCs w:val="32"/>
          <w:highlight w:val="none"/>
        </w:rPr>
        <w:t>查</w:t>
      </w:r>
      <w:bookmarkEnd w:id="641"/>
      <w:bookmarkEnd w:id="642"/>
      <w:bookmarkEnd w:id="643"/>
      <w:bookmarkEnd w:id="644"/>
      <w:bookmarkEnd w:id="645"/>
      <w:bookmarkEnd w:id="646"/>
      <w:bookmarkEnd w:id="647"/>
      <w:bookmarkEnd w:id="648"/>
      <w:bookmarkEnd w:id="649"/>
    </w:p>
    <w:p w14:paraId="109BC92B">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5.3.1承包人自检</w:t>
      </w:r>
    </w:p>
    <w:p w14:paraId="60D87F08">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承包人应当对工程隐蔽部位进行自检，并经自检确认是否具备覆盖条件。</w:t>
      </w:r>
    </w:p>
    <w:p w14:paraId="76D16790">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5.3.2检查程序</w:t>
      </w:r>
    </w:p>
    <w:p w14:paraId="08C2F5D7">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除专用合同条款另有约定外，工程隐蔽部位经承包人自检确认具备覆盖条件的，承包人应在共同检查前48小时书面通知监理人检查，通知中应载明隐蔽检查的内容、时间和地点，并应附有自检记录和必要的检查资料。</w:t>
      </w:r>
    </w:p>
    <w:p w14:paraId="5032CEF4">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监理人应按时到场并对隐蔽工程及其施工工艺、材料和工程设备进行检查。经监理人检查确认质量符合隐蔽要求，并在验收记录上签字后，承包人才能进行覆盖。经监理人检查质量不合格的，承包人应在监理人指示的时间内完成修复，并由监理人重新检查，由此增加的费用和（或）延误的工期由承包人承担。</w:t>
      </w:r>
    </w:p>
    <w:p w14:paraId="4F6E4C32">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除专用合同条款另有约定外，监理人不能按时进行检查的，应在检查前24小时向承包人提交书面延期要求，但延期不能超过48小时，由此导致工期延误的，工期应予以顺延。监理人未按时进行检查，也未提出延期要求的，视为隐蔽工程检查合格，承包人可自行完成覆盖工作，并作相应记录报送监理人，监理人应签字确认。监理人事后对检查记录有疑问的，可按第5.3.3项〔重新检查〕的约定重新检查。</w:t>
      </w:r>
    </w:p>
    <w:p w14:paraId="22FE044C">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5.3.3 重新检查</w:t>
      </w:r>
    </w:p>
    <w:p w14:paraId="09675FC2">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承包人覆盖工程隐蔽部位后，发包人或监理人对质量有疑问的，可要求承包人对已覆盖的部位进行钻孔探测或揭开重新检查，承包人应遵照执行，并在检查后重新覆盖恢复原状。经检查证明工程质量符合合同要求的，由发包人承担由此增加的费用和（或）延误的工期，并支付承包人合理的利润；经检查证明工程质量不符合合同要求的，由此增加的费用和（或）延误的工期由承包人承担。</w:t>
      </w:r>
    </w:p>
    <w:p w14:paraId="3C165225">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5.3.4 承包人私自覆盖</w:t>
      </w:r>
    </w:p>
    <w:p w14:paraId="5297AB5F">
      <w:pPr>
        <w:snapToGrid/>
        <w:spacing w:line="576"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kern w:val="0"/>
          <w:sz w:val="32"/>
          <w:szCs w:val="32"/>
          <w:highlight w:val="none"/>
        </w:rPr>
        <w:t>承包人未通知监理人到场检查，私自将工程隐蔽部位覆盖的，监理人有权指示承包人钻孔探测或揭开检查，无论工程隐蔽部位质量是否合格，由此增加的费用和（或）延误的工期均由承包人承担。</w:t>
      </w:r>
      <w:bookmarkStart w:id="650" w:name="_Toc351203536"/>
    </w:p>
    <w:p w14:paraId="3DBC38BD">
      <w:pPr>
        <w:spacing w:line="576" w:lineRule="exact"/>
        <w:ind w:firstLine="640" w:firstLineChars="200"/>
        <w:jc w:val="both"/>
        <w:outlineLvl w:val="2"/>
        <w:rPr>
          <w:rFonts w:hint="eastAsia" w:ascii="仿宋_GB2312" w:hAnsi="仿宋_GB2312" w:eastAsia="仿宋_GB2312" w:cs="仿宋_GB2312"/>
          <w:color w:val="auto"/>
          <w:sz w:val="32"/>
          <w:szCs w:val="32"/>
          <w:highlight w:val="none"/>
        </w:rPr>
      </w:pPr>
      <w:bookmarkStart w:id="651" w:name="_Toc337558762"/>
      <w:bookmarkStart w:id="652" w:name="_Toc15349"/>
      <w:bookmarkStart w:id="653" w:name="_Toc18141"/>
      <w:bookmarkStart w:id="654" w:name="_Toc15319"/>
      <w:bookmarkStart w:id="655" w:name="_Toc29505"/>
      <w:bookmarkStart w:id="656" w:name="_Toc510"/>
      <w:bookmarkStart w:id="657" w:name="_Toc4725"/>
      <w:bookmarkStart w:id="658" w:name="_Toc31574"/>
      <w:bookmarkStart w:id="659" w:name="_Toc30364"/>
      <w:r>
        <w:rPr>
          <w:rFonts w:hint="eastAsia" w:ascii="仿宋_GB2312" w:hAnsi="仿宋_GB2312" w:eastAsia="仿宋_GB2312" w:cs="仿宋_GB2312"/>
          <w:color w:val="auto"/>
          <w:sz w:val="32"/>
          <w:szCs w:val="32"/>
          <w:highlight w:val="none"/>
        </w:rPr>
        <w:t>5.4不合格工程的处</w:t>
      </w:r>
      <w:bookmarkEnd w:id="650"/>
      <w:r>
        <w:rPr>
          <w:rFonts w:hint="eastAsia" w:ascii="仿宋_GB2312" w:hAnsi="仿宋_GB2312" w:eastAsia="仿宋_GB2312" w:cs="仿宋_GB2312"/>
          <w:color w:val="auto"/>
          <w:sz w:val="32"/>
          <w:szCs w:val="32"/>
          <w:highlight w:val="none"/>
        </w:rPr>
        <w:t>理</w:t>
      </w:r>
      <w:bookmarkEnd w:id="651"/>
      <w:bookmarkEnd w:id="652"/>
      <w:bookmarkEnd w:id="653"/>
      <w:bookmarkEnd w:id="654"/>
      <w:bookmarkEnd w:id="655"/>
      <w:bookmarkEnd w:id="656"/>
      <w:bookmarkEnd w:id="657"/>
      <w:bookmarkEnd w:id="658"/>
      <w:bookmarkEnd w:id="659"/>
    </w:p>
    <w:p w14:paraId="1010CFC4">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 xml:space="preserve">5.4.1 因承包人原因造成工程不合格的，发包人有权随时要求承包人采取补救措施，直至达到合同要求的质量标准，由此增加的费用和（或）延误的工期由承包人承担。无法补救的，按照第13.2.4项〔拒绝接收全部或部分工程〕约定执行。 </w:t>
      </w:r>
    </w:p>
    <w:p w14:paraId="5C3C2773">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5.4.2 因发包人原因造成工程不合格的，由此增加的费用和（或）延误的工期由发包人承担，并支付承包人合理的利润。</w:t>
      </w:r>
      <w:bookmarkStart w:id="660" w:name="_Toc351203537"/>
    </w:p>
    <w:p w14:paraId="010C13B4">
      <w:pPr>
        <w:spacing w:line="576" w:lineRule="exact"/>
        <w:ind w:firstLine="640" w:firstLineChars="200"/>
        <w:jc w:val="both"/>
        <w:outlineLvl w:val="2"/>
        <w:rPr>
          <w:rFonts w:hint="eastAsia" w:ascii="仿宋_GB2312" w:hAnsi="仿宋_GB2312" w:eastAsia="仿宋_GB2312" w:cs="仿宋_GB2312"/>
          <w:color w:val="auto"/>
          <w:sz w:val="32"/>
          <w:szCs w:val="32"/>
          <w:highlight w:val="none"/>
        </w:rPr>
      </w:pPr>
      <w:bookmarkStart w:id="661" w:name="_Toc16300"/>
      <w:bookmarkStart w:id="662" w:name="_Toc28582"/>
      <w:bookmarkStart w:id="663" w:name="_Toc22156"/>
      <w:bookmarkStart w:id="664" w:name="_Toc2498"/>
      <w:bookmarkStart w:id="665" w:name="_Toc12673"/>
      <w:bookmarkStart w:id="666" w:name="_Toc21624"/>
      <w:bookmarkStart w:id="667" w:name="_Toc4878"/>
      <w:bookmarkStart w:id="668" w:name="_Toc18747"/>
      <w:r>
        <w:rPr>
          <w:rFonts w:hint="eastAsia" w:ascii="仿宋_GB2312" w:hAnsi="仿宋_GB2312" w:eastAsia="仿宋_GB2312" w:cs="仿宋_GB2312"/>
          <w:color w:val="auto"/>
          <w:sz w:val="32"/>
          <w:szCs w:val="32"/>
          <w:highlight w:val="none"/>
        </w:rPr>
        <w:t>5.5 质量争议检</w:t>
      </w:r>
      <w:bookmarkEnd w:id="660"/>
      <w:r>
        <w:rPr>
          <w:rFonts w:hint="eastAsia" w:ascii="仿宋_GB2312" w:hAnsi="仿宋_GB2312" w:eastAsia="仿宋_GB2312" w:cs="仿宋_GB2312"/>
          <w:color w:val="auto"/>
          <w:sz w:val="32"/>
          <w:szCs w:val="32"/>
          <w:highlight w:val="none"/>
        </w:rPr>
        <w:t>测</w:t>
      </w:r>
      <w:bookmarkEnd w:id="661"/>
      <w:bookmarkEnd w:id="662"/>
      <w:bookmarkEnd w:id="663"/>
      <w:bookmarkEnd w:id="664"/>
      <w:bookmarkEnd w:id="665"/>
      <w:bookmarkEnd w:id="666"/>
      <w:bookmarkEnd w:id="667"/>
      <w:bookmarkEnd w:id="668"/>
    </w:p>
    <w:p w14:paraId="17A3D711">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合同当事人对工程质量有争议的，由双方协商确定的工程质量检测机构鉴定，由此产生的费用及因此造成的损失，由责任方承担。</w:t>
      </w:r>
    </w:p>
    <w:p w14:paraId="1DACD8C5">
      <w:pPr>
        <w:autoSpaceDE w:val="0"/>
        <w:autoSpaceDN w:val="0"/>
        <w:adjustRightInd/>
        <w:snapToGrid/>
        <w:spacing w:line="576" w:lineRule="exact"/>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合同当事人均有责任的，由双方根据其责任分别承担。合同当事人无法达成一致的，按照第4.4款〔商定或确定〕执行。</w:t>
      </w:r>
      <w:bookmarkStart w:id="669" w:name="_Toc351203538"/>
    </w:p>
    <w:p w14:paraId="11C359C3">
      <w:pPr>
        <w:spacing w:line="576" w:lineRule="exact"/>
        <w:jc w:val="both"/>
        <w:outlineLvl w:val="1"/>
        <w:rPr>
          <w:rFonts w:hint="eastAsia" w:ascii="仿宋_GB2312" w:hAnsi="仿宋_GB2312" w:eastAsia="仿宋_GB2312" w:cs="仿宋_GB2312"/>
          <w:color w:val="auto"/>
          <w:sz w:val="32"/>
          <w:szCs w:val="32"/>
          <w:highlight w:val="none"/>
        </w:rPr>
      </w:pPr>
      <w:bookmarkStart w:id="670" w:name="_Toc3004"/>
      <w:bookmarkStart w:id="671" w:name="_Toc15388"/>
      <w:bookmarkStart w:id="672" w:name="_Toc16056"/>
      <w:bookmarkStart w:id="673" w:name="_Toc148"/>
      <w:bookmarkStart w:id="674" w:name="_Toc6853"/>
      <w:bookmarkStart w:id="675" w:name="_Toc337558763"/>
      <w:bookmarkStart w:id="676" w:name="_Toc30537"/>
      <w:bookmarkStart w:id="677" w:name="_Toc5642"/>
      <w:bookmarkStart w:id="678" w:name="_Toc30994"/>
      <w:bookmarkStart w:id="679" w:name="_Toc17219"/>
      <w:bookmarkStart w:id="680" w:name="_Toc11117"/>
      <w:r>
        <w:rPr>
          <w:rFonts w:hint="eastAsia" w:ascii="仿宋_GB2312" w:hAnsi="仿宋_GB2312" w:eastAsia="仿宋_GB2312" w:cs="仿宋_GB2312"/>
          <w:color w:val="auto"/>
          <w:sz w:val="32"/>
          <w:szCs w:val="32"/>
          <w:highlight w:val="none"/>
        </w:rPr>
        <w:t>6. 安全文明施工与环境保</w:t>
      </w:r>
      <w:bookmarkEnd w:id="669"/>
      <w:r>
        <w:rPr>
          <w:rFonts w:hint="eastAsia" w:ascii="仿宋_GB2312" w:hAnsi="仿宋_GB2312" w:eastAsia="仿宋_GB2312" w:cs="仿宋_GB2312"/>
          <w:color w:val="auto"/>
          <w:sz w:val="32"/>
          <w:szCs w:val="32"/>
          <w:highlight w:val="none"/>
        </w:rPr>
        <w:t>护</w:t>
      </w:r>
      <w:bookmarkEnd w:id="670"/>
      <w:bookmarkEnd w:id="671"/>
      <w:bookmarkEnd w:id="672"/>
      <w:bookmarkEnd w:id="673"/>
      <w:bookmarkEnd w:id="674"/>
      <w:bookmarkEnd w:id="675"/>
      <w:bookmarkEnd w:id="676"/>
      <w:bookmarkEnd w:id="677"/>
      <w:bookmarkEnd w:id="678"/>
      <w:bookmarkEnd w:id="679"/>
      <w:bookmarkEnd w:id="680"/>
      <w:bookmarkStart w:id="681" w:name="_Toc351203539"/>
    </w:p>
    <w:p w14:paraId="310A48C4">
      <w:pPr>
        <w:spacing w:line="576" w:lineRule="exact"/>
        <w:ind w:firstLine="640" w:firstLineChars="200"/>
        <w:jc w:val="both"/>
        <w:outlineLvl w:val="2"/>
        <w:rPr>
          <w:rFonts w:hint="eastAsia" w:ascii="仿宋_GB2312" w:hAnsi="仿宋_GB2312" w:eastAsia="仿宋_GB2312" w:cs="仿宋_GB2312"/>
          <w:color w:val="auto"/>
          <w:sz w:val="32"/>
          <w:szCs w:val="32"/>
          <w:highlight w:val="none"/>
        </w:rPr>
      </w:pPr>
      <w:bookmarkStart w:id="682" w:name="_Toc14030"/>
      <w:bookmarkStart w:id="683" w:name="_Toc11957"/>
      <w:bookmarkStart w:id="684" w:name="_Toc24290"/>
      <w:bookmarkStart w:id="685" w:name="_Toc17890"/>
      <w:bookmarkStart w:id="686" w:name="_Toc3462"/>
      <w:bookmarkStart w:id="687" w:name="_Toc942"/>
      <w:bookmarkStart w:id="688" w:name="_Toc22246"/>
      <w:bookmarkStart w:id="689" w:name="_Toc337558764"/>
      <w:bookmarkStart w:id="690" w:name="_Toc30625"/>
      <w:r>
        <w:rPr>
          <w:rFonts w:hint="eastAsia" w:ascii="仿宋_GB2312" w:hAnsi="仿宋_GB2312" w:eastAsia="仿宋_GB2312" w:cs="仿宋_GB2312"/>
          <w:color w:val="auto"/>
          <w:sz w:val="32"/>
          <w:szCs w:val="32"/>
          <w:highlight w:val="none"/>
        </w:rPr>
        <w:t>6.1安全文明施</w:t>
      </w:r>
      <w:bookmarkEnd w:id="681"/>
      <w:r>
        <w:rPr>
          <w:rFonts w:hint="eastAsia" w:ascii="仿宋_GB2312" w:hAnsi="仿宋_GB2312" w:eastAsia="仿宋_GB2312" w:cs="仿宋_GB2312"/>
          <w:color w:val="auto"/>
          <w:sz w:val="32"/>
          <w:szCs w:val="32"/>
          <w:highlight w:val="none"/>
        </w:rPr>
        <w:t>工</w:t>
      </w:r>
      <w:bookmarkEnd w:id="682"/>
      <w:bookmarkEnd w:id="683"/>
      <w:bookmarkEnd w:id="684"/>
      <w:bookmarkEnd w:id="685"/>
      <w:bookmarkEnd w:id="686"/>
      <w:bookmarkEnd w:id="687"/>
      <w:bookmarkEnd w:id="688"/>
      <w:bookmarkEnd w:id="689"/>
      <w:bookmarkEnd w:id="690"/>
    </w:p>
    <w:p w14:paraId="0B1CBDCF">
      <w:pPr>
        <w:snapToGrid/>
        <w:spacing w:line="576"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6.1.1安全生产要求</w:t>
      </w:r>
    </w:p>
    <w:p w14:paraId="7E8BA09A">
      <w:pPr>
        <w:snapToGrid/>
        <w:spacing w:line="576"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合同履行期间，合同当事人均应当遵守国家和工程所在地有关安全生产的要求，合同当事人有特别要求的，应在专用合同条款中明确施工项目安全生产标准化达标目标及相应事项。承包人有权拒绝发包人及监理人强令承包人违章作业、冒险施工的任何指示。</w:t>
      </w:r>
    </w:p>
    <w:p w14:paraId="41EC9443">
      <w:pPr>
        <w:snapToGrid/>
        <w:spacing w:line="576"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在施工过程中，如遇到突发的地质变动、事先未知的地下施工障碍等影响施工安全的紧急情况，承包人应及时报告监理人和发包人，发包人应当及时下令停工并报</w:t>
      </w:r>
      <w:r>
        <w:rPr>
          <w:rFonts w:hint="eastAsia" w:ascii="仿宋_GB2312" w:hAnsi="仿宋_GB2312" w:eastAsia="仿宋_GB2312" w:cs="仿宋_GB2312"/>
          <w:color w:val="auto"/>
          <w:kern w:val="0"/>
          <w:sz w:val="32"/>
          <w:szCs w:val="32"/>
          <w:highlight w:val="none"/>
        </w:rPr>
        <w:t>政府有关行政管理部门</w:t>
      </w:r>
      <w:r>
        <w:rPr>
          <w:rFonts w:hint="eastAsia" w:ascii="仿宋_GB2312" w:hAnsi="仿宋_GB2312" w:eastAsia="仿宋_GB2312" w:cs="仿宋_GB2312"/>
          <w:color w:val="auto"/>
          <w:sz w:val="32"/>
          <w:szCs w:val="32"/>
          <w:highlight w:val="none"/>
        </w:rPr>
        <w:t>采取应急措施。</w:t>
      </w:r>
    </w:p>
    <w:p w14:paraId="08CF41CA">
      <w:pPr>
        <w:snapToGrid/>
        <w:spacing w:line="576"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因安全生产需要暂停施工的，按照第7.8款〔暂停施工〕的约定执行。</w:t>
      </w:r>
    </w:p>
    <w:p w14:paraId="63FE8828">
      <w:pPr>
        <w:snapToGrid/>
        <w:spacing w:line="576"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6.1.2 安全生产保证措施</w:t>
      </w:r>
    </w:p>
    <w:p w14:paraId="5174EB59">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sz w:val="32"/>
          <w:szCs w:val="32"/>
          <w:highlight w:val="none"/>
        </w:rPr>
        <w:t>承包人应当按照有关</w:t>
      </w:r>
      <w:r>
        <w:rPr>
          <w:rFonts w:hint="eastAsia" w:ascii="仿宋_GB2312" w:hAnsi="仿宋_GB2312" w:eastAsia="仿宋_GB2312" w:cs="仿宋_GB2312"/>
          <w:color w:val="auto"/>
          <w:kern w:val="0"/>
          <w:sz w:val="32"/>
          <w:szCs w:val="32"/>
          <w:highlight w:val="none"/>
        </w:rPr>
        <w:t>规定编制安全技术措施或者专项施工方案，</w:t>
      </w:r>
      <w:r>
        <w:rPr>
          <w:rFonts w:hint="eastAsia" w:ascii="仿宋_GB2312" w:hAnsi="仿宋_GB2312" w:eastAsia="仿宋_GB2312" w:cs="仿宋_GB2312"/>
          <w:color w:val="auto"/>
          <w:sz w:val="32"/>
          <w:szCs w:val="32"/>
          <w:highlight w:val="none"/>
        </w:rPr>
        <w:t>建立安全生产责任制度、治安保卫制度及安全生产教育培训制度，并</w:t>
      </w:r>
      <w:r>
        <w:rPr>
          <w:rFonts w:hint="eastAsia" w:ascii="仿宋_GB2312" w:hAnsi="仿宋_GB2312" w:eastAsia="仿宋_GB2312" w:cs="仿宋_GB2312"/>
          <w:color w:val="auto"/>
          <w:kern w:val="0"/>
          <w:sz w:val="32"/>
          <w:szCs w:val="32"/>
          <w:highlight w:val="none"/>
        </w:rPr>
        <w:t>按安全生产法律规定及合同约定履行安全职责，如实</w:t>
      </w:r>
      <w:r>
        <w:rPr>
          <w:rFonts w:hint="eastAsia" w:ascii="仿宋_GB2312" w:hAnsi="仿宋_GB2312" w:eastAsia="仿宋_GB2312" w:cs="仿宋_GB2312"/>
          <w:color w:val="auto"/>
          <w:sz w:val="32"/>
          <w:szCs w:val="32"/>
          <w:highlight w:val="none"/>
        </w:rPr>
        <w:t>编制工程安全生产的有关记录，</w:t>
      </w:r>
      <w:r>
        <w:rPr>
          <w:rFonts w:hint="eastAsia" w:ascii="仿宋_GB2312" w:hAnsi="仿宋_GB2312" w:eastAsia="仿宋_GB2312" w:cs="仿宋_GB2312"/>
          <w:color w:val="auto"/>
          <w:kern w:val="0"/>
          <w:sz w:val="32"/>
          <w:szCs w:val="32"/>
          <w:highlight w:val="none"/>
        </w:rPr>
        <w:t>接受发包人、监理人及政府安全监督部门的检查与监督。</w:t>
      </w:r>
    </w:p>
    <w:p w14:paraId="51AC851F">
      <w:pPr>
        <w:snapToGrid/>
        <w:spacing w:line="576"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6.1.3特别安全生产事项</w:t>
      </w:r>
    </w:p>
    <w:p w14:paraId="64CD04CF">
      <w:pPr>
        <w:snapToGrid/>
        <w:spacing w:line="576"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承包人应按照法律规定进行施工，开工前做好安全技术交底工作，施工过程中做好各项安全防护措施。承包人为实施合同而雇用的特殊工种的人员应受过专门的培训并已取得政府有关管理机构颁发的上岗证书。</w:t>
      </w:r>
    </w:p>
    <w:p w14:paraId="7F50BB0A">
      <w:pPr>
        <w:snapToGrid/>
        <w:spacing w:line="576"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承包人在动力设备、输电线路、地下管道、密封防震车间、易燃易爆地段以及临街交通要道附近施工时，施工开始前应向发包人和监理人提出安全防护措施，经发包人认可后实施。 </w:t>
      </w:r>
    </w:p>
    <w:p w14:paraId="2B6D19B8">
      <w:pPr>
        <w:snapToGrid/>
        <w:spacing w:line="576"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实施爆破作业，在放射、毒害性环境中施工（含储存、运输、使用）及使用毒害性、腐蚀性物品施工时，承包人应在施工前7天以书面通知发包人和监理人，并报送相应的安全防护措施，经发包人认可后实施。</w:t>
      </w:r>
    </w:p>
    <w:p w14:paraId="188B23F9">
      <w:pPr>
        <w:snapToGrid/>
        <w:spacing w:line="576"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需单独编制危险性较大分部分项专项工程施工方案的，及要求进行专家论证的超过一定规模的危险性较大的分部分项工程，承包人应及时编制和组织论证。</w:t>
      </w:r>
    </w:p>
    <w:p w14:paraId="0346AFAE">
      <w:pPr>
        <w:snapToGrid/>
        <w:spacing w:line="576"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6.1.4 治安保卫</w:t>
      </w:r>
    </w:p>
    <w:p w14:paraId="7E63BE46">
      <w:pPr>
        <w:snapToGrid/>
        <w:spacing w:line="576"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除专用合同条款另有约定外，发包人应与当地公安部门协商，在现场建立治安管理机构或联防组织，统一管理施工场地的治安保卫事项，履行合同工程的治安保卫职责。</w:t>
      </w:r>
    </w:p>
    <w:p w14:paraId="7248A44D">
      <w:pPr>
        <w:snapToGrid/>
        <w:spacing w:line="576"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发包人和承包人除应协助现场治安管理机构或联防组织维护施工场地的社会治安外，还应做好包括生活区在内的各自管辖区的治安保卫工作。</w:t>
      </w:r>
    </w:p>
    <w:p w14:paraId="6CD7C9CB">
      <w:pPr>
        <w:snapToGrid/>
        <w:spacing w:line="576"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除专用合同条款另有约定外，发包人和承包人应在工程开工后7天内共同编制施工场地治安管理计划，并制定应对突发治安事件的紧急预案。在工程施工过程中，发生暴乱、爆炸等恐怖事件，以及群殴、械斗等群体性突发治安事件的，发包人和承包人应立即向当地政府报告。发包人和承包人应积极协助当地有关部门采取措施平息事态，防止事态扩大，尽量避免人员伤亡和财产损失。</w:t>
      </w:r>
    </w:p>
    <w:p w14:paraId="2603E049">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sz w:val="32"/>
          <w:szCs w:val="32"/>
          <w:highlight w:val="none"/>
        </w:rPr>
        <w:t>6.1.5 文明施工</w:t>
      </w:r>
    </w:p>
    <w:p w14:paraId="15E457DE">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承包人在工程施工期间，应当采取措施保持施工现场平整，物料堆放整齐。工程所在地有关政府行政管理部门有特殊要求的，按照其要求执行。合同当事人对文明施工有其他要求的，可以在专用合同条款中明确。</w:t>
      </w:r>
    </w:p>
    <w:p w14:paraId="18854F30">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在工程移交之前，承包人应当从施工现场清除承包人的全部工程设备、多余材料、垃圾和各种临时工程，并保持施工现场清洁整齐。经发包人书面同意，承包人可在发包人指定的地点保留承包人履行保修期内的各项义务所需要的材料、施工设备和临时工程。</w:t>
      </w:r>
    </w:p>
    <w:p w14:paraId="4302C5E7">
      <w:pPr>
        <w:snapToGrid/>
        <w:spacing w:line="576"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6.1.6 安全文明施工费</w:t>
      </w:r>
    </w:p>
    <w:p w14:paraId="4C376AC6">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安全文明施工费由发包人承担，发包人不得以任何形式扣减该部分费用。因基准日期后合同所适用的法律或政府有关规定发生变化，增加的安全文明施工费由发包人承担。</w:t>
      </w:r>
    </w:p>
    <w:p w14:paraId="4A065B20">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承包人经发包人同意采取合同约定以外的安全措施所产生的费用，由发包人承担。未经发包人同意的，如果该措施避免了发包人的损失，则发包人在避免损失的额度内承担该措施费。如果该措施避免了承包人的损失，由承包人承担该措施费。</w:t>
      </w:r>
    </w:p>
    <w:p w14:paraId="0596E78F">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除专用合同条款另有约定外，发包人应在开工后28天内预付安全文明施工费总额的50%，其余部分与进度款同期支付。发包人逾期支付安全文明施工费超过7天的，承包人有权向发包人发出要求预付的催告通知，发包人收到通知后7天内仍未支付的，承包人有权暂停施工，并按第16.1.1项〔发包人违约的情形〕执行。</w:t>
      </w:r>
    </w:p>
    <w:p w14:paraId="1AFE2B7F">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承包人对安全文明施工费应专款专用，承包人应在财务账目中单独列项备查，不得挪作他用，否则发包人有权责令其限期改正；逾期未改正的，可以责令其暂停施工，由此增加的费用和（或）延误的工期由承包人承担。</w:t>
      </w:r>
    </w:p>
    <w:p w14:paraId="6F3FBEA3">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6.1.7 紧急情况处理</w:t>
      </w:r>
    </w:p>
    <w:p w14:paraId="3E160960">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在工程实施期间或缺陷责任期内发生危及工程安全的事件，监理人通知承包人进行抢救，承包人声明无能力或不愿立即执行的，发包人有权雇佣其他人员进行抢救。此类抢救按合同约定属于承包人义务的，由此增加的费用和（或）延误的工期由承包人承担。</w:t>
      </w:r>
    </w:p>
    <w:p w14:paraId="779747C2">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6.1.8 事故处理</w:t>
      </w:r>
    </w:p>
    <w:p w14:paraId="2E9FFDB1">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工程施工过程中发生事故的，承包人应立即通知监理人，监理人应立即通知发包人。发包人和承包人应立即组织人员和设备进行紧急抢救和抢修，减少人员伤亡和财产损失，防止事故扩大，并保护事故现场。需要移动现场物品时，应</w:t>
      </w:r>
      <w:r>
        <w:rPr>
          <w:rFonts w:hint="eastAsia" w:ascii="仿宋_GB2312" w:hAnsi="仿宋_GB2312" w:eastAsia="仿宋_GB2312" w:cs="仿宋_GB2312"/>
          <w:color w:val="auto"/>
          <w:kern w:val="0"/>
          <w:sz w:val="32"/>
          <w:szCs w:val="32"/>
          <w:highlight w:val="none"/>
          <w:lang w:eastAsia="zh-CN"/>
        </w:rPr>
        <w:t>做出</w:t>
      </w:r>
      <w:r>
        <w:rPr>
          <w:rFonts w:hint="eastAsia" w:ascii="仿宋_GB2312" w:hAnsi="仿宋_GB2312" w:eastAsia="仿宋_GB2312" w:cs="仿宋_GB2312"/>
          <w:color w:val="auto"/>
          <w:kern w:val="0"/>
          <w:sz w:val="32"/>
          <w:szCs w:val="32"/>
          <w:highlight w:val="none"/>
        </w:rPr>
        <w:t>标记和书面记录，妥善保管有关证据。发包人和承包人应按国家有关规定，及时如实地向有关部门报告事故发生的情况，以及正在采取的紧急措施等。</w:t>
      </w:r>
    </w:p>
    <w:p w14:paraId="09D7CE53">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6.1.9 安全生产责任</w:t>
      </w:r>
    </w:p>
    <w:p w14:paraId="73827241">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6.1.9.1 发包人的安全责任</w:t>
      </w:r>
    </w:p>
    <w:p w14:paraId="1E3A140A">
      <w:pPr>
        <w:snapToGrid/>
        <w:spacing w:line="576"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发包人应负责赔偿以下各种情况造成的损失：</w:t>
      </w:r>
    </w:p>
    <w:p w14:paraId="1F7A3911">
      <w:pPr>
        <w:snapToGrid/>
        <w:spacing w:line="576"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（1）工程或工程的任何部分对土地的占用所造成的第三者财产损失；</w:t>
      </w:r>
    </w:p>
    <w:p w14:paraId="6C132D29">
      <w:pPr>
        <w:snapToGrid/>
        <w:spacing w:line="576"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（2）由于发包人原因在施工场地及其毗邻地带造成的第三者人身伤亡和财产损失；</w:t>
      </w:r>
    </w:p>
    <w:p w14:paraId="03B4C6D1">
      <w:pPr>
        <w:snapToGrid/>
        <w:spacing w:line="576"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（3）由于发包人原因对承包人、监理人造成的人员人身伤亡和财产损失；</w:t>
      </w:r>
    </w:p>
    <w:p w14:paraId="412F018C">
      <w:pPr>
        <w:snapToGrid/>
        <w:spacing w:line="576"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（4）由于发包人原因造成的发包人自身人员的人身伤害以及财产损失。</w:t>
      </w:r>
    </w:p>
    <w:p w14:paraId="4D4CB727">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6.1.9.2 承包人的安全责任</w:t>
      </w:r>
    </w:p>
    <w:p w14:paraId="1DE8484C">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sz w:val="32"/>
          <w:szCs w:val="32"/>
          <w:highlight w:val="none"/>
        </w:rPr>
        <w:t>由于承包人原因在施工场地内及其毗邻地带造成的发包人、监理人以及第三者人员伤亡和财产损失，由承包人负责赔偿。</w:t>
      </w:r>
      <w:bookmarkStart w:id="691" w:name="_Toc351203540"/>
    </w:p>
    <w:p w14:paraId="02C00BA1">
      <w:pPr>
        <w:spacing w:line="576" w:lineRule="exact"/>
        <w:ind w:firstLine="640" w:firstLineChars="200"/>
        <w:jc w:val="both"/>
        <w:outlineLvl w:val="2"/>
        <w:rPr>
          <w:rFonts w:hint="eastAsia" w:ascii="仿宋_GB2312" w:hAnsi="仿宋_GB2312" w:eastAsia="仿宋_GB2312" w:cs="仿宋_GB2312"/>
          <w:color w:val="auto"/>
          <w:sz w:val="32"/>
          <w:szCs w:val="32"/>
          <w:highlight w:val="none"/>
        </w:rPr>
      </w:pPr>
      <w:bookmarkStart w:id="692" w:name="_Toc337558765"/>
      <w:bookmarkStart w:id="693" w:name="_Toc32060"/>
      <w:bookmarkStart w:id="694" w:name="_Toc27355"/>
      <w:bookmarkStart w:id="695" w:name="_Toc18215"/>
      <w:bookmarkStart w:id="696" w:name="_Toc8976"/>
      <w:bookmarkStart w:id="697" w:name="_Toc12342"/>
      <w:bookmarkStart w:id="698" w:name="_Toc25196"/>
      <w:bookmarkStart w:id="699" w:name="_Toc7396"/>
      <w:bookmarkStart w:id="700" w:name="_Toc4922"/>
      <w:r>
        <w:rPr>
          <w:rFonts w:hint="eastAsia" w:ascii="仿宋_GB2312" w:hAnsi="仿宋_GB2312" w:eastAsia="仿宋_GB2312" w:cs="仿宋_GB2312"/>
          <w:color w:val="auto"/>
          <w:sz w:val="32"/>
          <w:szCs w:val="32"/>
          <w:highlight w:val="none"/>
        </w:rPr>
        <w:t>6.2 职业健</w:t>
      </w:r>
      <w:bookmarkEnd w:id="691"/>
      <w:r>
        <w:rPr>
          <w:rFonts w:hint="eastAsia" w:ascii="仿宋_GB2312" w:hAnsi="仿宋_GB2312" w:eastAsia="仿宋_GB2312" w:cs="仿宋_GB2312"/>
          <w:color w:val="auto"/>
          <w:sz w:val="32"/>
          <w:szCs w:val="32"/>
          <w:highlight w:val="none"/>
        </w:rPr>
        <w:t>康</w:t>
      </w:r>
      <w:bookmarkEnd w:id="692"/>
      <w:bookmarkEnd w:id="693"/>
      <w:bookmarkEnd w:id="694"/>
      <w:bookmarkEnd w:id="695"/>
      <w:bookmarkEnd w:id="696"/>
      <w:bookmarkEnd w:id="697"/>
      <w:bookmarkEnd w:id="698"/>
      <w:bookmarkEnd w:id="699"/>
      <w:bookmarkEnd w:id="700"/>
    </w:p>
    <w:p w14:paraId="326241EA">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6.2.1 劳动保护</w:t>
      </w:r>
    </w:p>
    <w:p w14:paraId="58D1297B">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承包人应按照法律规定安排现场施工人员的劳动和休息时间，保障劳动者的休息时间，并支付合理的报酬和费用。承包人应依法为其履行合同所雇用的人员办理必要的证件、许可、保险和注册等，承包人应督促其分包人为分包人所雇用的人员办理必要的证件、许可、保险和注册等。</w:t>
      </w:r>
    </w:p>
    <w:p w14:paraId="1A8B7103">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承包人应按照法律规定保障现场施工人员的劳动安全，并提供劳动保护</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并应按国家有关劳动保护的规定，采取有效</w:t>
      </w:r>
      <w:r>
        <w:rPr>
          <w:rFonts w:hint="eastAsia" w:ascii="仿宋_GB2312" w:hAnsi="仿宋_GB2312" w:eastAsia="仿宋_GB2312" w:cs="仿宋_GB2312"/>
          <w:color w:val="auto"/>
          <w:kern w:val="0"/>
          <w:sz w:val="32"/>
          <w:szCs w:val="32"/>
          <w:highlight w:val="none"/>
          <w:lang w:eastAsia="zh-CN"/>
        </w:rPr>
        <w:t>地</w:t>
      </w:r>
      <w:r>
        <w:rPr>
          <w:rFonts w:hint="eastAsia" w:ascii="仿宋_GB2312" w:hAnsi="仿宋_GB2312" w:eastAsia="仿宋_GB2312" w:cs="仿宋_GB2312"/>
          <w:color w:val="auto"/>
          <w:kern w:val="0"/>
          <w:sz w:val="32"/>
          <w:szCs w:val="32"/>
          <w:highlight w:val="none"/>
        </w:rPr>
        <w:t>防止粉尘、降低噪声、控制有害气体和保障高温、高寒、高空作业安全等劳动保护措施。承包人雇佣人员在施工中受到伤害的，承包人应立即采取有效措施进行抢救和治疗。</w:t>
      </w:r>
    </w:p>
    <w:p w14:paraId="30C2B463">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承包人应按法律规定安排工作时间，保证其雇佣人员享有休息和休假的权利。因工程施工的特殊需要占用休假日或延长工作时间的，应不超过法律规定的限度，并按法律规定给予补休或付酬。</w:t>
      </w:r>
    </w:p>
    <w:p w14:paraId="750A62CC">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6.2.2 生活条件</w:t>
      </w:r>
    </w:p>
    <w:p w14:paraId="1A69EFC7">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承包人应为其履行合同所雇用的人员提供必要的膳宿条件和生活环境；承包人应采取有效措施预防传染病，保证施工人员的健康，并定期对施工现场、施工人员生活基地和工程进行防疫和卫生的专业检查和处理</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 xml:space="preserve"> 在远离城镇的施工场地，还应配备必要的伤病防治和急救的医务人员与医疗设施。</w:t>
      </w:r>
      <w:bookmarkStart w:id="701" w:name="_Toc351203541"/>
    </w:p>
    <w:p w14:paraId="67747AC8">
      <w:pPr>
        <w:spacing w:line="576" w:lineRule="exact"/>
        <w:ind w:firstLine="640" w:firstLineChars="200"/>
        <w:jc w:val="both"/>
        <w:outlineLvl w:val="2"/>
        <w:rPr>
          <w:rFonts w:hint="eastAsia" w:ascii="仿宋_GB2312" w:hAnsi="仿宋_GB2312" w:eastAsia="仿宋_GB2312" w:cs="仿宋_GB2312"/>
          <w:color w:val="auto"/>
          <w:sz w:val="32"/>
          <w:szCs w:val="32"/>
          <w:highlight w:val="none"/>
        </w:rPr>
      </w:pPr>
      <w:bookmarkStart w:id="702" w:name="_Toc14079"/>
      <w:bookmarkStart w:id="703" w:name="_Toc27476"/>
      <w:bookmarkStart w:id="704" w:name="_Toc13620"/>
      <w:bookmarkStart w:id="705" w:name="_Toc19903"/>
      <w:bookmarkStart w:id="706" w:name="_Toc337558766"/>
      <w:bookmarkStart w:id="707" w:name="_Toc32193"/>
      <w:bookmarkStart w:id="708" w:name="_Toc102"/>
      <w:bookmarkStart w:id="709" w:name="_Toc1451"/>
      <w:bookmarkStart w:id="710" w:name="_Toc10098"/>
      <w:r>
        <w:rPr>
          <w:rFonts w:hint="eastAsia" w:ascii="仿宋_GB2312" w:hAnsi="仿宋_GB2312" w:eastAsia="仿宋_GB2312" w:cs="仿宋_GB2312"/>
          <w:color w:val="auto"/>
          <w:sz w:val="32"/>
          <w:szCs w:val="32"/>
          <w:highlight w:val="none"/>
        </w:rPr>
        <w:t>6.3 环境保</w:t>
      </w:r>
      <w:bookmarkEnd w:id="701"/>
      <w:r>
        <w:rPr>
          <w:rFonts w:hint="eastAsia" w:ascii="仿宋_GB2312" w:hAnsi="仿宋_GB2312" w:eastAsia="仿宋_GB2312" w:cs="仿宋_GB2312"/>
          <w:color w:val="auto"/>
          <w:sz w:val="32"/>
          <w:szCs w:val="32"/>
          <w:highlight w:val="none"/>
        </w:rPr>
        <w:t>护</w:t>
      </w:r>
      <w:bookmarkEnd w:id="702"/>
      <w:bookmarkEnd w:id="703"/>
      <w:bookmarkEnd w:id="704"/>
      <w:bookmarkEnd w:id="705"/>
      <w:bookmarkEnd w:id="706"/>
      <w:bookmarkEnd w:id="707"/>
      <w:bookmarkEnd w:id="708"/>
      <w:bookmarkEnd w:id="709"/>
      <w:bookmarkEnd w:id="710"/>
    </w:p>
    <w:p w14:paraId="0EB22765">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承包人应在施工组织设计中列明环境保护的具体措施。在合同履行期间，承包人应采取合理措施保护施工现场环境。对施工作业过程中可能引起的大气、水、噪音以及固体废物污染采取具体可行的防范措施。</w:t>
      </w:r>
    </w:p>
    <w:p w14:paraId="0D0E40CF">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承包人应当承担因其原因引起的环境污染侵权损害赔偿责任，因上述环境污染引起纠纷而导致暂停施工的，由此增加的费用和（或）延误的工期由承包人承担。</w:t>
      </w:r>
      <w:bookmarkStart w:id="711" w:name="_Toc351203542"/>
    </w:p>
    <w:p w14:paraId="4D9D5B27">
      <w:pPr>
        <w:spacing w:line="576" w:lineRule="exact"/>
        <w:jc w:val="both"/>
        <w:outlineLvl w:val="1"/>
        <w:rPr>
          <w:rFonts w:hint="eastAsia" w:ascii="仿宋_GB2312" w:hAnsi="仿宋_GB2312" w:eastAsia="仿宋_GB2312" w:cs="仿宋_GB2312"/>
          <w:color w:val="auto"/>
          <w:sz w:val="32"/>
          <w:szCs w:val="32"/>
          <w:highlight w:val="none"/>
        </w:rPr>
      </w:pPr>
      <w:bookmarkStart w:id="712" w:name="_Toc4917"/>
      <w:bookmarkStart w:id="713" w:name="_Toc23554"/>
      <w:bookmarkStart w:id="714" w:name="_Toc5650"/>
      <w:bookmarkStart w:id="715" w:name="_Toc337558767"/>
      <w:bookmarkStart w:id="716" w:name="_Toc4583"/>
      <w:bookmarkStart w:id="717" w:name="_Toc3781"/>
      <w:bookmarkStart w:id="718" w:name="_Toc7352"/>
      <w:bookmarkStart w:id="719" w:name="_Toc5194"/>
      <w:bookmarkStart w:id="720" w:name="_Toc788"/>
      <w:bookmarkStart w:id="721" w:name="_Toc14562"/>
      <w:bookmarkStart w:id="722" w:name="_Toc20579"/>
      <w:r>
        <w:rPr>
          <w:rFonts w:hint="eastAsia" w:ascii="仿宋_GB2312" w:hAnsi="仿宋_GB2312" w:eastAsia="仿宋_GB2312" w:cs="仿宋_GB2312"/>
          <w:color w:val="auto"/>
          <w:sz w:val="32"/>
          <w:szCs w:val="32"/>
          <w:highlight w:val="none"/>
        </w:rPr>
        <w:t>7. 工期和进</w:t>
      </w:r>
      <w:bookmarkEnd w:id="711"/>
      <w:r>
        <w:rPr>
          <w:rFonts w:hint="eastAsia" w:ascii="仿宋_GB2312" w:hAnsi="仿宋_GB2312" w:eastAsia="仿宋_GB2312" w:cs="仿宋_GB2312"/>
          <w:color w:val="auto"/>
          <w:sz w:val="32"/>
          <w:szCs w:val="32"/>
          <w:highlight w:val="none"/>
        </w:rPr>
        <w:t>度</w:t>
      </w:r>
      <w:bookmarkEnd w:id="712"/>
      <w:bookmarkEnd w:id="713"/>
      <w:bookmarkEnd w:id="714"/>
      <w:bookmarkEnd w:id="715"/>
      <w:bookmarkEnd w:id="716"/>
      <w:bookmarkEnd w:id="717"/>
      <w:bookmarkEnd w:id="718"/>
      <w:bookmarkEnd w:id="719"/>
      <w:bookmarkEnd w:id="720"/>
      <w:bookmarkEnd w:id="721"/>
      <w:bookmarkEnd w:id="722"/>
      <w:bookmarkStart w:id="723" w:name="_Toc351203543"/>
    </w:p>
    <w:p w14:paraId="60C252CC">
      <w:pPr>
        <w:spacing w:line="576" w:lineRule="exact"/>
        <w:ind w:firstLine="640" w:firstLineChars="200"/>
        <w:jc w:val="both"/>
        <w:outlineLvl w:val="2"/>
        <w:rPr>
          <w:rFonts w:hint="eastAsia" w:ascii="仿宋_GB2312" w:hAnsi="仿宋_GB2312" w:eastAsia="仿宋_GB2312" w:cs="仿宋_GB2312"/>
          <w:color w:val="auto"/>
          <w:sz w:val="32"/>
          <w:szCs w:val="32"/>
          <w:highlight w:val="none"/>
        </w:rPr>
      </w:pPr>
      <w:bookmarkStart w:id="724" w:name="_Toc23188"/>
      <w:bookmarkStart w:id="725" w:name="_Toc19063"/>
      <w:bookmarkStart w:id="726" w:name="_Toc23988"/>
      <w:bookmarkStart w:id="727" w:name="_Toc337558768"/>
      <w:bookmarkStart w:id="728" w:name="_Toc21972"/>
      <w:bookmarkStart w:id="729" w:name="_Toc25254"/>
      <w:bookmarkStart w:id="730" w:name="_Toc6963"/>
      <w:bookmarkStart w:id="731" w:name="_Toc4606"/>
      <w:bookmarkStart w:id="732" w:name="_Toc25765"/>
      <w:bookmarkStart w:id="733" w:name="_Toc296346567"/>
      <w:bookmarkStart w:id="734" w:name="_Toc296503066"/>
      <w:r>
        <w:rPr>
          <w:rFonts w:hint="eastAsia" w:ascii="仿宋_GB2312" w:hAnsi="仿宋_GB2312" w:eastAsia="仿宋_GB2312" w:cs="仿宋_GB2312"/>
          <w:color w:val="auto"/>
          <w:sz w:val="32"/>
          <w:szCs w:val="32"/>
          <w:highlight w:val="none"/>
        </w:rPr>
        <w:t>7.1施工组织设</w:t>
      </w:r>
      <w:bookmarkEnd w:id="723"/>
      <w:r>
        <w:rPr>
          <w:rFonts w:hint="eastAsia" w:ascii="仿宋_GB2312" w:hAnsi="仿宋_GB2312" w:eastAsia="仿宋_GB2312" w:cs="仿宋_GB2312"/>
          <w:color w:val="auto"/>
          <w:sz w:val="32"/>
          <w:szCs w:val="32"/>
          <w:highlight w:val="none"/>
        </w:rPr>
        <w:t>计</w:t>
      </w:r>
      <w:bookmarkEnd w:id="724"/>
      <w:bookmarkEnd w:id="725"/>
      <w:bookmarkEnd w:id="726"/>
      <w:bookmarkEnd w:id="727"/>
      <w:bookmarkEnd w:id="728"/>
      <w:bookmarkEnd w:id="729"/>
      <w:bookmarkEnd w:id="730"/>
      <w:bookmarkEnd w:id="731"/>
      <w:bookmarkEnd w:id="732"/>
    </w:p>
    <w:p w14:paraId="228791D3">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sz w:val="32"/>
          <w:szCs w:val="32"/>
          <w:highlight w:val="none"/>
        </w:rPr>
        <w:t>7.1.1</w:t>
      </w:r>
      <w:r>
        <w:rPr>
          <w:rFonts w:hint="eastAsia" w:ascii="仿宋_GB2312" w:hAnsi="仿宋_GB2312" w:eastAsia="仿宋_GB2312" w:cs="仿宋_GB2312"/>
          <w:color w:val="auto"/>
          <w:kern w:val="0"/>
          <w:sz w:val="32"/>
          <w:szCs w:val="32"/>
          <w:highlight w:val="none"/>
        </w:rPr>
        <w:t>施工组织设计的内容</w:t>
      </w:r>
    </w:p>
    <w:p w14:paraId="2538BB68">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施工组织设计应包含以下内容：</w:t>
      </w:r>
    </w:p>
    <w:p w14:paraId="22E2C3B7">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 xml:space="preserve">（1）施工方案； </w:t>
      </w:r>
    </w:p>
    <w:p w14:paraId="50892F30">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（2）施工现场平面布置图；</w:t>
      </w:r>
    </w:p>
    <w:p w14:paraId="002A10B1">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 xml:space="preserve">（3）施工进度计划和保证措施； </w:t>
      </w:r>
    </w:p>
    <w:p w14:paraId="7EAFC48C">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（4）劳动力及材料供应计划；</w:t>
      </w:r>
    </w:p>
    <w:p w14:paraId="0C1DBA19">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（5）施工机械设备的选用；</w:t>
      </w:r>
    </w:p>
    <w:p w14:paraId="7F75C62B">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（6）质量保证体系及措施；</w:t>
      </w:r>
    </w:p>
    <w:p w14:paraId="0C371F38">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（7）安全生产、文明施工措施；</w:t>
      </w:r>
    </w:p>
    <w:p w14:paraId="3BCDAB68">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（8）环境保护、成本控制措施；</w:t>
      </w:r>
    </w:p>
    <w:p w14:paraId="6CF5874C">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（9）合同当事人约定的其他内容。</w:t>
      </w:r>
    </w:p>
    <w:p w14:paraId="27D9A683">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sz w:val="32"/>
          <w:szCs w:val="32"/>
          <w:highlight w:val="none"/>
        </w:rPr>
        <w:t>7.1.2</w:t>
      </w:r>
      <w:r>
        <w:rPr>
          <w:rFonts w:hint="eastAsia" w:ascii="仿宋_GB2312" w:hAnsi="仿宋_GB2312" w:eastAsia="仿宋_GB2312" w:cs="仿宋_GB2312"/>
          <w:color w:val="auto"/>
          <w:kern w:val="0"/>
          <w:sz w:val="32"/>
          <w:szCs w:val="32"/>
          <w:highlight w:val="none"/>
        </w:rPr>
        <w:t>施工组织设计的提交和修改</w:t>
      </w:r>
    </w:p>
    <w:p w14:paraId="4831BD96">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除专用合同条款另有约定外，承包人应在合同签订后14天内，但至迟不得晚于第7.3.2项〔开工通知〕载明的开工日期前7天，向监理人提交详细的施工组织设计，并由监理人报送发包人。除专用合同条款另有约定外，发包人和监理人应在监理人收到施工组织设计后7天内确认或提出修改意见。对发包人和监理人提出的合理意见和要求，承包人应自费修改完善。根据工程实际情况需要修改施工组织设计的，承包人应向发包人和监理人提交修改后的施工组织设计。</w:t>
      </w:r>
    </w:p>
    <w:p w14:paraId="20D04198">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施工进度计划的编制和修改按照第7.2款〔施工进度计划〕执行。</w:t>
      </w:r>
      <w:bookmarkStart w:id="735" w:name="_Toc351203544"/>
    </w:p>
    <w:p w14:paraId="47672C5B">
      <w:pPr>
        <w:spacing w:line="576" w:lineRule="exact"/>
        <w:ind w:firstLine="640" w:firstLineChars="200"/>
        <w:jc w:val="both"/>
        <w:outlineLvl w:val="2"/>
        <w:rPr>
          <w:rFonts w:hint="eastAsia" w:ascii="仿宋_GB2312" w:hAnsi="仿宋_GB2312" w:eastAsia="仿宋_GB2312" w:cs="仿宋_GB2312"/>
          <w:color w:val="auto"/>
          <w:sz w:val="32"/>
          <w:szCs w:val="32"/>
          <w:highlight w:val="none"/>
        </w:rPr>
      </w:pPr>
      <w:bookmarkStart w:id="736" w:name="_Toc18377"/>
      <w:bookmarkStart w:id="737" w:name="_Toc337558769"/>
      <w:bookmarkStart w:id="738" w:name="_Toc13989"/>
      <w:bookmarkStart w:id="739" w:name="_Toc10820"/>
      <w:bookmarkStart w:id="740" w:name="_Toc20276"/>
      <w:bookmarkStart w:id="741" w:name="_Toc7723"/>
      <w:bookmarkStart w:id="742" w:name="_Toc8705"/>
      <w:bookmarkStart w:id="743" w:name="_Toc27196"/>
      <w:bookmarkStart w:id="744" w:name="_Toc16066"/>
      <w:r>
        <w:rPr>
          <w:rFonts w:hint="eastAsia" w:ascii="仿宋_GB2312" w:hAnsi="仿宋_GB2312" w:eastAsia="仿宋_GB2312" w:cs="仿宋_GB2312"/>
          <w:color w:val="auto"/>
          <w:sz w:val="32"/>
          <w:szCs w:val="32"/>
          <w:highlight w:val="none"/>
        </w:rPr>
        <w:t>7.2 施工进度计</w:t>
      </w:r>
      <w:bookmarkEnd w:id="735"/>
      <w:r>
        <w:rPr>
          <w:rFonts w:hint="eastAsia" w:ascii="仿宋_GB2312" w:hAnsi="仿宋_GB2312" w:eastAsia="仿宋_GB2312" w:cs="仿宋_GB2312"/>
          <w:color w:val="auto"/>
          <w:sz w:val="32"/>
          <w:szCs w:val="32"/>
          <w:highlight w:val="none"/>
        </w:rPr>
        <w:t>划</w:t>
      </w:r>
      <w:bookmarkEnd w:id="736"/>
      <w:bookmarkEnd w:id="737"/>
      <w:bookmarkEnd w:id="738"/>
      <w:bookmarkEnd w:id="739"/>
      <w:bookmarkEnd w:id="740"/>
      <w:bookmarkEnd w:id="741"/>
      <w:bookmarkEnd w:id="742"/>
      <w:bookmarkEnd w:id="743"/>
      <w:bookmarkEnd w:id="744"/>
    </w:p>
    <w:p w14:paraId="02169941">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7.2.1 施工进度计划的编制</w:t>
      </w:r>
    </w:p>
    <w:p w14:paraId="44556026">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承包人应按照第7.1款〔施工组织设计〕约定提交详细的施工进度计划，施工进度计划的编制应当符合国家法律规定和一般工程实践惯例，施工进度计划经发包人批准后实施。施工进度计划是控制工程进度的依据，发包人和监理人有权按照施工进度计划检查工程进度情况。</w:t>
      </w:r>
    </w:p>
    <w:p w14:paraId="51B42756">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sz w:val="32"/>
          <w:szCs w:val="32"/>
          <w:highlight w:val="none"/>
        </w:rPr>
        <w:t>7.2.2 施工进度计划的修订</w:t>
      </w:r>
    </w:p>
    <w:p w14:paraId="272E26F3">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施工进度计划不符合合同要求或与工程的实际进度不一致的，承包人应向监理人提交修订的施工进度计划，并附具有关措施和相关资料，由监理人报送发包人。除专用合同条款另有约定外，发包人和监理人应在收到修订的施工进度计划后7天内完成审核和批准或提出修改意见。发包人和监理人对承包人提交的施工进度计划的确认，不能减轻或免除承包人根据法律规定和合同约定应承担的任何责任或义务。</w:t>
      </w:r>
      <w:bookmarkStart w:id="745" w:name="_Toc351203545"/>
    </w:p>
    <w:p w14:paraId="2B38631B">
      <w:pPr>
        <w:spacing w:line="576" w:lineRule="exact"/>
        <w:ind w:firstLine="640" w:firstLineChars="200"/>
        <w:jc w:val="both"/>
        <w:outlineLvl w:val="2"/>
        <w:rPr>
          <w:rFonts w:hint="eastAsia" w:ascii="仿宋_GB2312" w:hAnsi="仿宋_GB2312" w:eastAsia="仿宋_GB2312" w:cs="仿宋_GB2312"/>
          <w:color w:val="auto"/>
          <w:sz w:val="32"/>
          <w:szCs w:val="32"/>
          <w:highlight w:val="none"/>
        </w:rPr>
      </w:pPr>
      <w:bookmarkStart w:id="746" w:name="_Toc15507"/>
      <w:bookmarkStart w:id="747" w:name="_Toc23946"/>
      <w:bookmarkStart w:id="748" w:name="_Toc17454"/>
      <w:bookmarkStart w:id="749" w:name="_Toc32089"/>
      <w:bookmarkStart w:id="750" w:name="_Toc2388"/>
      <w:bookmarkStart w:id="751" w:name="_Toc21584"/>
      <w:bookmarkStart w:id="752" w:name="_Toc9243"/>
      <w:bookmarkStart w:id="753" w:name="_Toc20337"/>
      <w:bookmarkStart w:id="754" w:name="_Toc337558770"/>
      <w:r>
        <w:rPr>
          <w:rFonts w:hint="eastAsia" w:ascii="仿宋_GB2312" w:hAnsi="仿宋_GB2312" w:eastAsia="仿宋_GB2312" w:cs="仿宋_GB2312"/>
          <w:color w:val="auto"/>
          <w:sz w:val="32"/>
          <w:szCs w:val="32"/>
          <w:highlight w:val="none"/>
        </w:rPr>
        <w:t>7.3 开</w:t>
      </w:r>
      <w:bookmarkEnd w:id="745"/>
      <w:r>
        <w:rPr>
          <w:rFonts w:hint="eastAsia" w:ascii="仿宋_GB2312" w:hAnsi="仿宋_GB2312" w:eastAsia="仿宋_GB2312" w:cs="仿宋_GB2312"/>
          <w:color w:val="auto"/>
          <w:sz w:val="32"/>
          <w:szCs w:val="32"/>
          <w:highlight w:val="none"/>
        </w:rPr>
        <w:t>工</w:t>
      </w:r>
      <w:bookmarkEnd w:id="746"/>
      <w:bookmarkEnd w:id="747"/>
      <w:bookmarkEnd w:id="748"/>
      <w:bookmarkEnd w:id="749"/>
      <w:bookmarkEnd w:id="750"/>
      <w:bookmarkEnd w:id="751"/>
      <w:bookmarkEnd w:id="752"/>
      <w:bookmarkEnd w:id="753"/>
    </w:p>
    <w:p w14:paraId="5A144A98">
      <w:pPr>
        <w:snapToGrid/>
        <w:spacing w:line="576"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kern w:val="0"/>
          <w:sz w:val="32"/>
          <w:szCs w:val="32"/>
          <w:highlight w:val="none"/>
        </w:rPr>
        <w:t>7.3.1 开工准备</w:t>
      </w:r>
    </w:p>
    <w:p w14:paraId="79D5763C">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除专用合同条款另有约定外，承包人应按照第7.1款〔施工组织设计〕约定的期限，向监理人提交工程开工报审表，经监理人报发包人批准后执行。开工报审表应详细说明按施工进度计划正常施工所需的施工道路、临时设施、材料、工程设备、施工设备、施工人员等落实情况以及工程的进度安排。</w:t>
      </w:r>
    </w:p>
    <w:p w14:paraId="75950200">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除专用合同条款另有约定外，合同当事人应按约定完成开工准备工作。</w:t>
      </w:r>
    </w:p>
    <w:p w14:paraId="7466CF32">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7.3.2 开工通知</w:t>
      </w:r>
      <w:bookmarkEnd w:id="754"/>
    </w:p>
    <w:p w14:paraId="718522D7">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发包人应按照法律规定获得工程施工所需的许可。经发包人同意后，监理人发出的开工通知应符合法律规定。监理人应在计划开工日期7天前向承包人发出开工通知，工期自开工通知中载明的开工日期起算。</w:t>
      </w:r>
    </w:p>
    <w:p w14:paraId="6D8BECE0">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除专用合同条款另有约定外，因发包人原因造成监理人未能在计划开工日期之日起90天内发出开工通知的，承包人有权提出价格调整要求，或者解除合同。发包人应当承担由此增加的费用和（或）延误的工期，并向承包人支付合理利润。</w:t>
      </w:r>
      <w:bookmarkStart w:id="755" w:name="_Toc351203546"/>
    </w:p>
    <w:p w14:paraId="55C156D4">
      <w:pPr>
        <w:spacing w:line="576" w:lineRule="exact"/>
        <w:ind w:firstLine="640" w:firstLineChars="200"/>
        <w:jc w:val="both"/>
        <w:outlineLvl w:val="2"/>
        <w:rPr>
          <w:rFonts w:hint="eastAsia" w:ascii="仿宋_GB2312" w:hAnsi="仿宋_GB2312" w:eastAsia="仿宋_GB2312" w:cs="仿宋_GB2312"/>
          <w:color w:val="auto"/>
          <w:sz w:val="32"/>
          <w:szCs w:val="32"/>
          <w:highlight w:val="none"/>
        </w:rPr>
      </w:pPr>
      <w:bookmarkStart w:id="756" w:name="_Toc21937"/>
      <w:bookmarkStart w:id="757" w:name="_Toc10112"/>
      <w:bookmarkStart w:id="758" w:name="_Toc28469"/>
      <w:bookmarkStart w:id="759" w:name="_Toc26569"/>
      <w:bookmarkStart w:id="760" w:name="_Toc18992"/>
      <w:bookmarkStart w:id="761" w:name="_Toc28846"/>
      <w:bookmarkStart w:id="762" w:name="_Toc13901"/>
      <w:bookmarkStart w:id="763" w:name="_Toc29631"/>
      <w:r>
        <w:rPr>
          <w:rFonts w:hint="eastAsia" w:ascii="仿宋_GB2312" w:hAnsi="仿宋_GB2312" w:eastAsia="仿宋_GB2312" w:cs="仿宋_GB2312"/>
          <w:color w:val="auto"/>
          <w:sz w:val="32"/>
          <w:szCs w:val="32"/>
          <w:highlight w:val="none"/>
        </w:rPr>
        <w:t>7.4测量放</w:t>
      </w:r>
      <w:bookmarkEnd w:id="755"/>
      <w:r>
        <w:rPr>
          <w:rFonts w:hint="eastAsia" w:ascii="仿宋_GB2312" w:hAnsi="仿宋_GB2312" w:eastAsia="仿宋_GB2312" w:cs="仿宋_GB2312"/>
          <w:color w:val="auto"/>
          <w:sz w:val="32"/>
          <w:szCs w:val="32"/>
          <w:highlight w:val="none"/>
        </w:rPr>
        <w:t>线</w:t>
      </w:r>
      <w:bookmarkEnd w:id="756"/>
      <w:bookmarkEnd w:id="757"/>
      <w:bookmarkEnd w:id="758"/>
      <w:bookmarkEnd w:id="759"/>
      <w:bookmarkEnd w:id="760"/>
      <w:bookmarkEnd w:id="761"/>
      <w:bookmarkEnd w:id="762"/>
      <w:bookmarkEnd w:id="763"/>
    </w:p>
    <w:p w14:paraId="183E9449">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7.4.1 除专用合同条款另有约定外，发包人应在至迟不得晚于第7.3.2项〔开工通知〕载明的开工日期前7天通过监理人向承包人提供测量基准点、基准线和水准点及其书面资料。发包人应对其提供的测量基准点、基准线和水准点及其书面资料的真实性、准确性和完整性负责。</w:t>
      </w:r>
    </w:p>
    <w:p w14:paraId="559CD967">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承包人发现发包人提供的测量基准点、基准线和水准点及其书面资料存在错误或疏漏的，应及时通知监理人。监理人应及时报告发包人，并会同发包人和承包人予以核实。发包人应就如何处理和是否继续施工作出决定，并通知监理人和承包人。</w:t>
      </w:r>
    </w:p>
    <w:p w14:paraId="377FB654">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7.4.2 承包人负责施工过程中的全部施工测量放线工作，并配置具有相应资质的人员、合格的仪器、设备和其他物品。承包人应矫正工程的位置、标高、尺寸或准线中出现的任何差错，并对工程各部分的定位负责。</w:t>
      </w:r>
    </w:p>
    <w:p w14:paraId="297FED18">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施工过程中对施工现场内水准点等测量标志物的保护工作由承包人负责</w:t>
      </w:r>
      <w:bookmarkStart w:id="764" w:name="_Toc351203547"/>
      <w:r>
        <w:rPr>
          <w:rFonts w:hint="eastAsia" w:ascii="仿宋_GB2312" w:hAnsi="仿宋_GB2312" w:eastAsia="仿宋_GB2312" w:cs="仿宋_GB2312"/>
          <w:color w:val="auto"/>
          <w:kern w:val="0"/>
          <w:sz w:val="32"/>
          <w:szCs w:val="32"/>
          <w:highlight w:val="none"/>
        </w:rPr>
        <w:t>。</w:t>
      </w:r>
    </w:p>
    <w:bookmarkEnd w:id="733"/>
    <w:bookmarkEnd w:id="734"/>
    <w:p w14:paraId="67C3C251">
      <w:pPr>
        <w:spacing w:line="576" w:lineRule="exact"/>
        <w:ind w:firstLine="640" w:firstLineChars="200"/>
        <w:jc w:val="both"/>
        <w:outlineLvl w:val="2"/>
        <w:rPr>
          <w:rFonts w:hint="eastAsia" w:ascii="仿宋_GB2312" w:hAnsi="仿宋_GB2312" w:eastAsia="仿宋_GB2312" w:cs="仿宋_GB2312"/>
          <w:color w:val="auto"/>
          <w:sz w:val="32"/>
          <w:szCs w:val="32"/>
          <w:highlight w:val="none"/>
        </w:rPr>
      </w:pPr>
      <w:bookmarkStart w:id="765" w:name="_Toc11966"/>
      <w:bookmarkStart w:id="766" w:name="_Toc13374"/>
      <w:bookmarkStart w:id="767" w:name="_Toc16013"/>
      <w:bookmarkStart w:id="768" w:name="_Toc14388"/>
      <w:bookmarkStart w:id="769" w:name="_Toc337558772"/>
      <w:bookmarkStart w:id="770" w:name="_Toc16428"/>
      <w:bookmarkStart w:id="771" w:name="_Toc296503073"/>
      <w:bookmarkStart w:id="772" w:name="_Toc9680"/>
      <w:bookmarkStart w:id="773" w:name="_Toc296346574"/>
      <w:bookmarkStart w:id="774" w:name="_Toc2359"/>
      <w:bookmarkStart w:id="775" w:name="_Toc18063"/>
      <w:r>
        <w:rPr>
          <w:rFonts w:hint="eastAsia" w:ascii="仿宋_GB2312" w:hAnsi="仿宋_GB2312" w:eastAsia="仿宋_GB2312" w:cs="仿宋_GB2312"/>
          <w:color w:val="auto"/>
          <w:sz w:val="32"/>
          <w:szCs w:val="32"/>
          <w:highlight w:val="none"/>
        </w:rPr>
        <w:t>7.5工期延</w:t>
      </w:r>
      <w:bookmarkEnd w:id="764"/>
      <w:r>
        <w:rPr>
          <w:rFonts w:hint="eastAsia" w:ascii="仿宋_GB2312" w:hAnsi="仿宋_GB2312" w:eastAsia="仿宋_GB2312" w:cs="仿宋_GB2312"/>
          <w:color w:val="auto"/>
          <w:sz w:val="32"/>
          <w:szCs w:val="32"/>
          <w:highlight w:val="none"/>
        </w:rPr>
        <w:t>误</w:t>
      </w:r>
      <w:bookmarkEnd w:id="765"/>
      <w:bookmarkEnd w:id="766"/>
      <w:bookmarkEnd w:id="767"/>
      <w:bookmarkEnd w:id="768"/>
      <w:bookmarkEnd w:id="769"/>
      <w:bookmarkEnd w:id="770"/>
      <w:bookmarkEnd w:id="771"/>
      <w:bookmarkEnd w:id="772"/>
      <w:bookmarkEnd w:id="773"/>
      <w:bookmarkEnd w:id="774"/>
      <w:bookmarkEnd w:id="775"/>
    </w:p>
    <w:p w14:paraId="438AF396">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7.5.1 因发包人原因导致工期延误</w:t>
      </w:r>
    </w:p>
    <w:p w14:paraId="762FC30C">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 xml:space="preserve">在合同履行过程中，因下列情况导致工期延误和（或）费用增加的，由发包人承担由此延误的工期和（或）增加的费用，且发包人应支付承包人合理的利润： </w:t>
      </w:r>
    </w:p>
    <w:p w14:paraId="3E33859D">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（1）发包人未能按合同约定提供图纸或所提供图纸不符合合同约定的；</w:t>
      </w:r>
    </w:p>
    <w:p w14:paraId="68972459">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（2）发包人未能按合同约定提供施工现场、施工条件、基础资料、许可、批准等开工条件的；</w:t>
      </w:r>
    </w:p>
    <w:p w14:paraId="1380A11E">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（3）发包人提供的测量基准点、基准线和水准点及其书面资料存在错误或疏漏的；</w:t>
      </w:r>
    </w:p>
    <w:p w14:paraId="67EB98E8">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（4）发包人未能在计划开工日期之日起7天内同意下达开工通知的；</w:t>
      </w:r>
    </w:p>
    <w:p w14:paraId="4F42C9DD">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（5）发包人未能按合同约定日期支付工程预付款、进度款或竣工结算款的；</w:t>
      </w:r>
    </w:p>
    <w:p w14:paraId="67814A24">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（6）监理人未按合同约定发出指示、批准等文件的；</w:t>
      </w:r>
    </w:p>
    <w:p w14:paraId="702F6598">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（7）专用合同条款中约定的其他情形。</w:t>
      </w:r>
    </w:p>
    <w:p w14:paraId="221FC2BC">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因发包人原因未按计划开工日期开工的，发包人应按实际开工日期顺延竣工日期，确保实际工期不低于合同约定的工期总日历天数。因发包人原因导致工期延误需要修订施工进度计划的，按照第7.2.2项〔施工进度计划的修订〕执行。</w:t>
      </w:r>
    </w:p>
    <w:p w14:paraId="3C2BDB4E">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kern w:val="0"/>
          <w:sz w:val="32"/>
          <w:szCs w:val="32"/>
          <w:highlight w:val="none"/>
        </w:rPr>
        <w:t>7.5.2 因承包人原因导致工期延误</w:t>
      </w:r>
      <w:bookmarkStart w:id="776" w:name="_Toc296346577"/>
      <w:bookmarkStart w:id="777" w:name="_Toc296503076"/>
    </w:p>
    <w:bookmarkEnd w:id="776"/>
    <w:bookmarkEnd w:id="777"/>
    <w:p w14:paraId="06DB4BB7">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因承包人原因造成工期延误的，可以在专用合同条款中约定逾期竣工违约金的计算方法和逾期竣工违约金的上限。承包人支付逾期竣工违约金后，不免除承包人继续完成工程及修补缺陷的义务。</w:t>
      </w:r>
      <w:bookmarkStart w:id="778" w:name="_Toc351203548"/>
    </w:p>
    <w:p w14:paraId="45791605">
      <w:pPr>
        <w:spacing w:line="576" w:lineRule="exact"/>
        <w:ind w:firstLine="640" w:firstLineChars="200"/>
        <w:jc w:val="both"/>
        <w:outlineLvl w:val="2"/>
        <w:rPr>
          <w:rFonts w:hint="eastAsia" w:ascii="仿宋_GB2312" w:hAnsi="仿宋_GB2312" w:eastAsia="仿宋_GB2312" w:cs="仿宋_GB2312"/>
          <w:color w:val="auto"/>
          <w:sz w:val="32"/>
          <w:szCs w:val="32"/>
          <w:highlight w:val="none"/>
        </w:rPr>
      </w:pPr>
      <w:bookmarkStart w:id="779" w:name="_Toc296503074"/>
      <w:bookmarkStart w:id="780" w:name="_Toc5897"/>
      <w:bookmarkStart w:id="781" w:name="_Toc16442"/>
      <w:bookmarkStart w:id="782" w:name="_Toc18763"/>
      <w:bookmarkStart w:id="783" w:name="_Toc18832"/>
      <w:bookmarkStart w:id="784" w:name="_Toc296346575"/>
      <w:bookmarkStart w:id="785" w:name="_Toc21597"/>
      <w:bookmarkStart w:id="786" w:name="_Toc1800"/>
      <w:bookmarkStart w:id="787" w:name="_Toc29790"/>
      <w:bookmarkStart w:id="788" w:name="_Toc337558773"/>
      <w:bookmarkStart w:id="789" w:name="_Toc20554"/>
      <w:bookmarkStart w:id="790" w:name="_Toc296346578"/>
      <w:bookmarkStart w:id="791" w:name="_Toc296503077"/>
      <w:r>
        <w:rPr>
          <w:rFonts w:hint="eastAsia" w:ascii="仿宋_GB2312" w:hAnsi="仿宋_GB2312" w:eastAsia="仿宋_GB2312" w:cs="仿宋_GB2312"/>
          <w:color w:val="auto"/>
          <w:sz w:val="32"/>
          <w:szCs w:val="32"/>
          <w:highlight w:val="none"/>
        </w:rPr>
        <w:t>7.6 不利物质条</w:t>
      </w:r>
      <w:bookmarkEnd w:id="778"/>
      <w:r>
        <w:rPr>
          <w:rFonts w:hint="eastAsia" w:ascii="仿宋_GB2312" w:hAnsi="仿宋_GB2312" w:eastAsia="仿宋_GB2312" w:cs="仿宋_GB2312"/>
          <w:color w:val="auto"/>
          <w:sz w:val="32"/>
          <w:szCs w:val="32"/>
          <w:highlight w:val="none"/>
        </w:rPr>
        <w:t>件</w:t>
      </w:r>
      <w:bookmarkEnd w:id="779"/>
      <w:bookmarkEnd w:id="780"/>
      <w:bookmarkEnd w:id="781"/>
      <w:bookmarkEnd w:id="782"/>
      <w:bookmarkEnd w:id="783"/>
      <w:bookmarkEnd w:id="784"/>
      <w:bookmarkEnd w:id="785"/>
      <w:bookmarkEnd w:id="786"/>
      <w:bookmarkEnd w:id="787"/>
      <w:bookmarkEnd w:id="788"/>
      <w:bookmarkEnd w:id="789"/>
    </w:p>
    <w:p w14:paraId="5D948D3D">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不利物质条件是指有经验的承包人在施工现场遇到的不可预见的自然物质条件、非自然的物质障碍和污染物，包括地表以下物质条件和水文条件以及专用合同条款约定的其他情形，但不包括气候条件。</w:t>
      </w:r>
    </w:p>
    <w:p w14:paraId="6EB1F656">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承包人遇到不利物质条件时，应采取克服不利物质条件的合理措施继续施工，并及时通知发包人和监理人。通知应载明不利物质条件的内容以及承包人认为不可预见的理由。监理人经发包人同意后应当及时发出指示，指示构成变更的，按第10条〔变更〕约定执行。承包人因采取合理措施而增加的费用和（或）延误的工期由发包人承担。</w:t>
      </w:r>
      <w:bookmarkStart w:id="792" w:name="_Toc351203549"/>
    </w:p>
    <w:p w14:paraId="55306FF6">
      <w:pPr>
        <w:spacing w:line="576" w:lineRule="exact"/>
        <w:ind w:firstLine="640" w:firstLineChars="200"/>
        <w:jc w:val="both"/>
        <w:outlineLvl w:val="2"/>
        <w:rPr>
          <w:rFonts w:hint="eastAsia" w:ascii="仿宋_GB2312" w:hAnsi="仿宋_GB2312" w:eastAsia="仿宋_GB2312" w:cs="仿宋_GB2312"/>
          <w:color w:val="auto"/>
          <w:sz w:val="32"/>
          <w:szCs w:val="32"/>
          <w:highlight w:val="none"/>
        </w:rPr>
      </w:pPr>
      <w:bookmarkStart w:id="793" w:name="_Toc28382"/>
      <w:bookmarkStart w:id="794" w:name="_Toc28488"/>
      <w:bookmarkStart w:id="795" w:name="_Toc337558774"/>
      <w:bookmarkStart w:id="796" w:name="_Toc31040"/>
      <w:bookmarkStart w:id="797" w:name="_Toc20093"/>
      <w:bookmarkStart w:id="798" w:name="_Toc27887"/>
      <w:bookmarkStart w:id="799" w:name="_Toc296346576"/>
      <w:bookmarkStart w:id="800" w:name="_Toc22498"/>
      <w:bookmarkStart w:id="801" w:name="_Toc7062"/>
      <w:bookmarkStart w:id="802" w:name="_Toc14400"/>
      <w:bookmarkStart w:id="803" w:name="_Toc296503075"/>
      <w:r>
        <w:rPr>
          <w:rFonts w:hint="eastAsia" w:ascii="仿宋_GB2312" w:hAnsi="仿宋_GB2312" w:eastAsia="仿宋_GB2312" w:cs="仿宋_GB2312"/>
          <w:color w:val="auto"/>
          <w:sz w:val="32"/>
          <w:szCs w:val="32"/>
          <w:highlight w:val="none"/>
        </w:rPr>
        <w:t>7.7异常恶劣的气候条</w:t>
      </w:r>
      <w:bookmarkEnd w:id="792"/>
      <w:r>
        <w:rPr>
          <w:rFonts w:hint="eastAsia" w:ascii="仿宋_GB2312" w:hAnsi="仿宋_GB2312" w:eastAsia="仿宋_GB2312" w:cs="仿宋_GB2312"/>
          <w:color w:val="auto"/>
          <w:sz w:val="32"/>
          <w:szCs w:val="32"/>
          <w:highlight w:val="none"/>
        </w:rPr>
        <w:t>件</w:t>
      </w:r>
      <w:bookmarkEnd w:id="793"/>
      <w:bookmarkEnd w:id="794"/>
      <w:bookmarkEnd w:id="795"/>
      <w:bookmarkEnd w:id="796"/>
      <w:bookmarkEnd w:id="797"/>
      <w:bookmarkEnd w:id="798"/>
      <w:bookmarkEnd w:id="799"/>
      <w:bookmarkEnd w:id="800"/>
      <w:bookmarkEnd w:id="801"/>
      <w:bookmarkEnd w:id="802"/>
      <w:bookmarkEnd w:id="803"/>
    </w:p>
    <w:p w14:paraId="3D719D16">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异常恶劣的气候条件是指在施工过程中遇到的，有经验的承包人在签订合同时不可预见的，对合同履行造成实质性影响的，但尚未构成不可抗力事件的恶劣气候条件。合同当事人可以在专用合同条款中约定异常恶劣的气候条件的具体情形。</w:t>
      </w:r>
    </w:p>
    <w:p w14:paraId="62700E0E">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承包人应采取克服异常恶劣的气候条件的合理措施继续施工，并及时通知发包人和监理人。监理人经发包人同意后应当及时发出指示，指示构成变更的，按第10条〔变更〕约定办理。承包人因采取合理措施而增加的费用和（或）延误的工期由发包人承担</w:t>
      </w:r>
      <w:bookmarkStart w:id="804" w:name="_Toc351203550"/>
      <w:r>
        <w:rPr>
          <w:rFonts w:hint="eastAsia" w:ascii="仿宋_GB2312" w:hAnsi="仿宋_GB2312" w:eastAsia="仿宋_GB2312" w:cs="仿宋_GB2312"/>
          <w:color w:val="auto"/>
          <w:kern w:val="0"/>
          <w:sz w:val="32"/>
          <w:szCs w:val="32"/>
          <w:highlight w:val="none"/>
        </w:rPr>
        <w:t>。</w:t>
      </w:r>
    </w:p>
    <w:p w14:paraId="235D9DAD">
      <w:pPr>
        <w:spacing w:line="576" w:lineRule="exact"/>
        <w:jc w:val="both"/>
        <w:outlineLvl w:val="2"/>
        <w:rPr>
          <w:rFonts w:hint="eastAsia" w:ascii="仿宋_GB2312" w:hAnsi="仿宋_GB2312" w:eastAsia="仿宋_GB2312" w:cs="仿宋_GB2312"/>
          <w:color w:val="auto"/>
          <w:sz w:val="32"/>
          <w:szCs w:val="32"/>
          <w:highlight w:val="none"/>
        </w:rPr>
      </w:pPr>
      <w:bookmarkStart w:id="805" w:name="_Toc20697"/>
      <w:bookmarkStart w:id="806" w:name="_Toc25650"/>
      <w:bookmarkStart w:id="807" w:name="_Toc337558775"/>
      <w:bookmarkStart w:id="808" w:name="_Toc30692"/>
      <w:bookmarkStart w:id="809" w:name="_Toc4036"/>
      <w:bookmarkStart w:id="810" w:name="_Toc12126"/>
      <w:bookmarkStart w:id="811" w:name="_Toc31830"/>
      <w:bookmarkStart w:id="812" w:name="_Toc3203"/>
      <w:bookmarkStart w:id="813" w:name="_Toc1575"/>
      <w:r>
        <w:rPr>
          <w:rFonts w:hint="eastAsia" w:ascii="仿宋_GB2312" w:hAnsi="仿宋_GB2312" w:eastAsia="仿宋_GB2312" w:cs="仿宋_GB2312"/>
          <w:color w:val="auto"/>
          <w:sz w:val="32"/>
          <w:szCs w:val="32"/>
          <w:highlight w:val="none"/>
        </w:rPr>
        <w:t>7.8暂停施</w:t>
      </w:r>
      <w:bookmarkEnd w:id="804"/>
      <w:r>
        <w:rPr>
          <w:rFonts w:hint="eastAsia" w:ascii="仿宋_GB2312" w:hAnsi="仿宋_GB2312" w:eastAsia="仿宋_GB2312" w:cs="仿宋_GB2312"/>
          <w:color w:val="auto"/>
          <w:sz w:val="32"/>
          <w:szCs w:val="32"/>
          <w:highlight w:val="none"/>
        </w:rPr>
        <w:t>工</w:t>
      </w:r>
      <w:bookmarkEnd w:id="790"/>
      <w:bookmarkEnd w:id="791"/>
      <w:bookmarkEnd w:id="805"/>
      <w:bookmarkEnd w:id="806"/>
      <w:bookmarkEnd w:id="807"/>
      <w:bookmarkEnd w:id="808"/>
      <w:bookmarkEnd w:id="809"/>
      <w:bookmarkEnd w:id="810"/>
      <w:bookmarkEnd w:id="811"/>
      <w:bookmarkEnd w:id="812"/>
      <w:bookmarkEnd w:id="813"/>
    </w:p>
    <w:p w14:paraId="645C7B0F">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7.8.1发包人原因引起的暂停施工</w:t>
      </w:r>
    </w:p>
    <w:p w14:paraId="69321A26">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因发包人原因引起暂停施工的，监理人经发包人同意后，应及时下达暂停施工指示。情况紧急且监理人未及时下达暂停施工指示的，按照第7.8.4项〔紧急情况下的暂停施工〕执行。</w:t>
      </w:r>
    </w:p>
    <w:p w14:paraId="51CCDEDD">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因发包人原因引起的暂停施工，发包人应承担由此增加的费用和（或）延误的工期，并支付承包人合理的利润。</w:t>
      </w:r>
    </w:p>
    <w:p w14:paraId="5C5B2918">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7.8.2 承包人原因引起的暂停施工</w:t>
      </w:r>
    </w:p>
    <w:p w14:paraId="345A99A0">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因承包人原因引起的暂停施工，承包人应承担由此增加的费用和（或）延误的工期，且承包人在收到监理人复工指示后84天内仍未复工的，视为第16.2.1项〔承包人违约的情形〕第（7）目约定的承包人无法继续履行合同的情形。</w:t>
      </w:r>
    </w:p>
    <w:p w14:paraId="2618BC6C">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7.8.3 指示暂停施工</w:t>
      </w:r>
    </w:p>
    <w:p w14:paraId="1B960EEE">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监理人认为有必要时，并经发包人批准后，可向承包人作出暂停施工的指示，承包人应按监理人指示暂停施工。</w:t>
      </w:r>
    </w:p>
    <w:p w14:paraId="062E04C9">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7.8.4 紧急情况下的暂停施工</w:t>
      </w:r>
    </w:p>
    <w:p w14:paraId="0E0786D6">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因紧急情况需暂停施工，且监理人未及时下达暂停施工指示的，承包人可先暂停施工，并及时通知监理人。监理人应在接到通知后24小时内发出指示，逾期未发出指示，视为同意承包人暂停施工。监理人不同意承包人暂停施工的，应说明理由，承包人对监理人的答复有异议，按照第20条〔争议解决〕约定处理。</w:t>
      </w:r>
    </w:p>
    <w:p w14:paraId="696124CB">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7.8.5 暂停施工后的复工</w:t>
      </w:r>
    </w:p>
    <w:p w14:paraId="692B7BFA">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暂停施工后，发包人和承包人应采取有效措施积极消除暂停施工的影响。在工程复工前，监理人会同发包人和承包人确定因暂停施工造成的损失，并确定工程复工条件。当工程具备复工条件时，监理人应经发包人批准后向承包人发出复工通知，承包人应按照复工通知要求复工。</w:t>
      </w:r>
    </w:p>
    <w:p w14:paraId="3EA2B82A">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承包人无故拖延和拒绝复工的，承包人承担由此增加的费用和（或）延误的工期；因发包人原因无法按时复工的，按照第7.5.1项〔因发包人原因导致工期延误〕约定办理。</w:t>
      </w:r>
    </w:p>
    <w:p w14:paraId="2BFC9EC3">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7.8.6 暂停施工持续56天以上</w:t>
      </w:r>
    </w:p>
    <w:p w14:paraId="375FFCC9">
      <w:pPr>
        <w:snapToGrid/>
        <w:spacing w:line="576" w:lineRule="exact"/>
        <w:ind w:firstLine="624" w:firstLineChars="195"/>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监理人发出暂停施工指示后56天内未向承包人发出复工通知，除该项停工属于第7.8.2项〔承包人原因引起的暂停施工〕及第17条〔不可抗力〕约定的情形外，承包人可向发包人提交书面通知，要求发包人在收到书面通知后28天内准许已暂停施工的部分或全部工程继续施工。发包人逾期不予批准的，则承包人可以通知发包人，将工程受影响的部分视为按第10.1款〔变更的范围〕第（2）项的可取消工作。</w:t>
      </w:r>
    </w:p>
    <w:p w14:paraId="0E9E7B55">
      <w:pPr>
        <w:snapToGrid/>
        <w:spacing w:line="576" w:lineRule="exact"/>
        <w:ind w:firstLine="624" w:firstLineChars="195"/>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暂停施工持续84天以上不复工的，且不属于第7.8.2项〔承包人原因引起的暂停施工〕及第17条〔不可抗力〕约定的情形，并影响到整个工程以及合同目的实现的，承包人有权提出价格调整要求，或者解除合同。解除合同的，按照第16.1.3项〔因发包人违约解除合同〕执行。</w:t>
      </w:r>
    </w:p>
    <w:p w14:paraId="46F6088F">
      <w:pPr>
        <w:snapToGrid/>
        <w:spacing w:line="576" w:lineRule="exact"/>
        <w:ind w:left="16" w:firstLine="624" w:firstLineChars="195"/>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7.8.7 暂停施工期间的工程照管</w:t>
      </w:r>
    </w:p>
    <w:p w14:paraId="20CA41FE">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暂停施工期间，承包人应负责妥善照管工程并提供安全保障，由此增加的费用由责任方承担。</w:t>
      </w:r>
    </w:p>
    <w:p w14:paraId="7500445D">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7.8.8 暂停施工的措施</w:t>
      </w:r>
    </w:p>
    <w:p w14:paraId="54E24CB7">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暂停施工期间，发包人和承包人均应采取必要的措施确保工程质量及安全，防止因暂停施工扩大损失。</w:t>
      </w:r>
      <w:bookmarkStart w:id="814" w:name="_Toc351203551"/>
    </w:p>
    <w:p w14:paraId="763D2A89">
      <w:pPr>
        <w:spacing w:line="576" w:lineRule="exact"/>
        <w:ind w:firstLine="640" w:firstLineChars="200"/>
        <w:jc w:val="both"/>
        <w:outlineLvl w:val="2"/>
        <w:rPr>
          <w:rFonts w:hint="eastAsia" w:ascii="仿宋_GB2312" w:hAnsi="仿宋_GB2312" w:eastAsia="仿宋_GB2312" w:cs="仿宋_GB2312"/>
          <w:color w:val="auto"/>
          <w:sz w:val="32"/>
          <w:szCs w:val="32"/>
          <w:highlight w:val="none"/>
        </w:rPr>
      </w:pPr>
      <w:bookmarkStart w:id="815" w:name="_Toc11014"/>
      <w:bookmarkStart w:id="816" w:name="_Toc28000"/>
      <w:bookmarkStart w:id="817" w:name="_Toc27947"/>
      <w:bookmarkStart w:id="818" w:name="_Toc4283"/>
      <w:bookmarkStart w:id="819" w:name="_Toc21540"/>
      <w:bookmarkStart w:id="820" w:name="_Toc1807"/>
      <w:bookmarkStart w:id="821" w:name="_Toc17837"/>
      <w:bookmarkStart w:id="822" w:name="_Toc22099"/>
      <w:r>
        <w:rPr>
          <w:rFonts w:hint="eastAsia" w:ascii="仿宋_GB2312" w:hAnsi="仿宋_GB2312" w:eastAsia="仿宋_GB2312" w:cs="仿宋_GB2312"/>
          <w:color w:val="auto"/>
          <w:sz w:val="32"/>
          <w:szCs w:val="32"/>
          <w:highlight w:val="none"/>
        </w:rPr>
        <w:t>7.9提前竣</w:t>
      </w:r>
      <w:bookmarkEnd w:id="814"/>
      <w:r>
        <w:rPr>
          <w:rFonts w:hint="eastAsia" w:ascii="仿宋_GB2312" w:hAnsi="仿宋_GB2312" w:eastAsia="仿宋_GB2312" w:cs="仿宋_GB2312"/>
          <w:color w:val="auto"/>
          <w:sz w:val="32"/>
          <w:szCs w:val="32"/>
          <w:highlight w:val="none"/>
        </w:rPr>
        <w:t>工</w:t>
      </w:r>
      <w:bookmarkEnd w:id="815"/>
      <w:bookmarkEnd w:id="816"/>
      <w:bookmarkEnd w:id="817"/>
      <w:bookmarkEnd w:id="818"/>
      <w:bookmarkEnd w:id="819"/>
      <w:bookmarkEnd w:id="820"/>
      <w:bookmarkEnd w:id="821"/>
      <w:bookmarkEnd w:id="822"/>
    </w:p>
    <w:p w14:paraId="5D6F3856">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7.9.1 发包人要求承包人提前竣工的，发包人应通过监理人向承包人下达提前竣工指示，承包人应向发包人和监理人提交提前竣工建议书，提前竣工建议书应包括实施的方案、缩短的时间、增加的合同价格等内容。发包人接受该提前竣工建议书的，监理人应与发包人和承包人协商采取加快工程进度的措施，并修订施工进度计划，由此增加的费用由发包人承担。承包人认为提前竣工指示无法执行的，应向监理人和发包人提出书面异议，发包人和监理人应在收到异议后7天内予以答复。任何情况下，发包人不得压缩合理工期。</w:t>
      </w:r>
    </w:p>
    <w:p w14:paraId="02E3C3FD">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7.9.2 发包人要求承包人提前竣工，或承包人提出提前竣工的建议能够给发包人带来效益的，合同当事人可以在专用合同条款中约定提前竣工的奖励。</w:t>
      </w:r>
      <w:bookmarkStart w:id="823" w:name="_Toc351203552"/>
    </w:p>
    <w:p w14:paraId="0ECA02E4">
      <w:pPr>
        <w:spacing w:line="576" w:lineRule="exact"/>
        <w:jc w:val="both"/>
        <w:outlineLvl w:val="1"/>
        <w:rPr>
          <w:rFonts w:hint="eastAsia" w:ascii="仿宋_GB2312" w:hAnsi="仿宋_GB2312" w:eastAsia="仿宋_GB2312" w:cs="仿宋_GB2312"/>
          <w:color w:val="auto"/>
          <w:sz w:val="32"/>
          <w:szCs w:val="32"/>
          <w:highlight w:val="none"/>
        </w:rPr>
      </w:pPr>
      <w:bookmarkStart w:id="824" w:name="_Toc0"/>
      <w:bookmarkStart w:id="825" w:name="_Toc29871"/>
      <w:bookmarkStart w:id="826" w:name="_Toc4496"/>
      <w:bookmarkStart w:id="827" w:name="_Toc296346559"/>
      <w:bookmarkStart w:id="828" w:name="_Toc14305"/>
      <w:bookmarkStart w:id="829" w:name="_Toc7079"/>
      <w:bookmarkStart w:id="830" w:name="_Toc19578"/>
      <w:bookmarkStart w:id="831" w:name="_Toc296503058"/>
      <w:bookmarkStart w:id="832" w:name="_Toc26169"/>
      <w:bookmarkStart w:id="833" w:name="_Toc11645"/>
      <w:bookmarkStart w:id="834" w:name="_Toc13609"/>
      <w:bookmarkStart w:id="835" w:name="_Toc9107"/>
      <w:bookmarkStart w:id="836" w:name="_Toc337558776"/>
      <w:r>
        <w:rPr>
          <w:rFonts w:hint="eastAsia" w:ascii="仿宋_GB2312" w:hAnsi="仿宋_GB2312" w:eastAsia="仿宋_GB2312" w:cs="仿宋_GB2312"/>
          <w:color w:val="auto"/>
          <w:sz w:val="32"/>
          <w:szCs w:val="32"/>
          <w:highlight w:val="none"/>
        </w:rPr>
        <w:t>8. 材料与设</w:t>
      </w:r>
      <w:bookmarkEnd w:id="823"/>
      <w:r>
        <w:rPr>
          <w:rFonts w:hint="eastAsia" w:ascii="仿宋_GB2312" w:hAnsi="仿宋_GB2312" w:eastAsia="仿宋_GB2312" w:cs="仿宋_GB2312"/>
          <w:color w:val="auto"/>
          <w:sz w:val="32"/>
          <w:szCs w:val="32"/>
          <w:highlight w:val="none"/>
        </w:rPr>
        <w:t>备</w:t>
      </w:r>
      <w:bookmarkEnd w:id="824"/>
      <w:bookmarkEnd w:id="825"/>
      <w:bookmarkEnd w:id="826"/>
      <w:bookmarkEnd w:id="827"/>
      <w:bookmarkEnd w:id="828"/>
      <w:bookmarkEnd w:id="829"/>
      <w:bookmarkEnd w:id="830"/>
      <w:bookmarkEnd w:id="831"/>
      <w:bookmarkEnd w:id="832"/>
      <w:bookmarkEnd w:id="833"/>
      <w:bookmarkEnd w:id="834"/>
      <w:bookmarkEnd w:id="835"/>
      <w:bookmarkEnd w:id="836"/>
      <w:bookmarkStart w:id="837" w:name="_Toc351203553"/>
    </w:p>
    <w:p w14:paraId="553D33D2">
      <w:pPr>
        <w:spacing w:line="576" w:lineRule="exact"/>
        <w:ind w:firstLine="640" w:firstLineChars="200"/>
        <w:jc w:val="both"/>
        <w:outlineLvl w:val="2"/>
        <w:rPr>
          <w:rFonts w:hint="eastAsia" w:ascii="仿宋_GB2312" w:hAnsi="仿宋_GB2312" w:eastAsia="仿宋_GB2312" w:cs="仿宋_GB2312"/>
          <w:color w:val="auto"/>
          <w:sz w:val="32"/>
          <w:szCs w:val="32"/>
          <w:highlight w:val="none"/>
        </w:rPr>
      </w:pPr>
      <w:bookmarkStart w:id="838" w:name="_Toc14105"/>
      <w:bookmarkStart w:id="839" w:name="_Toc15907"/>
      <w:bookmarkStart w:id="840" w:name="_Toc296503059"/>
      <w:bookmarkStart w:id="841" w:name="_Toc15757"/>
      <w:bookmarkStart w:id="842" w:name="_Toc6810"/>
      <w:bookmarkStart w:id="843" w:name="_Toc4201"/>
      <w:bookmarkStart w:id="844" w:name="_Toc17986"/>
      <w:bookmarkStart w:id="845" w:name="_Toc11781"/>
      <w:bookmarkStart w:id="846" w:name="_Toc337558777"/>
      <w:bookmarkStart w:id="847" w:name="_Toc296346560"/>
      <w:bookmarkStart w:id="848" w:name="_Toc9782"/>
      <w:bookmarkStart w:id="849" w:name="_Toc468936960"/>
      <w:r>
        <w:rPr>
          <w:rFonts w:hint="eastAsia" w:ascii="仿宋_GB2312" w:hAnsi="仿宋_GB2312" w:eastAsia="仿宋_GB2312" w:cs="仿宋_GB2312"/>
          <w:color w:val="auto"/>
          <w:sz w:val="32"/>
          <w:szCs w:val="32"/>
          <w:highlight w:val="none"/>
        </w:rPr>
        <w:t>8.1发包人供应材料与工程设</w:t>
      </w:r>
      <w:bookmarkEnd w:id="837"/>
      <w:r>
        <w:rPr>
          <w:rFonts w:hint="eastAsia" w:ascii="仿宋_GB2312" w:hAnsi="仿宋_GB2312" w:eastAsia="仿宋_GB2312" w:cs="仿宋_GB2312"/>
          <w:color w:val="auto"/>
          <w:sz w:val="32"/>
          <w:szCs w:val="32"/>
          <w:highlight w:val="none"/>
        </w:rPr>
        <w:t>备</w:t>
      </w:r>
      <w:bookmarkEnd w:id="838"/>
      <w:bookmarkEnd w:id="839"/>
      <w:bookmarkEnd w:id="840"/>
      <w:bookmarkEnd w:id="841"/>
      <w:bookmarkEnd w:id="842"/>
      <w:bookmarkEnd w:id="843"/>
      <w:bookmarkEnd w:id="844"/>
      <w:bookmarkEnd w:id="845"/>
      <w:bookmarkEnd w:id="846"/>
      <w:bookmarkEnd w:id="847"/>
      <w:bookmarkEnd w:id="848"/>
    </w:p>
    <w:p w14:paraId="1EB4C96D">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发包人自行供应材料、工程设备的，应在签订合同时在专用合同条款的附件《发包人供应材料设备一览表》中明确材料、工程设备的品种、规格、型号、数量、单价、质量等级和送达地点。</w:t>
      </w:r>
    </w:p>
    <w:p w14:paraId="41591225">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承包人应提前30天通过监理人以书面形式通知发包人供应材料与工程设备进场。承包人按照第7.2.2项〔施工进度计划的修订〕约定修订施工进度计划时，需同时提交经修订后的发包人供应材料与工程设备的进场计划。</w:t>
      </w:r>
      <w:bookmarkStart w:id="850" w:name="_Toc351203554"/>
    </w:p>
    <w:p w14:paraId="5FE153B7">
      <w:pPr>
        <w:spacing w:line="576" w:lineRule="exact"/>
        <w:ind w:firstLine="640" w:firstLineChars="200"/>
        <w:jc w:val="both"/>
        <w:outlineLvl w:val="2"/>
        <w:rPr>
          <w:rFonts w:hint="eastAsia" w:ascii="仿宋_GB2312" w:hAnsi="仿宋_GB2312" w:eastAsia="仿宋_GB2312" w:cs="仿宋_GB2312"/>
          <w:color w:val="auto"/>
          <w:sz w:val="32"/>
          <w:szCs w:val="32"/>
          <w:highlight w:val="none"/>
        </w:rPr>
      </w:pPr>
      <w:bookmarkStart w:id="851" w:name="_Toc337558778"/>
      <w:bookmarkStart w:id="852" w:name="_Toc1077"/>
      <w:bookmarkStart w:id="853" w:name="_Toc25197"/>
      <w:bookmarkStart w:id="854" w:name="_Toc30777"/>
      <w:bookmarkStart w:id="855" w:name="_Toc23773"/>
      <w:bookmarkStart w:id="856" w:name="_Toc296346561"/>
      <w:bookmarkStart w:id="857" w:name="_Toc23666"/>
      <w:bookmarkStart w:id="858" w:name="_Toc25656"/>
      <w:bookmarkStart w:id="859" w:name="_Toc7584"/>
      <w:bookmarkStart w:id="860" w:name="_Toc30849"/>
      <w:bookmarkStart w:id="861" w:name="_Toc296503060"/>
      <w:r>
        <w:rPr>
          <w:rFonts w:hint="eastAsia" w:ascii="仿宋_GB2312" w:hAnsi="仿宋_GB2312" w:eastAsia="仿宋_GB2312" w:cs="仿宋_GB2312"/>
          <w:color w:val="auto"/>
          <w:sz w:val="32"/>
          <w:szCs w:val="32"/>
          <w:highlight w:val="none"/>
        </w:rPr>
        <w:t>8.2承包人采购材料与工程设</w:t>
      </w:r>
      <w:bookmarkEnd w:id="850"/>
      <w:r>
        <w:rPr>
          <w:rFonts w:hint="eastAsia" w:ascii="仿宋_GB2312" w:hAnsi="仿宋_GB2312" w:eastAsia="仿宋_GB2312" w:cs="仿宋_GB2312"/>
          <w:color w:val="auto"/>
          <w:sz w:val="32"/>
          <w:szCs w:val="32"/>
          <w:highlight w:val="none"/>
        </w:rPr>
        <w:t>备</w:t>
      </w:r>
      <w:bookmarkEnd w:id="851"/>
      <w:bookmarkEnd w:id="852"/>
      <w:bookmarkEnd w:id="853"/>
      <w:bookmarkEnd w:id="854"/>
      <w:bookmarkEnd w:id="855"/>
      <w:bookmarkEnd w:id="856"/>
      <w:bookmarkEnd w:id="857"/>
      <w:bookmarkEnd w:id="858"/>
      <w:bookmarkEnd w:id="859"/>
      <w:bookmarkEnd w:id="860"/>
      <w:bookmarkEnd w:id="861"/>
    </w:p>
    <w:p w14:paraId="18315127">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承包人负责采购材料、工程设备的，应按照设计和有关标准要求采购，并提供产品合格证明及出厂证明，对材料、工程设备质量负责。合同约定由承包人采购的材料、工程设备，发包人不得指定生产厂家或供应商，发包人违反本款约定指定生产厂家或供应商的，承包人有权拒绝，并由发包人承担相应责任。</w:t>
      </w:r>
      <w:bookmarkStart w:id="862" w:name="_Toc351203555"/>
    </w:p>
    <w:p w14:paraId="130C8D46">
      <w:pPr>
        <w:spacing w:line="576" w:lineRule="exact"/>
        <w:ind w:firstLine="640" w:firstLineChars="200"/>
        <w:jc w:val="both"/>
        <w:outlineLvl w:val="2"/>
        <w:rPr>
          <w:rFonts w:hint="eastAsia" w:ascii="仿宋_GB2312" w:hAnsi="仿宋_GB2312" w:eastAsia="仿宋_GB2312" w:cs="仿宋_GB2312"/>
          <w:color w:val="auto"/>
          <w:sz w:val="32"/>
          <w:szCs w:val="32"/>
          <w:highlight w:val="none"/>
        </w:rPr>
      </w:pPr>
      <w:bookmarkStart w:id="863" w:name="_Toc296346562"/>
      <w:bookmarkStart w:id="864" w:name="_Toc296503061"/>
      <w:bookmarkStart w:id="865" w:name="_Toc15163"/>
      <w:bookmarkStart w:id="866" w:name="_Toc18027"/>
      <w:bookmarkStart w:id="867" w:name="_Toc1842"/>
      <w:bookmarkStart w:id="868" w:name="_Toc337558779"/>
      <w:bookmarkStart w:id="869" w:name="_Toc7609"/>
      <w:bookmarkStart w:id="870" w:name="_Toc23553"/>
      <w:bookmarkStart w:id="871" w:name="_Toc29078"/>
      <w:bookmarkStart w:id="872" w:name="_Toc562"/>
      <w:bookmarkStart w:id="873" w:name="_Toc23704"/>
      <w:r>
        <w:rPr>
          <w:rFonts w:hint="eastAsia" w:ascii="仿宋_GB2312" w:hAnsi="仿宋_GB2312" w:eastAsia="仿宋_GB2312" w:cs="仿宋_GB2312"/>
          <w:color w:val="auto"/>
          <w:sz w:val="32"/>
          <w:szCs w:val="32"/>
          <w:highlight w:val="none"/>
        </w:rPr>
        <w:t>8.3材料与工程设备的接收与拒</w:t>
      </w:r>
      <w:bookmarkEnd w:id="862"/>
      <w:r>
        <w:rPr>
          <w:rFonts w:hint="eastAsia" w:ascii="仿宋_GB2312" w:hAnsi="仿宋_GB2312" w:eastAsia="仿宋_GB2312" w:cs="仿宋_GB2312"/>
          <w:color w:val="auto"/>
          <w:sz w:val="32"/>
          <w:szCs w:val="32"/>
          <w:highlight w:val="none"/>
        </w:rPr>
        <w:t>收</w:t>
      </w:r>
      <w:bookmarkEnd w:id="863"/>
      <w:bookmarkEnd w:id="864"/>
      <w:bookmarkEnd w:id="865"/>
      <w:bookmarkEnd w:id="866"/>
      <w:bookmarkEnd w:id="867"/>
      <w:bookmarkEnd w:id="868"/>
      <w:bookmarkEnd w:id="869"/>
      <w:bookmarkEnd w:id="870"/>
      <w:bookmarkEnd w:id="871"/>
      <w:bookmarkEnd w:id="872"/>
      <w:bookmarkEnd w:id="873"/>
    </w:p>
    <w:p w14:paraId="7AF85DA0">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8.3.1 发包人应按《发包人供应材料设备一览表》约定的内容提供材料和工程设备，并向承包人提供产品合格证明及出厂证明，对其质量负责。发包人应提前24小时以书面形式通知承包人、监理人材料和工程设备到货时间，承包人负责材料和工程设备的清点、检验和接收。</w:t>
      </w:r>
    </w:p>
    <w:p w14:paraId="2EA2612E">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发包人提供的材料和工程设备的规格、数量或质量不符合合同约定的，或因发包人原因导致交货日期延误或交货地点变更等情况的，按照第16.1款〔发包人违约〕约定办理。</w:t>
      </w:r>
    </w:p>
    <w:p w14:paraId="757E59CE">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8.3.2 承包人采购的材料和工程设备，应保证产品质量合格，承包人应在材料和工程设备到货前24小时通知监理人检验。</w:t>
      </w:r>
      <w:bookmarkStart w:id="874" w:name="_Toc250655469"/>
      <w:r>
        <w:rPr>
          <w:rFonts w:hint="eastAsia" w:ascii="仿宋_GB2312" w:hAnsi="仿宋_GB2312" w:eastAsia="仿宋_GB2312" w:cs="仿宋_GB2312"/>
          <w:color w:val="auto"/>
          <w:kern w:val="0"/>
          <w:sz w:val="32"/>
          <w:szCs w:val="32"/>
          <w:highlight w:val="none"/>
        </w:rPr>
        <w:t>承包人进行永久设备、材料的制造和生产的，应符合相关质量标准，并向监理人提交材料的样本以及有关资料，并应在使用该材料或工程设备之前获得监理人同意。</w:t>
      </w:r>
      <w:bookmarkEnd w:id="874"/>
    </w:p>
    <w:p w14:paraId="6B125A4E">
      <w:pPr>
        <w:autoSpaceDE w:val="0"/>
        <w:autoSpaceDN w:val="0"/>
        <w:adjustRightInd/>
        <w:snapToGrid/>
        <w:spacing w:line="576" w:lineRule="exact"/>
        <w:ind w:firstLine="480" w:firstLineChars="15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 xml:space="preserve"> 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w:t>
      </w:r>
      <w:bookmarkStart w:id="875" w:name="_Toc351203556"/>
    </w:p>
    <w:p w14:paraId="451CFBA2">
      <w:pPr>
        <w:spacing w:line="576" w:lineRule="exact"/>
        <w:ind w:firstLine="640" w:firstLineChars="200"/>
        <w:jc w:val="both"/>
        <w:outlineLvl w:val="2"/>
        <w:rPr>
          <w:rFonts w:hint="eastAsia" w:ascii="仿宋_GB2312" w:hAnsi="仿宋_GB2312" w:eastAsia="仿宋_GB2312" w:cs="仿宋_GB2312"/>
          <w:color w:val="auto"/>
          <w:sz w:val="32"/>
          <w:szCs w:val="32"/>
          <w:highlight w:val="none"/>
        </w:rPr>
      </w:pPr>
      <w:bookmarkStart w:id="876" w:name="_Toc29629"/>
      <w:bookmarkStart w:id="877" w:name="_Toc26341"/>
      <w:bookmarkStart w:id="878" w:name="_Toc5830"/>
      <w:bookmarkStart w:id="879" w:name="_Toc296503062"/>
      <w:bookmarkStart w:id="880" w:name="_Toc20901"/>
      <w:bookmarkStart w:id="881" w:name="_Toc28912"/>
      <w:bookmarkStart w:id="882" w:name="_Toc1311"/>
      <w:bookmarkStart w:id="883" w:name="_Toc15315"/>
      <w:bookmarkStart w:id="884" w:name="_Toc296346563"/>
      <w:bookmarkStart w:id="885" w:name="_Toc337558780"/>
      <w:bookmarkStart w:id="886" w:name="_Toc5965"/>
      <w:r>
        <w:rPr>
          <w:rFonts w:hint="eastAsia" w:ascii="仿宋_GB2312" w:hAnsi="仿宋_GB2312" w:eastAsia="仿宋_GB2312" w:cs="仿宋_GB2312"/>
          <w:color w:val="auto"/>
          <w:sz w:val="32"/>
          <w:szCs w:val="32"/>
          <w:highlight w:val="none"/>
        </w:rPr>
        <w:t>8.4材料与工程设备的保管与使</w:t>
      </w:r>
      <w:bookmarkEnd w:id="875"/>
      <w:r>
        <w:rPr>
          <w:rFonts w:hint="eastAsia" w:ascii="仿宋_GB2312" w:hAnsi="仿宋_GB2312" w:eastAsia="仿宋_GB2312" w:cs="仿宋_GB2312"/>
          <w:color w:val="auto"/>
          <w:sz w:val="32"/>
          <w:szCs w:val="32"/>
          <w:highlight w:val="none"/>
        </w:rPr>
        <w:t>用</w:t>
      </w:r>
      <w:bookmarkEnd w:id="876"/>
      <w:bookmarkEnd w:id="877"/>
      <w:bookmarkEnd w:id="878"/>
      <w:bookmarkEnd w:id="879"/>
      <w:bookmarkEnd w:id="880"/>
      <w:bookmarkEnd w:id="881"/>
      <w:bookmarkEnd w:id="882"/>
      <w:bookmarkEnd w:id="883"/>
      <w:bookmarkEnd w:id="884"/>
      <w:bookmarkEnd w:id="885"/>
      <w:bookmarkEnd w:id="886"/>
    </w:p>
    <w:p w14:paraId="1069BD9E">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8.4.1 发包人供应</w:t>
      </w:r>
      <w:r>
        <w:rPr>
          <w:rFonts w:hint="eastAsia" w:ascii="仿宋_GB2312" w:hAnsi="仿宋_GB2312" w:eastAsia="仿宋_GB2312" w:cs="仿宋_GB2312"/>
          <w:color w:val="auto"/>
          <w:sz w:val="32"/>
          <w:szCs w:val="32"/>
          <w:highlight w:val="none"/>
        </w:rPr>
        <w:t>材料与</w:t>
      </w:r>
      <w:r>
        <w:rPr>
          <w:rFonts w:hint="eastAsia" w:ascii="仿宋_GB2312" w:hAnsi="仿宋_GB2312" w:eastAsia="仿宋_GB2312" w:cs="仿宋_GB2312"/>
          <w:color w:val="auto"/>
          <w:kern w:val="0"/>
          <w:sz w:val="32"/>
          <w:szCs w:val="32"/>
          <w:highlight w:val="none"/>
        </w:rPr>
        <w:t>工程</w:t>
      </w:r>
      <w:r>
        <w:rPr>
          <w:rFonts w:hint="eastAsia" w:ascii="仿宋_GB2312" w:hAnsi="仿宋_GB2312" w:eastAsia="仿宋_GB2312" w:cs="仿宋_GB2312"/>
          <w:color w:val="auto"/>
          <w:sz w:val="32"/>
          <w:szCs w:val="32"/>
          <w:highlight w:val="none"/>
        </w:rPr>
        <w:t>设备的保管与使用</w:t>
      </w:r>
    </w:p>
    <w:p w14:paraId="6B274938">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发包人供应的材料和工程设备，承包人清点后由承包人妥善保管，保管费用由发包人承担，但已标价工程量清单或预算书已经列支或专用合同条款另有约定除外。因承包人原因发生丢失毁损的，由承包人负责赔偿；监理人未通知承包人清点的，承包人不负责材料和工程设备的保管，由此导致丢失毁损的由发包人负责。</w:t>
      </w:r>
    </w:p>
    <w:p w14:paraId="2C1F3638">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发包人供应的材料和工程设备使用前，由承包人负责检验，检验费用由发包人承担，不合格的不得使用。</w:t>
      </w:r>
    </w:p>
    <w:p w14:paraId="7F42E037">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8.4.2 承包人采购</w:t>
      </w:r>
      <w:r>
        <w:rPr>
          <w:rFonts w:hint="eastAsia" w:ascii="仿宋_GB2312" w:hAnsi="仿宋_GB2312" w:eastAsia="仿宋_GB2312" w:cs="仿宋_GB2312"/>
          <w:color w:val="auto"/>
          <w:sz w:val="32"/>
          <w:szCs w:val="32"/>
          <w:highlight w:val="none"/>
        </w:rPr>
        <w:t>材料与</w:t>
      </w:r>
      <w:r>
        <w:rPr>
          <w:rFonts w:hint="eastAsia" w:ascii="仿宋_GB2312" w:hAnsi="仿宋_GB2312" w:eastAsia="仿宋_GB2312" w:cs="仿宋_GB2312"/>
          <w:color w:val="auto"/>
          <w:kern w:val="0"/>
          <w:sz w:val="32"/>
          <w:szCs w:val="32"/>
          <w:highlight w:val="none"/>
        </w:rPr>
        <w:t>工程</w:t>
      </w:r>
      <w:r>
        <w:rPr>
          <w:rFonts w:hint="eastAsia" w:ascii="仿宋_GB2312" w:hAnsi="仿宋_GB2312" w:eastAsia="仿宋_GB2312" w:cs="仿宋_GB2312"/>
          <w:color w:val="auto"/>
          <w:sz w:val="32"/>
          <w:szCs w:val="32"/>
          <w:highlight w:val="none"/>
        </w:rPr>
        <w:t>设备的保管与使用</w:t>
      </w:r>
    </w:p>
    <w:p w14:paraId="5B683568">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承包人采购的材料和工程设备由承包人妥善保管，保管费用由承包人承担。法律规定材料和工程设备使用前必须进行检验或试验的，承包人应按监理人的要求进行检验或试验，检验或试验费用由承包人承担，不合格的不得使用。</w:t>
      </w:r>
    </w:p>
    <w:p w14:paraId="7CCAF022">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发包人或监理人发现承包人使用不符合设计或有关标准要求的材料和工程设备时，有权要求承包人进行修复、拆除或重新采购，由此增加的费用和（或）延误的工期，由承包人承担。</w:t>
      </w:r>
      <w:bookmarkStart w:id="887" w:name="_Toc351203557"/>
    </w:p>
    <w:p w14:paraId="2D267DDE">
      <w:pPr>
        <w:spacing w:line="576" w:lineRule="exact"/>
        <w:ind w:firstLine="640" w:firstLineChars="200"/>
        <w:jc w:val="both"/>
        <w:outlineLvl w:val="2"/>
        <w:rPr>
          <w:rFonts w:hint="eastAsia" w:ascii="仿宋_GB2312" w:hAnsi="仿宋_GB2312" w:eastAsia="仿宋_GB2312" w:cs="仿宋_GB2312"/>
          <w:color w:val="auto"/>
          <w:sz w:val="32"/>
          <w:szCs w:val="32"/>
          <w:highlight w:val="none"/>
        </w:rPr>
      </w:pPr>
      <w:bookmarkStart w:id="888" w:name="_Toc7808"/>
      <w:bookmarkStart w:id="889" w:name="_Toc18302"/>
      <w:bookmarkStart w:id="890" w:name="_Toc24737"/>
      <w:bookmarkStart w:id="891" w:name="_Toc21078"/>
      <w:bookmarkStart w:id="892" w:name="_Toc3713"/>
      <w:bookmarkStart w:id="893" w:name="_Toc26203"/>
      <w:bookmarkStart w:id="894" w:name="_Toc31313"/>
      <w:bookmarkStart w:id="895" w:name="_Toc8402"/>
      <w:r>
        <w:rPr>
          <w:rFonts w:hint="eastAsia" w:ascii="仿宋_GB2312" w:hAnsi="仿宋_GB2312" w:eastAsia="仿宋_GB2312" w:cs="仿宋_GB2312"/>
          <w:color w:val="auto"/>
          <w:sz w:val="32"/>
          <w:szCs w:val="32"/>
          <w:highlight w:val="none"/>
        </w:rPr>
        <w:t>8.5禁止使用不合格的材料和工程设</w:t>
      </w:r>
      <w:bookmarkEnd w:id="887"/>
      <w:r>
        <w:rPr>
          <w:rFonts w:hint="eastAsia" w:ascii="仿宋_GB2312" w:hAnsi="仿宋_GB2312" w:eastAsia="仿宋_GB2312" w:cs="仿宋_GB2312"/>
          <w:color w:val="auto"/>
          <w:sz w:val="32"/>
          <w:szCs w:val="32"/>
          <w:highlight w:val="none"/>
        </w:rPr>
        <w:t>备</w:t>
      </w:r>
      <w:bookmarkEnd w:id="888"/>
      <w:bookmarkEnd w:id="889"/>
      <w:bookmarkEnd w:id="890"/>
      <w:bookmarkEnd w:id="891"/>
      <w:bookmarkEnd w:id="892"/>
      <w:bookmarkEnd w:id="893"/>
      <w:bookmarkEnd w:id="894"/>
      <w:bookmarkEnd w:id="895"/>
    </w:p>
    <w:p w14:paraId="0E35DC93">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8.5.1 监理人有权拒绝承包人提供的不合格材料或工程设备，并要求承包人立即进行更换。监理人应在更换后再次进行检查和检验，由此增加的费用和（或）延误的工期由承包人承担。</w:t>
      </w:r>
    </w:p>
    <w:p w14:paraId="441F0BC7">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8.5.2 监理人发现承包人使用了不合格的材料和工程设备，承包人应按照监理人的指示立即改正，并禁止在工程中继续使用不合格的材料和工程设备。</w:t>
      </w:r>
    </w:p>
    <w:p w14:paraId="2EAA24B5">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8.5.3 发包人提供的材料或工程设备不符合合同要求的，承包人有权拒绝，并可要求发包人更换，由此增加的费用和（或）延误的工期由发包人承担，并支付承包人合理的利润。</w:t>
      </w:r>
      <w:bookmarkStart w:id="896" w:name="_Toc351203558"/>
    </w:p>
    <w:p w14:paraId="76881D3C">
      <w:pPr>
        <w:spacing w:line="576" w:lineRule="exact"/>
        <w:ind w:firstLine="640" w:firstLineChars="200"/>
        <w:jc w:val="both"/>
        <w:outlineLvl w:val="2"/>
        <w:rPr>
          <w:rFonts w:hint="eastAsia" w:ascii="仿宋_GB2312" w:hAnsi="仿宋_GB2312" w:eastAsia="仿宋_GB2312" w:cs="仿宋_GB2312"/>
          <w:color w:val="auto"/>
          <w:sz w:val="32"/>
          <w:szCs w:val="32"/>
          <w:highlight w:val="none"/>
        </w:rPr>
      </w:pPr>
      <w:bookmarkStart w:id="897" w:name="_Toc14797"/>
      <w:bookmarkStart w:id="898" w:name="_Toc18907"/>
      <w:bookmarkStart w:id="899" w:name="_Toc30088"/>
      <w:bookmarkStart w:id="900" w:name="_Toc20403"/>
      <w:bookmarkStart w:id="901" w:name="_Toc17805"/>
      <w:bookmarkStart w:id="902" w:name="_Toc6508"/>
      <w:bookmarkStart w:id="903" w:name="_Toc29693"/>
      <w:bookmarkStart w:id="904" w:name="_Toc23552"/>
      <w:r>
        <w:rPr>
          <w:rFonts w:hint="eastAsia" w:ascii="仿宋_GB2312" w:hAnsi="仿宋_GB2312" w:eastAsia="仿宋_GB2312" w:cs="仿宋_GB2312"/>
          <w:color w:val="auto"/>
          <w:sz w:val="32"/>
          <w:szCs w:val="32"/>
          <w:highlight w:val="none"/>
        </w:rPr>
        <w:t>8.6 样</w:t>
      </w:r>
      <w:bookmarkEnd w:id="896"/>
      <w:r>
        <w:rPr>
          <w:rFonts w:hint="eastAsia" w:ascii="仿宋_GB2312" w:hAnsi="仿宋_GB2312" w:eastAsia="仿宋_GB2312" w:cs="仿宋_GB2312"/>
          <w:color w:val="auto"/>
          <w:sz w:val="32"/>
          <w:szCs w:val="32"/>
          <w:highlight w:val="none"/>
        </w:rPr>
        <w:t>品</w:t>
      </w:r>
      <w:bookmarkEnd w:id="897"/>
      <w:bookmarkEnd w:id="898"/>
      <w:bookmarkEnd w:id="899"/>
      <w:bookmarkEnd w:id="900"/>
      <w:bookmarkEnd w:id="901"/>
      <w:bookmarkEnd w:id="902"/>
      <w:bookmarkEnd w:id="903"/>
      <w:bookmarkEnd w:id="904"/>
    </w:p>
    <w:p w14:paraId="3F40DD8F">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8.6.1</w:t>
      </w:r>
      <w:r>
        <w:rPr>
          <w:rFonts w:hint="eastAsia" w:ascii="仿宋_GB2312" w:hAnsi="仿宋_GB2312" w:eastAsia="仿宋_GB2312" w:cs="仿宋_GB2312"/>
          <w:color w:val="auto"/>
          <w:kern w:val="0"/>
          <w:sz w:val="32"/>
          <w:szCs w:val="32"/>
          <w:highlight w:val="none"/>
        </w:rPr>
        <w:tab/>
      </w:r>
      <w:r>
        <w:rPr>
          <w:rFonts w:hint="eastAsia" w:ascii="仿宋_GB2312" w:hAnsi="仿宋_GB2312" w:eastAsia="仿宋_GB2312" w:cs="仿宋_GB2312"/>
          <w:color w:val="auto"/>
          <w:kern w:val="0"/>
          <w:sz w:val="32"/>
          <w:szCs w:val="32"/>
          <w:highlight w:val="none"/>
        </w:rPr>
        <w:t>样品的报送与封存</w:t>
      </w:r>
    </w:p>
    <w:p w14:paraId="58C8EF6A">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需要承包人报送样品的材料或工程设备，样品的种类、名称、规格、数量等要求均应在专用合同条款中约定。样品的报送程序如下：</w:t>
      </w:r>
    </w:p>
    <w:p w14:paraId="62C9761A">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承包人应在计划采购前28天向监理人报送样品。承包人报送的样品均应来自供应材料的实际生产地，且提供的样品的规格、数量足以表明材料或工程设备的质量、型号、颜色、表面处理、质地、误差和其他要求的特征。</w:t>
      </w:r>
    </w:p>
    <w:p w14:paraId="5422F176">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2）承包人每次报送样品时应随附申报单，申报单应载明报送样品的相关数据和资料，并标明每件样品对应的图纸号，预留监理人批复意见栏。监理人应在收到承包人报送的样品后7天向承包人回复经发包人签认的样品审批意见。</w:t>
      </w:r>
    </w:p>
    <w:p w14:paraId="36CE13D3">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（3）经发包人和监理人审批确认的样品应按约定的方法封样，封存的样品作为检验工程相关部分的标准之一。承包人在施工过程中不得使用与样品不符的材料或工程设备。</w:t>
      </w:r>
    </w:p>
    <w:p w14:paraId="6D092591">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4）发包人和监理人对样品的审批确认仅为确认相关材料或工程设备的特征或用途，不得被理解为对合同的修改或改变，也并不减轻或免除承包人任何的责任和义务。如果封存的样品修改或改变了合同约定，合同当事人应当以书面协议予以确认。</w:t>
      </w:r>
    </w:p>
    <w:p w14:paraId="595469E5">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8.6.2 样品的保管</w:t>
      </w:r>
    </w:p>
    <w:p w14:paraId="0337057E">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经批准的样品应由监理人负责封存于现场，承包人应在现场为保存样品提供适当和固定的场所并保持适当和良好的存储环境条件。</w:t>
      </w:r>
      <w:bookmarkStart w:id="905" w:name="_Toc351203559"/>
    </w:p>
    <w:p w14:paraId="511FD2BF">
      <w:pPr>
        <w:spacing w:line="576" w:lineRule="exact"/>
        <w:ind w:firstLine="640" w:firstLineChars="200"/>
        <w:jc w:val="both"/>
        <w:outlineLvl w:val="2"/>
        <w:rPr>
          <w:rFonts w:hint="eastAsia" w:ascii="仿宋_GB2312" w:hAnsi="仿宋_GB2312" w:eastAsia="仿宋_GB2312" w:cs="仿宋_GB2312"/>
          <w:color w:val="auto"/>
          <w:sz w:val="32"/>
          <w:szCs w:val="32"/>
          <w:highlight w:val="none"/>
        </w:rPr>
      </w:pPr>
      <w:bookmarkStart w:id="906" w:name="_Toc20477"/>
      <w:bookmarkStart w:id="907" w:name="_Toc26503"/>
      <w:bookmarkStart w:id="908" w:name="_Toc26975"/>
      <w:bookmarkStart w:id="909" w:name="_Toc8891"/>
      <w:bookmarkStart w:id="910" w:name="_Toc5599"/>
      <w:bookmarkStart w:id="911" w:name="_Toc838"/>
      <w:bookmarkStart w:id="912" w:name="_Toc5645"/>
      <w:bookmarkStart w:id="913" w:name="_Toc11506"/>
      <w:r>
        <w:rPr>
          <w:rFonts w:hint="eastAsia" w:ascii="仿宋_GB2312" w:hAnsi="仿宋_GB2312" w:eastAsia="仿宋_GB2312" w:cs="仿宋_GB2312"/>
          <w:color w:val="auto"/>
          <w:sz w:val="32"/>
          <w:szCs w:val="32"/>
          <w:highlight w:val="none"/>
        </w:rPr>
        <w:t>8.7材料与工程设备的替</w:t>
      </w:r>
      <w:bookmarkEnd w:id="905"/>
      <w:r>
        <w:rPr>
          <w:rFonts w:hint="eastAsia" w:ascii="仿宋_GB2312" w:hAnsi="仿宋_GB2312" w:eastAsia="仿宋_GB2312" w:cs="仿宋_GB2312"/>
          <w:color w:val="auto"/>
          <w:sz w:val="32"/>
          <w:szCs w:val="32"/>
          <w:highlight w:val="none"/>
        </w:rPr>
        <w:t>代</w:t>
      </w:r>
      <w:bookmarkEnd w:id="906"/>
      <w:bookmarkEnd w:id="907"/>
      <w:bookmarkEnd w:id="908"/>
      <w:bookmarkEnd w:id="909"/>
      <w:bookmarkEnd w:id="910"/>
      <w:bookmarkEnd w:id="911"/>
      <w:bookmarkEnd w:id="912"/>
      <w:bookmarkEnd w:id="913"/>
    </w:p>
    <w:p w14:paraId="38D985BF">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8.7.1 出现下列情况需要使用替代材料和工程设备的，承包人应按照第8.7.2项约定的程序执行：</w:t>
      </w:r>
    </w:p>
    <w:p w14:paraId="760C2E7D">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（1）基准日期后生效的法律规定禁止使用的；</w:t>
      </w:r>
    </w:p>
    <w:p w14:paraId="79A22D1D">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（2）发包人要求使用替代品的；</w:t>
      </w:r>
    </w:p>
    <w:p w14:paraId="38451814">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（3）因其他原因必须使用替代品的。</w:t>
      </w:r>
    </w:p>
    <w:p w14:paraId="749D6CC7">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8.7.2 承包人应在使用替代材料和工程设备28天前书面通知监理人，并附下列文件：</w:t>
      </w:r>
    </w:p>
    <w:p w14:paraId="256C282D">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（1）被替代的材料和工程设备的名称、数量、规格、型号、品牌、性能、价格及其他相关资料；</w:t>
      </w:r>
    </w:p>
    <w:p w14:paraId="4BA7AD26">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（2）替代品的名称、数量、规格、型号、品牌、性能、价格及其他相关资料；</w:t>
      </w:r>
    </w:p>
    <w:p w14:paraId="00EE8A1E">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（3）替代品与被替代产品之间的差异以及使用替代品可能对工程产生的影响；</w:t>
      </w:r>
    </w:p>
    <w:p w14:paraId="51424C4E">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（4）替代品与被替代产品的价格差异；</w:t>
      </w:r>
    </w:p>
    <w:p w14:paraId="261D7FB1">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（5）使用替代品的理由和原因说明；</w:t>
      </w:r>
    </w:p>
    <w:p w14:paraId="01DD6595">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（6）监理人要求的其他文件。</w:t>
      </w:r>
    </w:p>
    <w:p w14:paraId="370619A8">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监理人应在收到通知后14天内向承包人发出经发包人签认的书面指示；监理人逾期发出书面指示的，视为发包人和监理人同意使用替代品。</w:t>
      </w:r>
    </w:p>
    <w:p w14:paraId="56239FBE">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8.7.3 发包人认可使用替代材料和工程设备的，替代材料和工程设备的价格，按照已标价工程量清单或预算书相同项目的价格认定；无相同项目的，参考相似项目价格认定；既无相同项目也无相似项目的，按照合理的成本与利润构成的原则，由合同当事人按照第4.4款〔商定或确定〕确定价格。</w:t>
      </w:r>
      <w:bookmarkStart w:id="914" w:name="_Toc351203560"/>
    </w:p>
    <w:p w14:paraId="1D46029C">
      <w:pPr>
        <w:spacing w:line="576" w:lineRule="exact"/>
        <w:ind w:firstLine="640" w:firstLineChars="200"/>
        <w:jc w:val="both"/>
        <w:outlineLvl w:val="2"/>
        <w:rPr>
          <w:rFonts w:hint="eastAsia" w:ascii="仿宋_GB2312" w:hAnsi="仿宋_GB2312" w:eastAsia="仿宋_GB2312" w:cs="仿宋_GB2312"/>
          <w:color w:val="auto"/>
          <w:sz w:val="32"/>
          <w:szCs w:val="32"/>
          <w:highlight w:val="none"/>
        </w:rPr>
      </w:pPr>
      <w:bookmarkStart w:id="915" w:name="_Toc6430"/>
      <w:bookmarkStart w:id="916" w:name="_Toc12654"/>
      <w:bookmarkStart w:id="917" w:name="_Toc14541"/>
      <w:bookmarkStart w:id="918" w:name="_Toc4463"/>
      <w:bookmarkStart w:id="919" w:name="_Toc10006"/>
      <w:bookmarkStart w:id="920" w:name="_Toc7721"/>
      <w:bookmarkStart w:id="921" w:name="_Toc25755"/>
      <w:bookmarkStart w:id="922" w:name="_Toc8289"/>
      <w:r>
        <w:rPr>
          <w:rFonts w:hint="eastAsia" w:ascii="仿宋_GB2312" w:hAnsi="仿宋_GB2312" w:eastAsia="仿宋_GB2312" w:cs="仿宋_GB2312"/>
          <w:color w:val="auto"/>
          <w:sz w:val="32"/>
          <w:szCs w:val="32"/>
          <w:highlight w:val="none"/>
        </w:rPr>
        <w:t>8.8施工设备和临时设</w:t>
      </w:r>
      <w:bookmarkEnd w:id="914"/>
      <w:r>
        <w:rPr>
          <w:rFonts w:hint="eastAsia" w:ascii="仿宋_GB2312" w:hAnsi="仿宋_GB2312" w:eastAsia="仿宋_GB2312" w:cs="仿宋_GB2312"/>
          <w:color w:val="auto"/>
          <w:sz w:val="32"/>
          <w:szCs w:val="32"/>
          <w:highlight w:val="none"/>
        </w:rPr>
        <w:t>施</w:t>
      </w:r>
      <w:bookmarkEnd w:id="915"/>
      <w:bookmarkEnd w:id="916"/>
      <w:bookmarkEnd w:id="917"/>
      <w:bookmarkEnd w:id="918"/>
      <w:bookmarkEnd w:id="919"/>
      <w:bookmarkEnd w:id="920"/>
      <w:bookmarkEnd w:id="921"/>
      <w:bookmarkEnd w:id="922"/>
    </w:p>
    <w:p w14:paraId="1559E5B1">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8.8.1 承包人提供的施工设备和临时设施</w:t>
      </w:r>
    </w:p>
    <w:p w14:paraId="015E406F">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承包人应按合同进度计划的要求，及时配置施工设备和修建临时设施。进入施工场地的承包人设备需经监理人核查后才能投入使用。承包人更换合同约定的承包人设备的，应报监理人批准。</w:t>
      </w:r>
    </w:p>
    <w:p w14:paraId="0C85C1E2">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除专用合同条款另有约定外，承包人应自行承担修建临时设施的费用，需要临时占地的，应由发包人办理申请手续并承担相应费用。</w:t>
      </w:r>
    </w:p>
    <w:p w14:paraId="1F6E4F60">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8.8.2发包人提供的施工设备和临时设施</w:t>
      </w:r>
    </w:p>
    <w:p w14:paraId="7724392F">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发包人提供的施工设备或临时设施在专用合同条款中约定。</w:t>
      </w:r>
    </w:p>
    <w:p w14:paraId="145DC165">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8.8.3要求承包人增加或更换施工设备</w:t>
      </w:r>
    </w:p>
    <w:p w14:paraId="59AC9744">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承包人使用的施工设备不能满足合同进度计划和（或）质量要求时，监理人有权要求承包人增加或更换施工设备，承包人应及时增加或更换，由此增加的费用和（或）延误的工期由承包人承担。</w:t>
      </w:r>
      <w:bookmarkStart w:id="923" w:name="_Toc351203561"/>
    </w:p>
    <w:p w14:paraId="53BCB1E1">
      <w:pPr>
        <w:spacing w:line="576" w:lineRule="exact"/>
        <w:ind w:firstLine="640" w:firstLineChars="200"/>
        <w:jc w:val="both"/>
        <w:outlineLvl w:val="2"/>
        <w:rPr>
          <w:rFonts w:hint="eastAsia" w:ascii="仿宋_GB2312" w:hAnsi="仿宋_GB2312" w:eastAsia="仿宋_GB2312" w:cs="仿宋_GB2312"/>
          <w:color w:val="auto"/>
          <w:sz w:val="32"/>
          <w:szCs w:val="32"/>
          <w:highlight w:val="none"/>
        </w:rPr>
      </w:pPr>
      <w:bookmarkStart w:id="924" w:name="_Toc17876"/>
      <w:bookmarkStart w:id="925" w:name="_Toc337558781"/>
      <w:bookmarkStart w:id="926" w:name="_Toc19620"/>
      <w:bookmarkStart w:id="927" w:name="_Toc3624"/>
      <w:bookmarkStart w:id="928" w:name="_Toc846"/>
      <w:bookmarkStart w:id="929" w:name="_Toc13808"/>
      <w:bookmarkStart w:id="930" w:name="_Toc16390"/>
      <w:bookmarkStart w:id="931" w:name="_Toc296346564"/>
      <w:bookmarkStart w:id="932" w:name="_Toc296503063"/>
      <w:bookmarkStart w:id="933" w:name="_Toc11216"/>
      <w:bookmarkStart w:id="934" w:name="_Toc22610"/>
      <w:r>
        <w:rPr>
          <w:rFonts w:hint="eastAsia" w:ascii="仿宋_GB2312" w:hAnsi="仿宋_GB2312" w:eastAsia="仿宋_GB2312" w:cs="仿宋_GB2312"/>
          <w:color w:val="auto"/>
          <w:sz w:val="32"/>
          <w:szCs w:val="32"/>
          <w:highlight w:val="none"/>
        </w:rPr>
        <w:t>8.9材料与设备专</w:t>
      </w:r>
      <w:bookmarkEnd w:id="923"/>
      <w:r>
        <w:rPr>
          <w:rFonts w:hint="eastAsia" w:ascii="仿宋_GB2312" w:hAnsi="仿宋_GB2312" w:eastAsia="仿宋_GB2312" w:cs="仿宋_GB2312"/>
          <w:color w:val="auto"/>
          <w:sz w:val="32"/>
          <w:szCs w:val="32"/>
          <w:highlight w:val="none"/>
        </w:rPr>
        <w:t>用要求</w:t>
      </w:r>
      <w:bookmarkEnd w:id="924"/>
      <w:bookmarkEnd w:id="925"/>
      <w:bookmarkEnd w:id="926"/>
      <w:bookmarkEnd w:id="927"/>
      <w:bookmarkEnd w:id="928"/>
      <w:bookmarkEnd w:id="929"/>
      <w:bookmarkEnd w:id="930"/>
      <w:bookmarkEnd w:id="931"/>
      <w:bookmarkEnd w:id="932"/>
      <w:bookmarkEnd w:id="933"/>
      <w:bookmarkEnd w:id="934"/>
    </w:p>
    <w:p w14:paraId="73DE8FA6">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承包人运入施工现场的材料、工程设备、施工设备以及在施工场地建设的临时设施，包括备品备件、安装工具与资料，必须专用于工程。未经发包人批准，承包人不得运出施工现场或挪作他用</w:t>
      </w:r>
      <w:bookmarkEnd w:id="849"/>
      <w:r>
        <w:rPr>
          <w:rFonts w:hint="eastAsia" w:ascii="仿宋_GB2312" w:hAnsi="仿宋_GB2312" w:eastAsia="仿宋_GB2312" w:cs="仿宋_GB2312"/>
          <w:color w:val="auto"/>
          <w:kern w:val="0"/>
          <w:sz w:val="32"/>
          <w:szCs w:val="32"/>
          <w:highlight w:val="none"/>
        </w:rPr>
        <w:t>；经发包人批准，承包人可以根据施工进度计划撤走闲置的施工设备和其他物品。</w:t>
      </w:r>
      <w:bookmarkStart w:id="935" w:name="_Toc351203562"/>
    </w:p>
    <w:p w14:paraId="7C995D03">
      <w:pPr>
        <w:spacing w:line="576" w:lineRule="exact"/>
        <w:jc w:val="both"/>
        <w:outlineLvl w:val="1"/>
        <w:rPr>
          <w:rFonts w:hint="eastAsia" w:ascii="仿宋_GB2312" w:hAnsi="仿宋_GB2312" w:eastAsia="仿宋_GB2312" w:cs="仿宋_GB2312"/>
          <w:color w:val="auto"/>
          <w:sz w:val="32"/>
          <w:szCs w:val="32"/>
          <w:highlight w:val="none"/>
        </w:rPr>
      </w:pPr>
      <w:bookmarkStart w:id="936" w:name="_Toc13464"/>
      <w:bookmarkStart w:id="937" w:name="_Toc26436"/>
      <w:bookmarkStart w:id="938" w:name="_Toc19363"/>
      <w:bookmarkStart w:id="939" w:name="_Toc2940"/>
      <w:bookmarkStart w:id="940" w:name="_Toc337558782"/>
      <w:bookmarkStart w:id="941" w:name="_Toc31956"/>
      <w:bookmarkStart w:id="942" w:name="_Toc5847"/>
      <w:bookmarkStart w:id="943" w:name="_Toc8275"/>
      <w:bookmarkStart w:id="944" w:name="_Toc26557"/>
      <w:bookmarkStart w:id="945" w:name="_Toc13888"/>
      <w:bookmarkStart w:id="946" w:name="_Toc30619"/>
      <w:bookmarkStart w:id="947" w:name="_Toc296503083"/>
      <w:bookmarkStart w:id="948" w:name="_Toc296346584"/>
      <w:r>
        <w:rPr>
          <w:rFonts w:hint="eastAsia" w:ascii="仿宋_GB2312" w:hAnsi="仿宋_GB2312" w:eastAsia="仿宋_GB2312" w:cs="仿宋_GB2312"/>
          <w:color w:val="auto"/>
          <w:sz w:val="32"/>
          <w:szCs w:val="32"/>
          <w:highlight w:val="none"/>
        </w:rPr>
        <w:t>9. 试验与检</w:t>
      </w:r>
      <w:bookmarkEnd w:id="935"/>
      <w:r>
        <w:rPr>
          <w:rFonts w:hint="eastAsia" w:ascii="仿宋_GB2312" w:hAnsi="仿宋_GB2312" w:eastAsia="仿宋_GB2312" w:cs="仿宋_GB2312"/>
          <w:color w:val="auto"/>
          <w:sz w:val="32"/>
          <w:szCs w:val="32"/>
          <w:highlight w:val="none"/>
        </w:rPr>
        <w:t>验</w:t>
      </w:r>
      <w:bookmarkEnd w:id="936"/>
      <w:bookmarkEnd w:id="937"/>
      <w:bookmarkEnd w:id="938"/>
      <w:bookmarkEnd w:id="939"/>
      <w:bookmarkEnd w:id="940"/>
      <w:bookmarkEnd w:id="941"/>
      <w:bookmarkEnd w:id="942"/>
      <w:bookmarkEnd w:id="943"/>
      <w:bookmarkEnd w:id="944"/>
      <w:bookmarkEnd w:id="945"/>
      <w:bookmarkEnd w:id="946"/>
      <w:bookmarkStart w:id="949" w:name="_Toc351203563"/>
    </w:p>
    <w:p w14:paraId="7C799233">
      <w:pPr>
        <w:spacing w:line="576" w:lineRule="exact"/>
        <w:ind w:firstLine="640" w:firstLineChars="200"/>
        <w:jc w:val="both"/>
        <w:outlineLvl w:val="2"/>
        <w:rPr>
          <w:rFonts w:hint="eastAsia" w:ascii="仿宋_GB2312" w:hAnsi="仿宋_GB2312" w:eastAsia="仿宋_GB2312" w:cs="仿宋_GB2312"/>
          <w:color w:val="auto"/>
          <w:sz w:val="32"/>
          <w:szCs w:val="32"/>
          <w:highlight w:val="none"/>
        </w:rPr>
      </w:pPr>
      <w:bookmarkStart w:id="950" w:name="_Toc28210"/>
      <w:bookmarkStart w:id="951" w:name="_Toc2518"/>
      <w:bookmarkStart w:id="952" w:name="_Toc27036"/>
      <w:bookmarkStart w:id="953" w:name="_Toc18851"/>
      <w:bookmarkStart w:id="954" w:name="_Toc166"/>
      <w:bookmarkStart w:id="955" w:name="_Toc337558783"/>
      <w:bookmarkStart w:id="956" w:name="_Toc11770"/>
      <w:bookmarkStart w:id="957" w:name="_Toc11883"/>
      <w:bookmarkStart w:id="958" w:name="_Toc2423"/>
      <w:r>
        <w:rPr>
          <w:rFonts w:hint="eastAsia" w:ascii="仿宋_GB2312" w:hAnsi="仿宋_GB2312" w:eastAsia="仿宋_GB2312" w:cs="仿宋_GB2312"/>
          <w:color w:val="auto"/>
          <w:sz w:val="32"/>
          <w:szCs w:val="32"/>
          <w:highlight w:val="none"/>
        </w:rPr>
        <w:t>9.1试验设备与试验人</w:t>
      </w:r>
      <w:bookmarkEnd w:id="949"/>
      <w:r>
        <w:rPr>
          <w:rFonts w:hint="eastAsia" w:ascii="仿宋_GB2312" w:hAnsi="仿宋_GB2312" w:eastAsia="仿宋_GB2312" w:cs="仿宋_GB2312"/>
          <w:color w:val="auto"/>
          <w:sz w:val="32"/>
          <w:szCs w:val="32"/>
          <w:highlight w:val="none"/>
        </w:rPr>
        <w:t>员</w:t>
      </w:r>
      <w:bookmarkEnd w:id="950"/>
      <w:bookmarkEnd w:id="951"/>
      <w:bookmarkEnd w:id="952"/>
      <w:bookmarkEnd w:id="953"/>
      <w:bookmarkEnd w:id="954"/>
      <w:bookmarkEnd w:id="955"/>
      <w:bookmarkEnd w:id="956"/>
      <w:bookmarkEnd w:id="957"/>
      <w:bookmarkEnd w:id="958"/>
    </w:p>
    <w:p w14:paraId="373C839D">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9.1.1 承包人根据合同约定或监理人指示进行的现场材料试验，应由承包人提供试验场所、试验人员、试验设备以及其他必要的试验条件。监理人在必要时可以使用承包人提供的试验场所、试验设备以及其他试验条件，进行以工程质量检查为目的的材料复核试验，承包人应予以协助。</w:t>
      </w:r>
    </w:p>
    <w:p w14:paraId="78B9BC8B">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9.1.2 承包人应按专用合同条款的约定提供试验设备、取样装置、试验场所和试验条件，并向监理人提交相应进场计划表。</w:t>
      </w:r>
    </w:p>
    <w:p w14:paraId="01DA93B5">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承包人配置的试验设备要符合相应试验规程的要求并经过具有资质的检测单位检测，且在正式使用该试验设备前，需要经过监理人与承包人共同校定。</w:t>
      </w:r>
    </w:p>
    <w:p w14:paraId="5C354FCB">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9.1.3 承包人应向监理人提交试验人员的名单及其岗位、资格等证明资料，试验人员必须能够熟练进行相应的检测试验，承包人对试验人员的试验程序和试验结果的正确性负责。</w:t>
      </w:r>
      <w:bookmarkStart w:id="959" w:name="_Toc351203564"/>
    </w:p>
    <w:p w14:paraId="5B515DDF">
      <w:pPr>
        <w:spacing w:line="576" w:lineRule="exact"/>
        <w:ind w:firstLine="640" w:firstLineChars="200"/>
        <w:jc w:val="both"/>
        <w:outlineLvl w:val="2"/>
        <w:rPr>
          <w:rFonts w:hint="eastAsia" w:ascii="仿宋_GB2312" w:hAnsi="仿宋_GB2312" w:eastAsia="仿宋_GB2312" w:cs="仿宋_GB2312"/>
          <w:color w:val="auto"/>
          <w:sz w:val="32"/>
          <w:szCs w:val="32"/>
          <w:highlight w:val="none"/>
        </w:rPr>
      </w:pPr>
      <w:bookmarkStart w:id="960" w:name="_Toc19498"/>
      <w:bookmarkStart w:id="961" w:name="_Toc7048"/>
      <w:bookmarkStart w:id="962" w:name="_Toc5100"/>
      <w:bookmarkStart w:id="963" w:name="_Toc27066"/>
      <w:bookmarkStart w:id="964" w:name="_Toc11219"/>
      <w:bookmarkStart w:id="965" w:name="_Toc22575"/>
      <w:bookmarkStart w:id="966" w:name="_Toc19586"/>
      <w:bookmarkStart w:id="967" w:name="_Toc337558784"/>
      <w:bookmarkStart w:id="968" w:name="_Toc24567"/>
      <w:r>
        <w:rPr>
          <w:rFonts w:hint="eastAsia" w:ascii="仿宋_GB2312" w:hAnsi="仿宋_GB2312" w:eastAsia="仿宋_GB2312" w:cs="仿宋_GB2312"/>
          <w:color w:val="auto"/>
          <w:sz w:val="32"/>
          <w:szCs w:val="32"/>
          <w:highlight w:val="none"/>
        </w:rPr>
        <w:t>9.2取</w:t>
      </w:r>
      <w:bookmarkEnd w:id="959"/>
      <w:r>
        <w:rPr>
          <w:rFonts w:hint="eastAsia" w:ascii="仿宋_GB2312" w:hAnsi="仿宋_GB2312" w:eastAsia="仿宋_GB2312" w:cs="仿宋_GB2312"/>
          <w:color w:val="auto"/>
          <w:sz w:val="32"/>
          <w:szCs w:val="32"/>
          <w:highlight w:val="none"/>
        </w:rPr>
        <w:t>样</w:t>
      </w:r>
      <w:bookmarkEnd w:id="960"/>
      <w:bookmarkEnd w:id="961"/>
      <w:bookmarkEnd w:id="962"/>
      <w:bookmarkEnd w:id="963"/>
      <w:bookmarkEnd w:id="964"/>
      <w:bookmarkEnd w:id="965"/>
      <w:bookmarkEnd w:id="966"/>
      <w:bookmarkEnd w:id="967"/>
      <w:bookmarkEnd w:id="968"/>
    </w:p>
    <w:p w14:paraId="3DDA23BD">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试验属于自检性质的，承包人可以单独取样。试验属于监理人抽检性质的，可由监理人取样，也可由承包人的试验人员在监理人的监督下取样。</w:t>
      </w:r>
      <w:bookmarkStart w:id="969" w:name="_Toc351203565"/>
    </w:p>
    <w:p w14:paraId="0FEA7BD5">
      <w:pPr>
        <w:spacing w:line="576" w:lineRule="exact"/>
        <w:ind w:firstLine="640" w:firstLineChars="200"/>
        <w:jc w:val="both"/>
        <w:outlineLvl w:val="2"/>
        <w:rPr>
          <w:rFonts w:hint="eastAsia" w:ascii="仿宋_GB2312" w:hAnsi="仿宋_GB2312" w:eastAsia="仿宋_GB2312" w:cs="仿宋_GB2312"/>
          <w:color w:val="auto"/>
          <w:sz w:val="32"/>
          <w:szCs w:val="32"/>
          <w:highlight w:val="none"/>
        </w:rPr>
      </w:pPr>
      <w:bookmarkStart w:id="970" w:name="_Toc30323"/>
      <w:bookmarkStart w:id="971" w:name="_Toc337558785"/>
      <w:bookmarkStart w:id="972" w:name="_Toc20616"/>
      <w:bookmarkStart w:id="973" w:name="_Toc28396"/>
      <w:bookmarkStart w:id="974" w:name="_Toc736"/>
      <w:bookmarkStart w:id="975" w:name="_Toc32318"/>
      <w:bookmarkStart w:id="976" w:name="_Toc19811"/>
      <w:bookmarkStart w:id="977" w:name="_Toc10040"/>
      <w:bookmarkStart w:id="978" w:name="_Toc4164"/>
      <w:r>
        <w:rPr>
          <w:rFonts w:hint="eastAsia" w:ascii="仿宋_GB2312" w:hAnsi="仿宋_GB2312" w:eastAsia="仿宋_GB2312" w:cs="仿宋_GB2312"/>
          <w:color w:val="auto"/>
          <w:sz w:val="32"/>
          <w:szCs w:val="32"/>
          <w:highlight w:val="none"/>
        </w:rPr>
        <w:t>9.3材料、工程设备和工程的试验和检</w:t>
      </w:r>
      <w:bookmarkEnd w:id="969"/>
      <w:r>
        <w:rPr>
          <w:rFonts w:hint="eastAsia" w:ascii="仿宋_GB2312" w:hAnsi="仿宋_GB2312" w:eastAsia="仿宋_GB2312" w:cs="仿宋_GB2312"/>
          <w:color w:val="auto"/>
          <w:sz w:val="32"/>
          <w:szCs w:val="32"/>
          <w:highlight w:val="none"/>
        </w:rPr>
        <w:t>验</w:t>
      </w:r>
      <w:bookmarkEnd w:id="970"/>
      <w:bookmarkEnd w:id="971"/>
      <w:bookmarkEnd w:id="972"/>
      <w:bookmarkEnd w:id="973"/>
      <w:bookmarkEnd w:id="974"/>
      <w:bookmarkEnd w:id="975"/>
      <w:bookmarkEnd w:id="976"/>
      <w:bookmarkEnd w:id="977"/>
      <w:bookmarkEnd w:id="978"/>
    </w:p>
    <w:p w14:paraId="410AA418">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9.3.1承包人应按合同约定进行材料、工程设备和工程的试验和检验，并为监理人对上述材料、工程设备和工程的质量检查提供必要的试验资料和原始记录。按合同约定应由监理人与承包人共同进行试验和检验的，由承包人负责提供必要的试验资料和原始记录。</w:t>
      </w:r>
    </w:p>
    <w:p w14:paraId="05DC2DA3">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9.3.2试验属于自检性质的，承包人可以单独进行试验。试验属于监理人抽检性质的，监理人可以单独进行试验，也可由承包人与监理人共同进行。承包人对由监理人单独进行的试验结果有异议的，可以申请重新共同进行试验。约定共同进行试验的，监理人未按照约定参加试验的，承包人可自行试验，并将试验结果报送监理人，监理人应承认该试验结果。</w:t>
      </w:r>
    </w:p>
    <w:p w14:paraId="5C4EE321">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9.3.3监理人对承包人的试验和检验结果有异议的，或为查清承包人试验和检验成果的可靠性要求承包人重新试验和检验的，可由监理人与承包人共同进行。重新试验和检验的结果证明该项材料、工程设备或工程的质量不符合合同要求的，由此增加的费用和（或）延误的工期由承包人承担；重新试验和检验结果证明该项材料、工程设备和工程符合合同要求的，由此增加的费用和（或）延误的工期由发包人承担。</w:t>
      </w:r>
      <w:bookmarkStart w:id="979" w:name="_Toc351203566"/>
    </w:p>
    <w:p w14:paraId="39517B92">
      <w:pPr>
        <w:spacing w:line="576" w:lineRule="exact"/>
        <w:ind w:firstLine="640" w:firstLineChars="200"/>
        <w:jc w:val="both"/>
        <w:outlineLvl w:val="2"/>
        <w:rPr>
          <w:rFonts w:hint="eastAsia" w:ascii="仿宋_GB2312" w:hAnsi="仿宋_GB2312" w:eastAsia="仿宋_GB2312" w:cs="仿宋_GB2312"/>
          <w:color w:val="auto"/>
          <w:sz w:val="32"/>
          <w:szCs w:val="32"/>
          <w:highlight w:val="none"/>
        </w:rPr>
      </w:pPr>
      <w:bookmarkStart w:id="980" w:name="_Toc5114"/>
      <w:bookmarkStart w:id="981" w:name="_Toc17197"/>
      <w:bookmarkStart w:id="982" w:name="_Toc1266"/>
      <w:bookmarkStart w:id="983" w:name="_Toc337558786"/>
      <w:bookmarkStart w:id="984" w:name="_Toc13587"/>
      <w:bookmarkStart w:id="985" w:name="_Toc22515"/>
      <w:bookmarkStart w:id="986" w:name="_Toc19775"/>
      <w:bookmarkStart w:id="987" w:name="_Toc25603"/>
      <w:bookmarkStart w:id="988" w:name="_Toc6844"/>
      <w:r>
        <w:rPr>
          <w:rFonts w:hint="eastAsia" w:ascii="仿宋_GB2312" w:hAnsi="仿宋_GB2312" w:eastAsia="仿宋_GB2312" w:cs="仿宋_GB2312"/>
          <w:color w:val="auto"/>
          <w:sz w:val="32"/>
          <w:szCs w:val="32"/>
          <w:highlight w:val="none"/>
        </w:rPr>
        <w:t>9.4现场工艺试</w:t>
      </w:r>
      <w:bookmarkEnd w:id="979"/>
      <w:r>
        <w:rPr>
          <w:rFonts w:hint="eastAsia" w:ascii="仿宋_GB2312" w:hAnsi="仿宋_GB2312" w:eastAsia="仿宋_GB2312" w:cs="仿宋_GB2312"/>
          <w:color w:val="auto"/>
          <w:sz w:val="32"/>
          <w:szCs w:val="32"/>
          <w:highlight w:val="none"/>
        </w:rPr>
        <w:t>验</w:t>
      </w:r>
      <w:bookmarkEnd w:id="980"/>
      <w:bookmarkEnd w:id="981"/>
      <w:bookmarkEnd w:id="982"/>
      <w:bookmarkEnd w:id="983"/>
      <w:bookmarkEnd w:id="984"/>
      <w:bookmarkEnd w:id="985"/>
      <w:bookmarkEnd w:id="986"/>
      <w:bookmarkEnd w:id="987"/>
      <w:bookmarkEnd w:id="988"/>
    </w:p>
    <w:p w14:paraId="0D7D10B9">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承包人应按合同约定或监理人指示进行现场工艺试验。对大型的现场工艺试验，监理人认为必要时，承包人应根据监理人提出的工艺试验要求，编制工艺试验措施计划，报送监理人审查。</w:t>
      </w:r>
      <w:bookmarkStart w:id="989" w:name="_Toc351203567"/>
    </w:p>
    <w:p w14:paraId="1F9C2528">
      <w:pPr>
        <w:spacing w:line="576" w:lineRule="exact"/>
        <w:jc w:val="both"/>
        <w:outlineLvl w:val="1"/>
        <w:rPr>
          <w:rFonts w:hint="eastAsia" w:ascii="仿宋_GB2312" w:hAnsi="仿宋_GB2312" w:eastAsia="仿宋_GB2312" w:cs="仿宋_GB2312"/>
          <w:color w:val="auto"/>
          <w:sz w:val="32"/>
          <w:szCs w:val="32"/>
          <w:highlight w:val="none"/>
        </w:rPr>
      </w:pPr>
      <w:bookmarkStart w:id="990" w:name="_Toc18726"/>
      <w:bookmarkStart w:id="991" w:name="_Toc29118"/>
      <w:bookmarkStart w:id="992" w:name="_Toc1199"/>
      <w:bookmarkStart w:id="993" w:name="_Toc21400"/>
      <w:bookmarkStart w:id="994" w:name="_Toc8134"/>
      <w:bookmarkStart w:id="995" w:name="_Toc31127"/>
      <w:bookmarkStart w:id="996" w:name="_Toc29238"/>
      <w:bookmarkStart w:id="997" w:name="_Toc337558787"/>
      <w:bookmarkStart w:id="998" w:name="_Toc21543"/>
      <w:bookmarkStart w:id="999" w:name="_Toc9623"/>
      <w:bookmarkStart w:id="1000" w:name="_Toc17883"/>
      <w:r>
        <w:rPr>
          <w:rFonts w:hint="eastAsia" w:ascii="仿宋_GB2312" w:hAnsi="仿宋_GB2312" w:eastAsia="仿宋_GB2312" w:cs="仿宋_GB2312"/>
          <w:color w:val="auto"/>
          <w:sz w:val="32"/>
          <w:szCs w:val="32"/>
          <w:highlight w:val="none"/>
        </w:rPr>
        <w:t>10. 变</w:t>
      </w:r>
      <w:bookmarkEnd w:id="947"/>
      <w:bookmarkEnd w:id="948"/>
      <w:bookmarkEnd w:id="989"/>
      <w:r>
        <w:rPr>
          <w:rFonts w:hint="eastAsia" w:ascii="仿宋_GB2312" w:hAnsi="仿宋_GB2312" w:eastAsia="仿宋_GB2312" w:cs="仿宋_GB2312"/>
          <w:color w:val="auto"/>
          <w:sz w:val="32"/>
          <w:szCs w:val="32"/>
          <w:highlight w:val="none"/>
        </w:rPr>
        <w:t>更</w:t>
      </w:r>
      <w:bookmarkEnd w:id="990"/>
      <w:bookmarkEnd w:id="991"/>
      <w:bookmarkEnd w:id="992"/>
      <w:bookmarkEnd w:id="993"/>
      <w:bookmarkEnd w:id="994"/>
      <w:bookmarkEnd w:id="995"/>
      <w:bookmarkEnd w:id="996"/>
      <w:bookmarkEnd w:id="997"/>
      <w:bookmarkEnd w:id="998"/>
      <w:bookmarkEnd w:id="999"/>
      <w:bookmarkEnd w:id="1000"/>
      <w:bookmarkStart w:id="1001" w:name="_Toc351203568"/>
    </w:p>
    <w:p w14:paraId="3C351E45">
      <w:pPr>
        <w:spacing w:line="576" w:lineRule="exact"/>
        <w:ind w:firstLine="640" w:firstLineChars="200"/>
        <w:jc w:val="both"/>
        <w:outlineLvl w:val="2"/>
        <w:rPr>
          <w:rFonts w:hint="eastAsia" w:ascii="仿宋_GB2312" w:hAnsi="仿宋_GB2312" w:eastAsia="仿宋_GB2312" w:cs="仿宋_GB2312"/>
          <w:color w:val="auto"/>
          <w:sz w:val="32"/>
          <w:szCs w:val="32"/>
          <w:highlight w:val="none"/>
        </w:rPr>
      </w:pPr>
      <w:bookmarkStart w:id="1002" w:name="_Toc4682"/>
      <w:bookmarkStart w:id="1003" w:name="_Toc4997"/>
      <w:bookmarkStart w:id="1004" w:name="_Toc11552"/>
      <w:bookmarkStart w:id="1005" w:name="_Toc296503084"/>
      <w:bookmarkStart w:id="1006" w:name="_Toc296346585"/>
      <w:bookmarkStart w:id="1007" w:name="_Toc18581"/>
      <w:bookmarkStart w:id="1008" w:name="_Toc4801"/>
      <w:bookmarkStart w:id="1009" w:name="_Toc30489"/>
      <w:bookmarkStart w:id="1010" w:name="_Toc1502"/>
      <w:bookmarkStart w:id="1011" w:name="_Toc19318"/>
      <w:bookmarkStart w:id="1012" w:name="_Toc337558788"/>
      <w:r>
        <w:rPr>
          <w:rFonts w:hint="eastAsia" w:ascii="仿宋_GB2312" w:hAnsi="仿宋_GB2312" w:eastAsia="仿宋_GB2312" w:cs="仿宋_GB2312"/>
          <w:color w:val="auto"/>
          <w:sz w:val="32"/>
          <w:szCs w:val="32"/>
          <w:highlight w:val="none"/>
        </w:rPr>
        <w:t>10.1变更的范</w:t>
      </w:r>
      <w:bookmarkEnd w:id="1001"/>
      <w:r>
        <w:rPr>
          <w:rFonts w:hint="eastAsia" w:ascii="仿宋_GB2312" w:hAnsi="仿宋_GB2312" w:eastAsia="仿宋_GB2312" w:cs="仿宋_GB2312"/>
          <w:color w:val="auto"/>
          <w:sz w:val="32"/>
          <w:szCs w:val="32"/>
          <w:highlight w:val="none"/>
        </w:rPr>
        <w:t>围</w:t>
      </w:r>
      <w:bookmarkEnd w:id="1002"/>
      <w:bookmarkEnd w:id="1003"/>
      <w:bookmarkEnd w:id="1004"/>
      <w:bookmarkEnd w:id="1005"/>
      <w:bookmarkEnd w:id="1006"/>
      <w:bookmarkEnd w:id="1007"/>
      <w:bookmarkEnd w:id="1008"/>
      <w:bookmarkEnd w:id="1009"/>
      <w:bookmarkEnd w:id="1010"/>
      <w:bookmarkEnd w:id="1011"/>
      <w:bookmarkEnd w:id="1012"/>
    </w:p>
    <w:p w14:paraId="1C6E953B">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除专用合同条款另有约定外，合同履行过程中发生以下情形的，应按照本条约定进行变更：</w:t>
      </w:r>
    </w:p>
    <w:p w14:paraId="1A19CD27">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（1）增加或减少合同中任何工作，或追加额外的工作；</w:t>
      </w:r>
    </w:p>
    <w:p w14:paraId="39647C5C">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（2）取消合同中任何工作，但转由他人实施的工作除外；</w:t>
      </w:r>
    </w:p>
    <w:p w14:paraId="4420CF96">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（3）改变合同中任何工作的质量标准或其他特性；</w:t>
      </w:r>
    </w:p>
    <w:p w14:paraId="506F2216">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（4）改变工程的基线、标高、位置和尺寸；</w:t>
      </w:r>
    </w:p>
    <w:p w14:paraId="3BFDA8B9">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（5）改变工程的时间安排或实施顺序。</w:t>
      </w:r>
      <w:bookmarkStart w:id="1013" w:name="_Toc351203569"/>
    </w:p>
    <w:p w14:paraId="319CA7A6">
      <w:pPr>
        <w:spacing w:line="576" w:lineRule="exact"/>
        <w:ind w:firstLine="640" w:firstLineChars="200"/>
        <w:jc w:val="both"/>
        <w:outlineLvl w:val="2"/>
        <w:rPr>
          <w:rFonts w:hint="eastAsia" w:ascii="仿宋_GB2312" w:hAnsi="仿宋_GB2312" w:eastAsia="仿宋_GB2312" w:cs="仿宋_GB2312"/>
          <w:color w:val="auto"/>
          <w:sz w:val="32"/>
          <w:szCs w:val="32"/>
          <w:highlight w:val="none"/>
        </w:rPr>
      </w:pPr>
      <w:bookmarkStart w:id="1014" w:name="_Toc24452"/>
      <w:bookmarkStart w:id="1015" w:name="_Toc25238"/>
      <w:bookmarkStart w:id="1016" w:name="_Toc10436"/>
      <w:bookmarkStart w:id="1017" w:name="_Toc2786"/>
      <w:bookmarkStart w:id="1018" w:name="_Toc13076"/>
      <w:bookmarkStart w:id="1019" w:name="_Toc27289"/>
      <w:bookmarkStart w:id="1020" w:name="_Toc23813"/>
      <w:bookmarkStart w:id="1021" w:name="_Toc23008"/>
      <w:bookmarkStart w:id="1022" w:name="_Toc296346586"/>
      <w:bookmarkStart w:id="1023" w:name="_Toc337558789"/>
      <w:bookmarkStart w:id="1024" w:name="_Toc296503085"/>
      <w:r>
        <w:rPr>
          <w:rFonts w:hint="eastAsia" w:ascii="仿宋_GB2312" w:hAnsi="仿宋_GB2312" w:eastAsia="仿宋_GB2312" w:cs="仿宋_GB2312"/>
          <w:color w:val="auto"/>
          <w:sz w:val="32"/>
          <w:szCs w:val="32"/>
          <w:highlight w:val="none"/>
        </w:rPr>
        <w:t>10.2变更</w:t>
      </w:r>
      <w:bookmarkEnd w:id="1013"/>
      <w:r>
        <w:rPr>
          <w:rFonts w:hint="eastAsia" w:ascii="仿宋_GB2312" w:hAnsi="仿宋_GB2312" w:eastAsia="仿宋_GB2312" w:cs="仿宋_GB2312"/>
          <w:color w:val="auto"/>
          <w:sz w:val="32"/>
          <w:szCs w:val="32"/>
          <w:highlight w:val="none"/>
        </w:rPr>
        <w:t>权</w:t>
      </w:r>
      <w:bookmarkEnd w:id="1014"/>
      <w:bookmarkEnd w:id="1015"/>
      <w:bookmarkEnd w:id="1016"/>
      <w:bookmarkEnd w:id="1017"/>
      <w:bookmarkEnd w:id="1018"/>
      <w:bookmarkEnd w:id="1019"/>
      <w:bookmarkEnd w:id="1020"/>
      <w:bookmarkEnd w:id="1021"/>
      <w:bookmarkEnd w:id="1022"/>
      <w:bookmarkEnd w:id="1023"/>
      <w:bookmarkEnd w:id="1024"/>
    </w:p>
    <w:p w14:paraId="2191222D">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发包人和监理人均可以提出变更。变更指示均通过监理人发出，监理人发出变更指示前应征得发包人同意。承包人收到经发包人签认的变更指示后，方可实施变更。未经许可，承包人不得擅自对工程的任何部分进行变更。</w:t>
      </w:r>
    </w:p>
    <w:p w14:paraId="7F383548">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涉及设计变更的，应由设计人提供变更后的图纸和说明。如变更超过原设计标准或批准的建设规模时，发包人应及时办理规划、设计变更等审批手续。</w:t>
      </w:r>
      <w:bookmarkStart w:id="1025" w:name="_Toc351203570"/>
    </w:p>
    <w:p w14:paraId="398F3357">
      <w:pPr>
        <w:spacing w:line="576" w:lineRule="exact"/>
        <w:ind w:firstLine="640" w:firstLineChars="200"/>
        <w:jc w:val="both"/>
        <w:outlineLvl w:val="2"/>
        <w:rPr>
          <w:rFonts w:hint="eastAsia" w:ascii="仿宋_GB2312" w:hAnsi="仿宋_GB2312" w:eastAsia="仿宋_GB2312" w:cs="仿宋_GB2312"/>
          <w:color w:val="auto"/>
          <w:sz w:val="32"/>
          <w:szCs w:val="32"/>
          <w:highlight w:val="none"/>
        </w:rPr>
      </w:pPr>
      <w:bookmarkStart w:id="1026" w:name="_Toc21464"/>
      <w:bookmarkStart w:id="1027" w:name="_Toc296503086"/>
      <w:bookmarkStart w:id="1028" w:name="_Toc296346587"/>
      <w:bookmarkStart w:id="1029" w:name="_Toc17523"/>
      <w:bookmarkStart w:id="1030" w:name="_Toc17622"/>
      <w:bookmarkStart w:id="1031" w:name="_Toc15875"/>
      <w:bookmarkStart w:id="1032" w:name="_Toc19979"/>
      <w:bookmarkStart w:id="1033" w:name="_Toc690"/>
      <w:bookmarkStart w:id="1034" w:name="_Toc23409"/>
      <w:bookmarkStart w:id="1035" w:name="_Toc10143"/>
      <w:bookmarkStart w:id="1036" w:name="_Toc337558790"/>
      <w:r>
        <w:rPr>
          <w:rFonts w:hint="eastAsia" w:ascii="仿宋_GB2312" w:hAnsi="仿宋_GB2312" w:eastAsia="仿宋_GB2312" w:cs="仿宋_GB2312"/>
          <w:color w:val="auto"/>
          <w:sz w:val="32"/>
          <w:szCs w:val="32"/>
          <w:highlight w:val="none"/>
        </w:rPr>
        <w:t>10.3变更程</w:t>
      </w:r>
      <w:bookmarkEnd w:id="1025"/>
      <w:r>
        <w:rPr>
          <w:rFonts w:hint="eastAsia" w:ascii="仿宋_GB2312" w:hAnsi="仿宋_GB2312" w:eastAsia="仿宋_GB2312" w:cs="仿宋_GB2312"/>
          <w:color w:val="auto"/>
          <w:sz w:val="32"/>
          <w:szCs w:val="32"/>
          <w:highlight w:val="none"/>
        </w:rPr>
        <w:t>序</w:t>
      </w:r>
      <w:bookmarkEnd w:id="1026"/>
      <w:bookmarkEnd w:id="1027"/>
      <w:bookmarkEnd w:id="1028"/>
      <w:bookmarkEnd w:id="1029"/>
      <w:bookmarkEnd w:id="1030"/>
      <w:bookmarkEnd w:id="1031"/>
      <w:bookmarkEnd w:id="1032"/>
      <w:bookmarkEnd w:id="1033"/>
      <w:bookmarkEnd w:id="1034"/>
      <w:bookmarkEnd w:id="1035"/>
      <w:bookmarkEnd w:id="1036"/>
    </w:p>
    <w:p w14:paraId="61DBFFDA">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sz w:val="32"/>
          <w:szCs w:val="32"/>
          <w:highlight w:val="none"/>
        </w:rPr>
        <w:t>10</w:t>
      </w:r>
      <w:r>
        <w:rPr>
          <w:rFonts w:hint="eastAsia" w:ascii="仿宋_GB2312" w:hAnsi="仿宋_GB2312" w:eastAsia="仿宋_GB2312" w:cs="仿宋_GB2312"/>
          <w:color w:val="auto"/>
          <w:kern w:val="0"/>
          <w:sz w:val="32"/>
          <w:szCs w:val="32"/>
          <w:highlight w:val="none"/>
        </w:rPr>
        <w:t>.3.1 发包人提出变更</w:t>
      </w:r>
    </w:p>
    <w:p w14:paraId="030C4288">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发包人提出变更的，应通过监理人向承包人发出变更指示，变更指示应说明计划变更的工程范围和变更的内容。</w:t>
      </w:r>
    </w:p>
    <w:p w14:paraId="0DEF3DBA">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sz w:val="32"/>
          <w:szCs w:val="32"/>
          <w:highlight w:val="none"/>
        </w:rPr>
        <w:t>10</w:t>
      </w:r>
      <w:r>
        <w:rPr>
          <w:rFonts w:hint="eastAsia" w:ascii="仿宋_GB2312" w:hAnsi="仿宋_GB2312" w:eastAsia="仿宋_GB2312" w:cs="仿宋_GB2312"/>
          <w:color w:val="auto"/>
          <w:kern w:val="0"/>
          <w:sz w:val="32"/>
          <w:szCs w:val="32"/>
          <w:highlight w:val="none"/>
        </w:rPr>
        <w:t>.3.2 监理人提出变更建议</w:t>
      </w:r>
    </w:p>
    <w:p w14:paraId="17B0A063">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监理人提出变更建议的，需要向发包人以书面形式提出变更计划，说明计划变更工程范围和变更的内容、理由，以及实施该变更对合同价格和工期的影响。发包人同意变更的，由监理人向承包人发出变更指示。发包人不同意变更的，监理人无权擅自发出变更指示。</w:t>
      </w:r>
    </w:p>
    <w:p w14:paraId="1D1BD027">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10.3.3 变更执行</w:t>
      </w:r>
    </w:p>
    <w:p w14:paraId="5D2ADF8C">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承包人收到监理人下达的变更指示后，认为不能执行，应立即提出不能执行该变更指示的理由。承包人认为可以执行变更的，应当书面说明实施该变更指示对合同价格和工期的影响，且合同当事人应当按照第10.4款〔变更估价〕约定确定变更估价。</w:t>
      </w:r>
      <w:bookmarkStart w:id="1037" w:name="_Toc351203571"/>
    </w:p>
    <w:p w14:paraId="35430EB5">
      <w:pPr>
        <w:spacing w:line="576" w:lineRule="exact"/>
        <w:ind w:firstLine="640" w:firstLineChars="200"/>
        <w:jc w:val="both"/>
        <w:outlineLvl w:val="2"/>
        <w:rPr>
          <w:rFonts w:hint="eastAsia" w:ascii="仿宋_GB2312" w:hAnsi="仿宋_GB2312" w:eastAsia="仿宋_GB2312" w:cs="仿宋_GB2312"/>
          <w:color w:val="auto"/>
          <w:sz w:val="32"/>
          <w:szCs w:val="32"/>
          <w:highlight w:val="none"/>
        </w:rPr>
      </w:pPr>
      <w:bookmarkStart w:id="1038" w:name="_Toc296346588"/>
      <w:bookmarkStart w:id="1039" w:name="_Toc20194"/>
      <w:bookmarkStart w:id="1040" w:name="_Toc296503087"/>
      <w:bookmarkStart w:id="1041" w:name="_Toc16435"/>
      <w:bookmarkStart w:id="1042" w:name="_Toc337558791"/>
      <w:bookmarkStart w:id="1043" w:name="_Toc13019"/>
      <w:bookmarkStart w:id="1044" w:name="_Toc16608"/>
      <w:bookmarkStart w:id="1045" w:name="_Toc1122"/>
      <w:bookmarkStart w:id="1046" w:name="_Toc32201"/>
      <w:bookmarkStart w:id="1047" w:name="_Toc28962"/>
      <w:bookmarkStart w:id="1048" w:name="_Toc31363"/>
      <w:r>
        <w:rPr>
          <w:rFonts w:hint="eastAsia" w:ascii="仿宋_GB2312" w:hAnsi="仿宋_GB2312" w:eastAsia="仿宋_GB2312" w:cs="仿宋_GB2312"/>
          <w:color w:val="auto"/>
          <w:sz w:val="32"/>
          <w:szCs w:val="32"/>
          <w:highlight w:val="none"/>
        </w:rPr>
        <w:t>10.4变更估</w:t>
      </w:r>
      <w:bookmarkEnd w:id="1037"/>
      <w:r>
        <w:rPr>
          <w:rFonts w:hint="eastAsia" w:ascii="仿宋_GB2312" w:hAnsi="仿宋_GB2312" w:eastAsia="仿宋_GB2312" w:cs="仿宋_GB2312"/>
          <w:color w:val="auto"/>
          <w:sz w:val="32"/>
          <w:szCs w:val="32"/>
          <w:highlight w:val="none"/>
        </w:rPr>
        <w:t>价</w:t>
      </w:r>
      <w:bookmarkEnd w:id="1038"/>
      <w:bookmarkEnd w:id="1039"/>
      <w:bookmarkEnd w:id="1040"/>
      <w:bookmarkEnd w:id="1041"/>
      <w:bookmarkEnd w:id="1042"/>
      <w:bookmarkEnd w:id="1043"/>
      <w:bookmarkEnd w:id="1044"/>
      <w:bookmarkEnd w:id="1045"/>
      <w:bookmarkEnd w:id="1046"/>
      <w:bookmarkEnd w:id="1047"/>
      <w:bookmarkEnd w:id="1048"/>
    </w:p>
    <w:p w14:paraId="3EE60F25">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10.4.1 变更估价原则</w:t>
      </w:r>
    </w:p>
    <w:p w14:paraId="253B2E4E">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除专用合同条款另有约定外，变更估价按照本款约定处理：</w:t>
      </w:r>
    </w:p>
    <w:p w14:paraId="594E49A3">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（1）已标价工程量清单或预算书有相同项目的，按照相同项目单价认定；</w:t>
      </w:r>
    </w:p>
    <w:p w14:paraId="224BE3ED">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（2）已标价工程量清单或预算书中无相同项目，但有类似项目的，参照类似项目的单价认定；</w:t>
      </w:r>
    </w:p>
    <w:p w14:paraId="79C85D7C">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3）变更导致实际完成的变更工程量与已标价工程量清单或预算书中列明的该项目工程量的变化幅度超过15%的，或已标价工程量清单或预算书中无相同项目及类似项目单价的，按照合理的成本与利润构成的原则，由合同当事人按照第4.4款〔商定或确定〕确定变更工作的单价。</w:t>
      </w:r>
    </w:p>
    <w:p w14:paraId="2049ADB8">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10.4.2 变更估价程序</w:t>
      </w:r>
    </w:p>
    <w:p w14:paraId="7699A0D1">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承包人应在收到变更指示后14天内，向监理人提交变更估价申请。监理人应在收到承包人提交的变更估价申请后7天内审查完毕并报送发包人，监理人对变更估价申请有异议，通知承包人修改后重新提交。发包人应在承包人提交变更估价申请后14天内审批完毕。发包人逾期未完成审批或未提出异议的，视为认可承包人提交的变更估价申请。</w:t>
      </w:r>
    </w:p>
    <w:p w14:paraId="75399654">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因变更引起的价格调整应计入最近一期的进度款中支付。</w:t>
      </w:r>
      <w:bookmarkStart w:id="1049" w:name="_Toc351203572"/>
    </w:p>
    <w:p w14:paraId="06A271AC">
      <w:pPr>
        <w:spacing w:line="576" w:lineRule="exact"/>
        <w:ind w:firstLine="640" w:firstLineChars="200"/>
        <w:jc w:val="both"/>
        <w:outlineLvl w:val="2"/>
        <w:rPr>
          <w:rFonts w:hint="eastAsia" w:ascii="仿宋_GB2312" w:hAnsi="仿宋_GB2312" w:eastAsia="仿宋_GB2312" w:cs="仿宋_GB2312"/>
          <w:color w:val="auto"/>
          <w:sz w:val="32"/>
          <w:szCs w:val="32"/>
          <w:highlight w:val="none"/>
        </w:rPr>
      </w:pPr>
      <w:bookmarkStart w:id="1050" w:name="_Toc27270"/>
      <w:bookmarkStart w:id="1051" w:name="_Toc296503094"/>
      <w:bookmarkStart w:id="1052" w:name="_Toc296346595"/>
      <w:bookmarkStart w:id="1053" w:name="_Toc24745"/>
      <w:bookmarkStart w:id="1054" w:name="_Toc3857"/>
      <w:bookmarkStart w:id="1055" w:name="_Toc21791"/>
      <w:bookmarkStart w:id="1056" w:name="_Toc17414"/>
      <w:bookmarkStart w:id="1057" w:name="_Toc337558792"/>
      <w:bookmarkStart w:id="1058" w:name="_Toc28182"/>
      <w:bookmarkStart w:id="1059" w:name="_Toc16792"/>
      <w:bookmarkStart w:id="1060" w:name="_Toc25474"/>
      <w:r>
        <w:rPr>
          <w:rFonts w:hint="eastAsia" w:ascii="仿宋_GB2312" w:hAnsi="仿宋_GB2312" w:eastAsia="仿宋_GB2312" w:cs="仿宋_GB2312"/>
          <w:color w:val="auto"/>
          <w:sz w:val="32"/>
          <w:szCs w:val="32"/>
          <w:highlight w:val="none"/>
        </w:rPr>
        <w:t>10.5承包人的合理化建</w:t>
      </w:r>
      <w:bookmarkEnd w:id="1049"/>
      <w:r>
        <w:rPr>
          <w:rFonts w:hint="eastAsia" w:ascii="仿宋_GB2312" w:hAnsi="仿宋_GB2312" w:eastAsia="仿宋_GB2312" w:cs="仿宋_GB2312"/>
          <w:color w:val="auto"/>
          <w:sz w:val="32"/>
          <w:szCs w:val="32"/>
          <w:highlight w:val="none"/>
        </w:rPr>
        <w:t>议</w:t>
      </w:r>
      <w:bookmarkEnd w:id="1050"/>
      <w:bookmarkEnd w:id="1051"/>
      <w:bookmarkEnd w:id="1052"/>
      <w:bookmarkEnd w:id="1053"/>
      <w:bookmarkEnd w:id="1054"/>
      <w:bookmarkEnd w:id="1055"/>
      <w:bookmarkEnd w:id="1056"/>
      <w:bookmarkEnd w:id="1057"/>
      <w:bookmarkEnd w:id="1058"/>
      <w:bookmarkEnd w:id="1059"/>
      <w:bookmarkEnd w:id="1060"/>
    </w:p>
    <w:p w14:paraId="03A8D329">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承包人提出合理化建议的，应向监理人提交合理化建议说明，说明建议的内容和理由，以及实施该建议对合同价格和工期的影响。</w:t>
      </w:r>
    </w:p>
    <w:p w14:paraId="58B64FAA">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除专用合同条款另有约定外，监理人应在收到承包人提交的合理化建议后7天内审查完毕并报送发包人，发现其中存在技术上的缺陷，应通知承包人修改。发包人应在收到监理人报送的合理化建议后7天内审批完毕。合理化建议经发包人批准的，监理人应及时发出变更指示，由此引起的合同价格调整按照第10.4款〔变更估价〕约定执行。发包人不同意变更的，监理人应书面通知承包人。</w:t>
      </w:r>
    </w:p>
    <w:p w14:paraId="3F75880D">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合理化建议降低了合同价格或者提高了工程经济效益的，发包人可对承包人给予奖励，奖励的方法和金额在专用合同条款中约定。</w:t>
      </w:r>
      <w:bookmarkStart w:id="1061" w:name="_Toc351203573"/>
    </w:p>
    <w:p w14:paraId="30004219">
      <w:pPr>
        <w:spacing w:line="576" w:lineRule="exact"/>
        <w:ind w:firstLine="640" w:firstLineChars="200"/>
        <w:jc w:val="both"/>
        <w:outlineLvl w:val="2"/>
        <w:rPr>
          <w:rFonts w:hint="eastAsia" w:ascii="仿宋_GB2312" w:hAnsi="仿宋_GB2312" w:eastAsia="仿宋_GB2312" w:cs="仿宋_GB2312"/>
          <w:color w:val="auto"/>
          <w:sz w:val="32"/>
          <w:szCs w:val="32"/>
          <w:highlight w:val="none"/>
        </w:rPr>
      </w:pPr>
      <w:bookmarkStart w:id="1062" w:name="_Toc337558793"/>
      <w:bookmarkStart w:id="1063" w:name="_Toc28492"/>
      <w:bookmarkStart w:id="1064" w:name="_Toc8623"/>
      <w:bookmarkStart w:id="1065" w:name="_Toc1468"/>
      <w:bookmarkStart w:id="1066" w:name="_Toc13290"/>
      <w:bookmarkStart w:id="1067" w:name="_Toc23184"/>
      <w:bookmarkStart w:id="1068" w:name="_Toc30559"/>
      <w:bookmarkStart w:id="1069" w:name="_Toc22219"/>
      <w:bookmarkStart w:id="1070" w:name="_Toc30144"/>
      <w:r>
        <w:rPr>
          <w:rFonts w:hint="eastAsia" w:ascii="仿宋_GB2312" w:hAnsi="仿宋_GB2312" w:eastAsia="仿宋_GB2312" w:cs="仿宋_GB2312"/>
          <w:color w:val="auto"/>
          <w:sz w:val="32"/>
          <w:szCs w:val="32"/>
          <w:highlight w:val="none"/>
        </w:rPr>
        <w:t>10.6变更引起的工期调</w:t>
      </w:r>
      <w:bookmarkEnd w:id="1061"/>
      <w:bookmarkEnd w:id="1062"/>
      <w:r>
        <w:rPr>
          <w:rFonts w:hint="eastAsia" w:ascii="仿宋_GB2312" w:hAnsi="仿宋_GB2312" w:eastAsia="仿宋_GB2312" w:cs="仿宋_GB2312"/>
          <w:color w:val="auto"/>
          <w:sz w:val="32"/>
          <w:szCs w:val="32"/>
          <w:highlight w:val="none"/>
        </w:rPr>
        <w:t>整</w:t>
      </w:r>
      <w:bookmarkEnd w:id="1063"/>
      <w:bookmarkEnd w:id="1064"/>
      <w:bookmarkEnd w:id="1065"/>
      <w:bookmarkEnd w:id="1066"/>
      <w:bookmarkEnd w:id="1067"/>
      <w:bookmarkEnd w:id="1068"/>
      <w:bookmarkEnd w:id="1069"/>
      <w:bookmarkEnd w:id="1070"/>
    </w:p>
    <w:p w14:paraId="113732FC">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因变更引起工期变化的，合同当事人均可要求调整合同工期，由合同当事人按照第4.4款〔商定或确定〕并参考工程所在地的工期定额标准确定增减工期天数。</w:t>
      </w:r>
      <w:bookmarkStart w:id="1071" w:name="_Toc351203574"/>
    </w:p>
    <w:p w14:paraId="2CB7D399">
      <w:pPr>
        <w:spacing w:line="576" w:lineRule="exact"/>
        <w:ind w:firstLine="640" w:firstLineChars="200"/>
        <w:jc w:val="both"/>
        <w:outlineLvl w:val="2"/>
        <w:rPr>
          <w:rFonts w:hint="eastAsia" w:ascii="仿宋_GB2312" w:hAnsi="仿宋_GB2312" w:eastAsia="仿宋_GB2312" w:cs="仿宋_GB2312"/>
          <w:color w:val="auto"/>
          <w:sz w:val="32"/>
          <w:szCs w:val="32"/>
          <w:highlight w:val="none"/>
        </w:rPr>
      </w:pPr>
      <w:bookmarkStart w:id="1072" w:name="_Toc12775"/>
      <w:bookmarkStart w:id="1073" w:name="_Toc15799"/>
      <w:bookmarkStart w:id="1074" w:name="_Toc15633"/>
      <w:bookmarkStart w:id="1075" w:name="_Toc12741"/>
      <w:bookmarkStart w:id="1076" w:name="_Toc21453"/>
      <w:bookmarkStart w:id="1077" w:name="_Toc10560"/>
      <w:bookmarkStart w:id="1078" w:name="_Toc453"/>
      <w:bookmarkStart w:id="1079" w:name="_Toc23981"/>
      <w:r>
        <w:rPr>
          <w:rFonts w:hint="eastAsia" w:ascii="仿宋_GB2312" w:hAnsi="仿宋_GB2312" w:eastAsia="仿宋_GB2312" w:cs="仿宋_GB2312"/>
          <w:color w:val="auto"/>
          <w:sz w:val="32"/>
          <w:szCs w:val="32"/>
          <w:highlight w:val="none"/>
        </w:rPr>
        <w:t>10.7暂估</w:t>
      </w:r>
      <w:bookmarkEnd w:id="1071"/>
      <w:r>
        <w:rPr>
          <w:rFonts w:hint="eastAsia" w:ascii="仿宋_GB2312" w:hAnsi="仿宋_GB2312" w:eastAsia="仿宋_GB2312" w:cs="仿宋_GB2312"/>
          <w:color w:val="auto"/>
          <w:sz w:val="32"/>
          <w:szCs w:val="32"/>
          <w:highlight w:val="none"/>
        </w:rPr>
        <w:t>价</w:t>
      </w:r>
      <w:bookmarkEnd w:id="1072"/>
      <w:bookmarkEnd w:id="1073"/>
      <w:bookmarkEnd w:id="1074"/>
      <w:bookmarkEnd w:id="1075"/>
      <w:bookmarkEnd w:id="1076"/>
      <w:bookmarkEnd w:id="1077"/>
      <w:bookmarkEnd w:id="1078"/>
      <w:bookmarkEnd w:id="1079"/>
    </w:p>
    <w:p w14:paraId="2B4B0EE5">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暂估价专业分包工程、服务、材料和工程设备的明细由合同当事人在专用合同条款中约定。</w:t>
      </w:r>
    </w:p>
    <w:p w14:paraId="3BDF040B">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sz w:val="32"/>
          <w:szCs w:val="32"/>
          <w:highlight w:val="none"/>
        </w:rPr>
        <w:t>10.7.1</w:t>
      </w:r>
      <w:r>
        <w:rPr>
          <w:rFonts w:hint="eastAsia" w:ascii="仿宋_GB2312" w:hAnsi="仿宋_GB2312" w:eastAsia="仿宋_GB2312" w:cs="仿宋_GB2312"/>
          <w:color w:val="auto"/>
          <w:kern w:val="0"/>
          <w:sz w:val="32"/>
          <w:szCs w:val="32"/>
          <w:highlight w:val="none"/>
        </w:rPr>
        <w:t xml:space="preserve"> 依法必须招标的暂估价项目</w:t>
      </w:r>
    </w:p>
    <w:p w14:paraId="09A855AD">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对于依法必须招标的暂估价项目，采取以下第1种方式确定。合同当事人也可以在专用合同条款中选择其他招标方式。</w:t>
      </w:r>
    </w:p>
    <w:p w14:paraId="64EF1FF9">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第1种方式：对于依法必须招标的暂估价项目，由承包人招标，对该暂估价项目的确认和批准按照以下约定执行：</w:t>
      </w:r>
    </w:p>
    <w:p w14:paraId="50DCA268">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承包人应当根据施工进度计划，在招标工作启动前14天将招标方案通过监理人报送发包人审查，发包人应当在收到承包人报送的招标方案后7天内批准或提出修改意见。承包人应当按照经过发包人批准的招标方案开展招标工作；</w:t>
      </w:r>
    </w:p>
    <w:p w14:paraId="071CD3E3">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2）承包人应当根据施工进度计划，提前14天将招标文件通过监理人报送发包人审批，发包人应当在收到承包人报送的相关文件后7天内完成审批或提出修改意见；发包人有权确定招标控制价并按照法律规定参加评标；</w:t>
      </w:r>
    </w:p>
    <w:p w14:paraId="0639A77A">
      <w:pPr>
        <w:snapToGrid/>
        <w:spacing w:line="576" w:lineRule="exact"/>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 xml:space="preserve">    （3）承包人与供应商、分包人在签订暂估价合同前，应当提前7天将确定的中标候选供应商或中标候选分包人的资料报送发包人，发包人应在收到资料后3天内与承包人共同确定中标人；承包人应当在签订合同后7天内，将暂估价合同副本报送发包人留存。</w:t>
      </w:r>
    </w:p>
    <w:p w14:paraId="75292C74">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第2种方式：对于依法必须招标的暂估价项目，由发包人和承包人共同招标确定暂估价供应商或分包人的，承包人应按照施工进度计划，在招标工作启动前14天通知发包人，并提交暂估价招标方案和工作分工。发包人应在收到后7天内确认。确定中标人后，由发包人、承包人与中标人共同签订暂估价合同。</w:t>
      </w:r>
    </w:p>
    <w:p w14:paraId="2B59C50A">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sz w:val="32"/>
          <w:szCs w:val="32"/>
          <w:highlight w:val="none"/>
        </w:rPr>
        <w:t>10.7.2</w:t>
      </w:r>
      <w:r>
        <w:rPr>
          <w:rFonts w:hint="eastAsia" w:ascii="仿宋_GB2312" w:hAnsi="仿宋_GB2312" w:eastAsia="仿宋_GB2312" w:cs="仿宋_GB2312"/>
          <w:color w:val="auto"/>
          <w:kern w:val="0"/>
          <w:sz w:val="32"/>
          <w:szCs w:val="32"/>
          <w:highlight w:val="none"/>
        </w:rPr>
        <w:t>不属于依法必须招标的暂估价项目</w:t>
      </w:r>
    </w:p>
    <w:p w14:paraId="44665BBB">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除专用合同条款另有约定外，对于不属于依法必须招标的暂估价项目，采取以下第1种方式确定：</w:t>
      </w:r>
    </w:p>
    <w:p w14:paraId="26916D0B">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第1种方式：对于不属于依法必须招标的暂估价项目，按本项约定确认和批准：</w:t>
      </w:r>
    </w:p>
    <w:p w14:paraId="69B65953">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承包人应根据施工进度计划，在签订暂估价项目的采购合同、分包合同前28天向监理人提出书面申请。监理人应当在收到申请后3天内报送发包人，发包人应当在收到申请后14天内给予批准或提出修改意见，发包人逾期未予批准或提出修改意见的，视为该书面申请已获得同意；</w:t>
      </w:r>
    </w:p>
    <w:p w14:paraId="5F672A6F">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（2）发包人认为承包人确定的供应商、分包人无法满足工程质量或合同要求的，发包人可以要求承包人重新确定暂估价项目的供应商、分包人</w:t>
      </w:r>
      <w:r>
        <w:rPr>
          <w:rFonts w:hint="eastAsia" w:ascii="仿宋_GB2312" w:hAnsi="仿宋_GB2312" w:eastAsia="仿宋_GB2312" w:cs="仿宋_GB2312"/>
          <w:color w:val="auto"/>
          <w:kern w:val="0"/>
          <w:sz w:val="32"/>
          <w:szCs w:val="32"/>
          <w:highlight w:val="none"/>
          <w:lang w:eastAsia="zh-CN"/>
        </w:rPr>
        <w:t>；</w:t>
      </w:r>
    </w:p>
    <w:p w14:paraId="4E476C6A">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（3）承包人应当在签订暂估价合同后7天内，将暂估价合同副本报送发包人留存。</w:t>
      </w:r>
    </w:p>
    <w:p w14:paraId="35F0F47D">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第2种方式：承包人按照第10.7.1项〔依法必须招标的暂估价项目〕约定的第1种方式确定暂估价项目。</w:t>
      </w:r>
    </w:p>
    <w:p w14:paraId="192A14FB">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sz w:val="32"/>
          <w:szCs w:val="32"/>
          <w:highlight w:val="none"/>
        </w:rPr>
        <w:t>第3种方式：</w:t>
      </w:r>
      <w:r>
        <w:rPr>
          <w:rFonts w:hint="eastAsia" w:ascii="仿宋_GB2312" w:hAnsi="仿宋_GB2312" w:eastAsia="仿宋_GB2312" w:cs="仿宋_GB2312"/>
          <w:color w:val="auto"/>
          <w:kern w:val="0"/>
          <w:sz w:val="32"/>
          <w:szCs w:val="32"/>
          <w:highlight w:val="none"/>
        </w:rPr>
        <w:t>承包人直接实施的暂估价项目</w:t>
      </w:r>
    </w:p>
    <w:p w14:paraId="68CA342D">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承包人具备实施暂估价项目的资格和条件的，经发包人和承包人协商一致后，可由承包人自行实施暂估价项目，合同当事人可以在专用合同条款约定具体事项。</w:t>
      </w:r>
    </w:p>
    <w:p w14:paraId="7FBD54A5">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10.7.3 因发包人原因导致暂估价合同订立和履行迟延的，由此增加的费用和（或）延误的工期由发包人承担，并支付承包人合理的利润。因承包人原因导致暂估价合同订立和履行迟延的，由此增加的费用和（或）延误的工期由承包人承担。</w:t>
      </w:r>
      <w:bookmarkStart w:id="1080" w:name="_Toc351203575"/>
    </w:p>
    <w:p w14:paraId="79060630">
      <w:pPr>
        <w:spacing w:line="576" w:lineRule="exact"/>
        <w:ind w:firstLine="640" w:firstLineChars="200"/>
        <w:jc w:val="both"/>
        <w:outlineLvl w:val="2"/>
        <w:rPr>
          <w:rFonts w:hint="eastAsia" w:ascii="仿宋_GB2312" w:hAnsi="仿宋_GB2312" w:eastAsia="仿宋_GB2312" w:cs="仿宋_GB2312"/>
          <w:color w:val="auto"/>
          <w:sz w:val="32"/>
          <w:szCs w:val="32"/>
          <w:highlight w:val="none"/>
        </w:rPr>
      </w:pPr>
      <w:bookmarkStart w:id="1081" w:name="_Toc337558794"/>
      <w:bookmarkStart w:id="1082" w:name="_Toc15584"/>
      <w:bookmarkStart w:id="1083" w:name="_Toc17795"/>
      <w:bookmarkStart w:id="1084" w:name="_Toc3806"/>
      <w:bookmarkStart w:id="1085" w:name="_Toc18466"/>
      <w:bookmarkStart w:id="1086" w:name="_Toc27065"/>
      <w:bookmarkStart w:id="1087" w:name="_Toc657"/>
      <w:bookmarkStart w:id="1088" w:name="_Toc20760"/>
      <w:bookmarkStart w:id="1089" w:name="_Toc433"/>
      <w:bookmarkStart w:id="1090" w:name="_Toc296346591"/>
      <w:bookmarkStart w:id="1091" w:name="_Toc322522561"/>
      <w:bookmarkStart w:id="1092" w:name="_Toc296503090"/>
      <w:r>
        <w:rPr>
          <w:rFonts w:hint="eastAsia" w:ascii="仿宋_GB2312" w:hAnsi="仿宋_GB2312" w:eastAsia="仿宋_GB2312" w:cs="仿宋_GB2312"/>
          <w:color w:val="auto"/>
          <w:sz w:val="32"/>
          <w:szCs w:val="32"/>
          <w:highlight w:val="none"/>
        </w:rPr>
        <w:t>10.8暂列金</w:t>
      </w:r>
      <w:bookmarkEnd w:id="1080"/>
      <w:r>
        <w:rPr>
          <w:rFonts w:hint="eastAsia" w:ascii="仿宋_GB2312" w:hAnsi="仿宋_GB2312" w:eastAsia="仿宋_GB2312" w:cs="仿宋_GB2312"/>
          <w:color w:val="auto"/>
          <w:sz w:val="32"/>
          <w:szCs w:val="32"/>
          <w:highlight w:val="none"/>
        </w:rPr>
        <w:t>额</w:t>
      </w:r>
      <w:bookmarkEnd w:id="1081"/>
      <w:bookmarkEnd w:id="1082"/>
      <w:bookmarkEnd w:id="1083"/>
      <w:bookmarkEnd w:id="1084"/>
      <w:bookmarkEnd w:id="1085"/>
      <w:bookmarkEnd w:id="1086"/>
      <w:bookmarkEnd w:id="1087"/>
      <w:bookmarkEnd w:id="1088"/>
      <w:bookmarkEnd w:id="1089"/>
    </w:p>
    <w:p w14:paraId="589E211B">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暂列金额应按照发包人的要求使用，发包人的要求应通过监理人发出。合同当事人可以在专用合同条款中协商确定有关事项。</w:t>
      </w:r>
      <w:bookmarkEnd w:id="1090"/>
      <w:bookmarkEnd w:id="1091"/>
      <w:bookmarkEnd w:id="1092"/>
      <w:bookmarkStart w:id="1093" w:name="_Toc351203576"/>
    </w:p>
    <w:p w14:paraId="0B4C1A0E">
      <w:pPr>
        <w:spacing w:line="576" w:lineRule="exact"/>
        <w:ind w:firstLine="640" w:firstLineChars="200"/>
        <w:jc w:val="both"/>
        <w:outlineLvl w:val="2"/>
        <w:rPr>
          <w:rFonts w:hint="eastAsia" w:ascii="仿宋_GB2312" w:hAnsi="仿宋_GB2312" w:eastAsia="仿宋_GB2312" w:cs="仿宋_GB2312"/>
          <w:color w:val="auto"/>
          <w:sz w:val="32"/>
          <w:szCs w:val="32"/>
          <w:highlight w:val="none"/>
        </w:rPr>
      </w:pPr>
      <w:bookmarkStart w:id="1094" w:name="_Toc296346592"/>
      <w:bookmarkStart w:id="1095" w:name="_Toc337558796"/>
      <w:bookmarkStart w:id="1096" w:name="_Toc296503091"/>
      <w:bookmarkStart w:id="1097" w:name="_Toc30472"/>
      <w:bookmarkStart w:id="1098" w:name="_Toc11918"/>
      <w:bookmarkStart w:id="1099" w:name="_Toc31929"/>
      <w:bookmarkStart w:id="1100" w:name="_Toc21992"/>
      <w:bookmarkStart w:id="1101" w:name="_Toc18407"/>
      <w:bookmarkStart w:id="1102" w:name="_Toc7592"/>
      <w:bookmarkStart w:id="1103" w:name="_Toc28368"/>
      <w:bookmarkStart w:id="1104" w:name="_Toc31857"/>
      <w:r>
        <w:rPr>
          <w:rFonts w:hint="eastAsia" w:ascii="仿宋_GB2312" w:hAnsi="仿宋_GB2312" w:eastAsia="仿宋_GB2312" w:cs="仿宋_GB2312"/>
          <w:color w:val="auto"/>
          <w:sz w:val="32"/>
          <w:szCs w:val="32"/>
          <w:highlight w:val="none"/>
        </w:rPr>
        <w:t>10.9计日</w:t>
      </w:r>
      <w:bookmarkEnd w:id="1093"/>
      <w:bookmarkEnd w:id="1094"/>
      <w:bookmarkEnd w:id="1095"/>
      <w:bookmarkEnd w:id="1096"/>
      <w:r>
        <w:rPr>
          <w:rFonts w:hint="eastAsia" w:ascii="仿宋_GB2312" w:hAnsi="仿宋_GB2312" w:eastAsia="仿宋_GB2312" w:cs="仿宋_GB2312"/>
          <w:color w:val="auto"/>
          <w:sz w:val="32"/>
          <w:szCs w:val="32"/>
          <w:highlight w:val="none"/>
        </w:rPr>
        <w:t>工</w:t>
      </w:r>
      <w:bookmarkEnd w:id="1097"/>
      <w:bookmarkEnd w:id="1098"/>
      <w:bookmarkEnd w:id="1099"/>
      <w:bookmarkEnd w:id="1100"/>
      <w:bookmarkEnd w:id="1101"/>
      <w:bookmarkEnd w:id="1102"/>
      <w:bookmarkEnd w:id="1103"/>
      <w:bookmarkEnd w:id="1104"/>
    </w:p>
    <w:p w14:paraId="384B0940">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需要采用计日工方式的，经发包人同意后，由监理人通知承包人以计日工计价方式实施相应的工作，其价款按列入已标价工程量清单或预算书中的计日工计价项目及其单价进行计算；已标价工程量清单或预算书中无相应的计日工单价的，按照合理的成本与利润构成的原则，由合同当事人按照第4.4款〔商定或确定〕确定计日工的单价。</w:t>
      </w:r>
    </w:p>
    <w:p w14:paraId="0E2FE30E">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采用计日工计价的任何一项工作，承包人应在该项工作实施过程中，每天提交以下报表和有关凭证报送监理人审查：</w:t>
      </w:r>
    </w:p>
    <w:p w14:paraId="264E9E9B">
      <w:pPr>
        <w:snapToGrid/>
        <w:spacing w:line="576" w:lineRule="exact"/>
        <w:ind w:firstLine="480" w:firstLineChars="15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（1）工作名称、内容和数量；</w:t>
      </w:r>
    </w:p>
    <w:p w14:paraId="7864D77D">
      <w:pPr>
        <w:snapToGrid/>
        <w:spacing w:line="576" w:lineRule="exact"/>
        <w:ind w:firstLine="480" w:firstLineChars="15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（2）投入该工作的所有人员的姓名、专业、工种、级别和耗用工时；</w:t>
      </w:r>
    </w:p>
    <w:p w14:paraId="6A547763">
      <w:pPr>
        <w:snapToGrid/>
        <w:spacing w:line="576" w:lineRule="exact"/>
        <w:ind w:firstLine="480" w:firstLineChars="15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（3）投入该工作的材料类别和数量；</w:t>
      </w:r>
    </w:p>
    <w:p w14:paraId="76CE8B6B">
      <w:pPr>
        <w:snapToGrid/>
        <w:spacing w:line="576" w:lineRule="exact"/>
        <w:ind w:firstLine="480" w:firstLineChars="15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（4）投入该工作的施工设备型号、台数和耗用台时；</w:t>
      </w:r>
    </w:p>
    <w:p w14:paraId="0C478FD2">
      <w:pPr>
        <w:snapToGrid/>
        <w:spacing w:line="576" w:lineRule="exact"/>
        <w:ind w:firstLine="480" w:firstLineChars="15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（5）其他有关资料和凭证。</w:t>
      </w:r>
    </w:p>
    <w:p w14:paraId="0C3F532D">
      <w:pPr>
        <w:snapToGrid/>
        <w:spacing w:line="576" w:lineRule="exact"/>
        <w:ind w:firstLine="480" w:firstLineChars="15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 xml:space="preserve"> 计日工由承包人汇总后，列入最近一期进度付款申请单，由监理人审查并经发包人批准后列入进度付款。</w:t>
      </w:r>
      <w:bookmarkStart w:id="1105" w:name="_Toc351203577"/>
    </w:p>
    <w:p w14:paraId="40850C86">
      <w:pPr>
        <w:spacing w:line="576" w:lineRule="exact"/>
        <w:jc w:val="both"/>
        <w:outlineLvl w:val="1"/>
        <w:rPr>
          <w:rFonts w:hint="eastAsia" w:ascii="仿宋_GB2312" w:hAnsi="仿宋_GB2312" w:eastAsia="仿宋_GB2312" w:cs="仿宋_GB2312"/>
          <w:color w:val="auto"/>
          <w:sz w:val="32"/>
          <w:szCs w:val="32"/>
          <w:highlight w:val="none"/>
        </w:rPr>
      </w:pPr>
      <w:bookmarkStart w:id="1106" w:name="_Toc7936"/>
      <w:bookmarkStart w:id="1107" w:name="_Toc9312"/>
      <w:bookmarkStart w:id="1108" w:name="_Toc28671"/>
      <w:bookmarkStart w:id="1109" w:name="_Toc11778"/>
      <w:bookmarkStart w:id="1110" w:name="_Toc21152"/>
      <w:bookmarkStart w:id="1111" w:name="_Toc4166"/>
      <w:bookmarkStart w:id="1112" w:name="_Toc237"/>
      <w:bookmarkStart w:id="1113" w:name="_Toc8189"/>
      <w:bookmarkStart w:id="1114" w:name="_Toc13306"/>
      <w:bookmarkStart w:id="1115" w:name="_Toc16052"/>
      <w:r>
        <w:rPr>
          <w:rFonts w:hint="eastAsia" w:ascii="仿宋_GB2312" w:hAnsi="仿宋_GB2312" w:eastAsia="仿宋_GB2312" w:cs="仿宋_GB2312"/>
          <w:color w:val="auto"/>
          <w:sz w:val="32"/>
          <w:szCs w:val="32"/>
          <w:highlight w:val="none"/>
        </w:rPr>
        <w:t>11. 价格调</w:t>
      </w:r>
      <w:bookmarkEnd w:id="1105"/>
      <w:r>
        <w:rPr>
          <w:rFonts w:hint="eastAsia" w:ascii="仿宋_GB2312" w:hAnsi="仿宋_GB2312" w:eastAsia="仿宋_GB2312" w:cs="仿宋_GB2312"/>
          <w:color w:val="auto"/>
          <w:sz w:val="32"/>
          <w:szCs w:val="32"/>
          <w:highlight w:val="none"/>
        </w:rPr>
        <w:t>整</w:t>
      </w:r>
      <w:bookmarkEnd w:id="1106"/>
      <w:bookmarkEnd w:id="1107"/>
      <w:bookmarkEnd w:id="1108"/>
      <w:bookmarkEnd w:id="1109"/>
      <w:bookmarkEnd w:id="1110"/>
      <w:bookmarkEnd w:id="1111"/>
      <w:bookmarkEnd w:id="1112"/>
      <w:bookmarkEnd w:id="1113"/>
      <w:bookmarkEnd w:id="1114"/>
      <w:bookmarkEnd w:id="1115"/>
      <w:bookmarkStart w:id="1116" w:name="_Toc351203578"/>
      <w:bookmarkStart w:id="1117" w:name="_Toc296346593"/>
      <w:bookmarkStart w:id="1118" w:name="_Toc296503092"/>
      <w:bookmarkStart w:id="1119" w:name="_Toc337558797"/>
    </w:p>
    <w:p w14:paraId="7C120C08">
      <w:pPr>
        <w:spacing w:line="576" w:lineRule="exact"/>
        <w:ind w:firstLine="640" w:firstLineChars="200"/>
        <w:jc w:val="both"/>
        <w:outlineLvl w:val="2"/>
        <w:rPr>
          <w:rFonts w:hint="eastAsia" w:ascii="仿宋_GB2312" w:hAnsi="仿宋_GB2312" w:eastAsia="仿宋_GB2312" w:cs="仿宋_GB2312"/>
          <w:color w:val="auto"/>
          <w:sz w:val="32"/>
          <w:szCs w:val="32"/>
          <w:highlight w:val="none"/>
        </w:rPr>
      </w:pPr>
      <w:bookmarkStart w:id="1120" w:name="_Toc19157"/>
      <w:bookmarkStart w:id="1121" w:name="_Toc4986"/>
      <w:bookmarkStart w:id="1122" w:name="_Toc23933"/>
      <w:bookmarkStart w:id="1123" w:name="_Toc26009"/>
      <w:bookmarkStart w:id="1124" w:name="_Toc22110"/>
      <w:bookmarkStart w:id="1125" w:name="_Toc6746"/>
      <w:bookmarkStart w:id="1126" w:name="_Toc31207"/>
      <w:bookmarkStart w:id="1127" w:name="_Toc24346"/>
      <w:r>
        <w:rPr>
          <w:rFonts w:hint="eastAsia" w:ascii="仿宋_GB2312" w:hAnsi="仿宋_GB2312" w:eastAsia="仿宋_GB2312" w:cs="仿宋_GB2312"/>
          <w:color w:val="auto"/>
          <w:sz w:val="32"/>
          <w:szCs w:val="32"/>
          <w:highlight w:val="none"/>
        </w:rPr>
        <w:t>11.1市场价格波动引起的调</w:t>
      </w:r>
      <w:bookmarkEnd w:id="1116"/>
      <w:r>
        <w:rPr>
          <w:rFonts w:hint="eastAsia" w:ascii="仿宋_GB2312" w:hAnsi="仿宋_GB2312" w:eastAsia="仿宋_GB2312" w:cs="仿宋_GB2312"/>
          <w:color w:val="auto"/>
          <w:sz w:val="32"/>
          <w:szCs w:val="32"/>
          <w:highlight w:val="none"/>
        </w:rPr>
        <w:t>整</w:t>
      </w:r>
      <w:bookmarkEnd w:id="1117"/>
      <w:bookmarkEnd w:id="1118"/>
      <w:bookmarkEnd w:id="1119"/>
      <w:bookmarkEnd w:id="1120"/>
      <w:bookmarkEnd w:id="1121"/>
      <w:bookmarkEnd w:id="1122"/>
      <w:bookmarkEnd w:id="1123"/>
      <w:bookmarkEnd w:id="1124"/>
      <w:bookmarkEnd w:id="1125"/>
      <w:bookmarkEnd w:id="1126"/>
      <w:bookmarkEnd w:id="1127"/>
    </w:p>
    <w:p w14:paraId="160C55E8">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除专用合同条款另有约定外，市场价格波动超过合同当事人约定的范围，合同价格应当调整。合同当事人可以在专用合同条款中约定选择以下一种方式对合同价格进行调整：</w:t>
      </w:r>
    </w:p>
    <w:p w14:paraId="5B7B9DF6">
      <w:pPr>
        <w:snapToGrid/>
        <w:spacing w:line="576"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第1种方式：采用价格指数进行价格调整。</w:t>
      </w:r>
    </w:p>
    <w:p w14:paraId="0AA4D63B">
      <w:pPr>
        <w:tabs>
          <w:tab w:val="left" w:pos="0"/>
          <w:tab w:val="left" w:pos="360"/>
          <w:tab w:val="left" w:pos="540"/>
        </w:tabs>
        <w:snapToGrid/>
        <w:spacing w:line="576"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（1）价格调整公式</w:t>
      </w:r>
    </w:p>
    <w:p w14:paraId="2A925530">
      <w:pPr>
        <w:tabs>
          <w:tab w:val="left" w:pos="0"/>
          <w:tab w:val="left" w:pos="360"/>
          <w:tab w:val="left" w:pos="540"/>
        </w:tabs>
        <w:snapToGrid/>
        <w:spacing w:line="576"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因人工、材料和设备等价格波动影响合同价格时，根据专用合同条款中约定的数据，按以下公式计算差额并调整合同价格：</w:t>
      </w:r>
    </w:p>
    <w:p w14:paraId="02FBA0B8">
      <w:pPr>
        <w:tabs>
          <w:tab w:val="left" w:pos="0"/>
          <w:tab w:val="left" w:pos="360"/>
          <w:tab w:val="left" w:pos="540"/>
        </w:tabs>
        <w:snapToGrid/>
        <w:spacing w:line="576"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position w:val="-30"/>
          <w:sz w:val="32"/>
          <w:szCs w:val="32"/>
          <w:highlight w:val="none"/>
        </w:rPr>
        <w:object>
          <v:shape id="_x0000_i1025" o:spt="75" type="#_x0000_t75" style="height:43.2pt;width:360pt;" o:ole="t" filled="f" o:preferrelative="t" stroked="f" coordsize="21600,21600">
            <v:path/>
            <v:fill on="f" focussize="0,0"/>
            <v:stroke on="f" joinstyle="miter"/>
            <v:imagedata r:id="rId24" o:title=""/>
            <o:lock v:ext="edit" aspectratio="t"/>
            <w10:wrap type="none"/>
            <w10:anchorlock/>
          </v:shape>
          <o:OLEObject Type="Embed" ProgID="Equation.3" ShapeID="_x0000_i1025" DrawAspect="Content" ObjectID="_1468075725" r:id="rId23">
            <o:LockedField>false</o:LockedField>
          </o:OLEObject>
        </w:object>
      </w:r>
    </w:p>
    <w:p w14:paraId="1DC40695">
      <w:pPr>
        <w:tabs>
          <w:tab w:val="left" w:pos="0"/>
          <w:tab w:val="left" w:pos="360"/>
          <w:tab w:val="left" w:pos="540"/>
        </w:tabs>
        <w:snapToGrid/>
        <w:spacing w:line="576" w:lineRule="exact"/>
        <w:ind w:firstLine="64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公式中：ΔP——需调整的价格差额；</w:t>
      </w:r>
    </w:p>
    <w:p w14:paraId="03036330">
      <w:pPr>
        <w:tabs>
          <w:tab w:val="left" w:pos="0"/>
          <w:tab w:val="left" w:pos="360"/>
          <w:tab w:val="left" w:pos="540"/>
        </w:tabs>
        <w:snapToGrid/>
        <w:spacing w:line="576" w:lineRule="exact"/>
        <w:ind w:firstLine="1920" w:firstLineChars="6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position w:val="-6"/>
          <w:sz w:val="32"/>
          <w:szCs w:val="32"/>
          <w:highlight w:val="none"/>
        </w:rPr>
        <w:object>
          <v:shape id="_x0000_i1026" o:spt="75" type="#_x0000_t75" style="height:17.5pt;width:17.5pt;" o:ole="t" filled="f" o:preferrelative="t" stroked="f" coordsize="21600,21600">
            <v:path/>
            <v:fill on="f" focussize="0,0"/>
            <v:stroke on="f" joinstyle="miter"/>
            <v:imagedata r:id="rId26" o:title=""/>
            <o:lock v:ext="edit" aspectratio="t"/>
            <w10:wrap type="none"/>
            <w10:anchorlock/>
          </v:shape>
          <o:OLEObject Type="Embed" ProgID="Equation.3" ShapeID="_x0000_i1026" DrawAspect="Content" ObjectID="_1468075726" r:id="rId25">
            <o:LockedField>false</o:LockedField>
          </o:OLEObject>
        </w:object>
      </w:r>
      <w:r>
        <w:rPr>
          <w:rFonts w:hint="eastAsia" w:ascii="仿宋_GB2312" w:hAnsi="仿宋_GB2312" w:eastAsia="仿宋_GB2312" w:cs="仿宋_GB2312"/>
          <w:color w:val="auto"/>
          <w:sz w:val="32"/>
          <w:szCs w:val="32"/>
          <w:highlight w:val="none"/>
        </w:rPr>
        <w:t>——约定的付款证书中承包人应得到的已完成工程量的金额。此项金额应不包括价格调整、不计质量保证金的扣留和支付、预付款的支付和扣回。约定的变更及其他金额已按现行价格计价的，也不计在内；</w:t>
      </w:r>
    </w:p>
    <w:p w14:paraId="01BC60FC">
      <w:pPr>
        <w:tabs>
          <w:tab w:val="left" w:pos="0"/>
          <w:tab w:val="left" w:pos="360"/>
          <w:tab w:val="left" w:pos="540"/>
        </w:tabs>
        <w:snapToGrid/>
        <w:spacing w:line="576"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A——定值权重（即不调部分的权重）；</w:t>
      </w:r>
    </w:p>
    <w:p w14:paraId="6BB702AE">
      <w:pPr>
        <w:tabs>
          <w:tab w:val="left" w:pos="0"/>
          <w:tab w:val="left" w:pos="360"/>
          <w:tab w:val="left" w:pos="540"/>
        </w:tabs>
        <w:snapToGrid/>
        <w:spacing w:line="576"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position w:val="-10"/>
          <w:sz w:val="32"/>
          <w:szCs w:val="32"/>
          <w:highlight w:val="none"/>
        </w:rPr>
        <w:object>
          <v:shape id="_x0000_i1027" o:spt="75" type="#_x0000_t75" style="height:20.55pt;width:100.75pt;" o:ole="t" filled="f" o:preferrelative="t" stroked="f" coordsize="21600,21600">
            <v:path/>
            <v:fill on="f" focussize="0,0"/>
            <v:stroke on="f" joinstyle="miter"/>
            <v:imagedata r:id="rId28" o:title=""/>
            <o:lock v:ext="edit" aspectratio="t"/>
            <w10:wrap type="none"/>
            <w10:anchorlock/>
          </v:shape>
          <o:OLEObject Type="Embed" ProgID="Equation.3" ShapeID="_x0000_i1027" DrawAspect="Content" ObjectID="_1468075727" r:id="rId27">
            <o:LockedField>false</o:LockedField>
          </o:OLEObject>
        </w:object>
      </w:r>
      <w:r>
        <w:rPr>
          <w:rFonts w:hint="eastAsia" w:ascii="仿宋_GB2312" w:hAnsi="仿宋_GB2312" w:eastAsia="仿宋_GB2312" w:cs="仿宋_GB2312"/>
          <w:color w:val="auto"/>
          <w:sz w:val="32"/>
          <w:szCs w:val="32"/>
          <w:highlight w:val="none"/>
        </w:rPr>
        <w:t>——各可调因子的变值权重（即可调部分的权重），为各可调因子在签约合同价中所占的比例；</w:t>
      </w:r>
    </w:p>
    <w:p w14:paraId="44695E9E">
      <w:pPr>
        <w:tabs>
          <w:tab w:val="left" w:pos="0"/>
          <w:tab w:val="left" w:pos="360"/>
          <w:tab w:val="left" w:pos="540"/>
        </w:tabs>
        <w:snapToGrid/>
        <w:spacing w:line="576"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position w:val="-10"/>
          <w:sz w:val="32"/>
          <w:szCs w:val="32"/>
          <w:highlight w:val="none"/>
        </w:rPr>
        <w:object>
          <v:shape id="_x0000_i1028" o:spt="75" type="#_x0000_t75" style="height:20.55pt;width:101.85pt;" o:ole="t" filled="f" o:preferrelative="t" stroked="f" coordsize="21600,21600">
            <v:path/>
            <v:fill on="f" focussize="0,0"/>
            <v:stroke on="f" joinstyle="miter"/>
            <v:imagedata r:id="rId30" o:title=""/>
            <o:lock v:ext="edit" aspectratio="t"/>
            <w10:wrap type="none"/>
            <w10:anchorlock/>
          </v:shape>
          <o:OLEObject Type="Embed" ProgID="Equation.3" ShapeID="_x0000_i1028" DrawAspect="Content" ObjectID="_1468075728" r:id="rId29">
            <o:LockedField>false</o:LockedField>
          </o:OLEObject>
        </w:object>
      </w:r>
      <w:r>
        <w:rPr>
          <w:rFonts w:hint="eastAsia" w:ascii="仿宋_GB2312" w:hAnsi="仿宋_GB2312" w:eastAsia="仿宋_GB2312" w:cs="仿宋_GB2312"/>
          <w:color w:val="auto"/>
          <w:sz w:val="32"/>
          <w:szCs w:val="32"/>
          <w:highlight w:val="none"/>
        </w:rPr>
        <w:t>——各可调因子的现行价格指数，指约定的付款证书相关周期最后一天的前42天的各可调因子的价格指数；</w:t>
      </w:r>
    </w:p>
    <w:p w14:paraId="0EE39438">
      <w:pPr>
        <w:tabs>
          <w:tab w:val="left" w:pos="0"/>
          <w:tab w:val="left" w:pos="360"/>
          <w:tab w:val="left" w:pos="540"/>
        </w:tabs>
        <w:snapToGrid/>
        <w:spacing w:line="576"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position w:val="-10"/>
          <w:sz w:val="32"/>
          <w:szCs w:val="32"/>
          <w:highlight w:val="none"/>
        </w:rPr>
        <w:object>
          <v:shape id="_x0000_i1029" o:spt="75" type="#_x0000_t75" style="height:20.55pt;width:108pt;" o:ole="t" filled="f" o:preferrelative="t" stroked="f" coordsize="21600,21600">
            <v:path/>
            <v:fill on="f" focussize="0,0"/>
            <v:stroke on="f" joinstyle="miter"/>
            <v:imagedata r:id="rId32" o:title=""/>
            <o:lock v:ext="edit" aspectratio="t"/>
            <w10:wrap type="none"/>
            <w10:anchorlock/>
          </v:shape>
          <o:OLEObject Type="Embed" ProgID="Equation.3" ShapeID="_x0000_i1029" DrawAspect="Content" ObjectID="_1468075729" r:id="rId31">
            <o:LockedField>false</o:LockedField>
          </o:OLEObject>
        </w:object>
      </w:r>
      <w:r>
        <w:rPr>
          <w:rFonts w:hint="eastAsia" w:ascii="仿宋_GB2312" w:hAnsi="仿宋_GB2312" w:eastAsia="仿宋_GB2312" w:cs="仿宋_GB2312"/>
          <w:color w:val="auto"/>
          <w:sz w:val="32"/>
          <w:szCs w:val="32"/>
          <w:highlight w:val="none"/>
        </w:rPr>
        <w:t>——各可调因子的基本价格指数，指基准日期的各可调因子的价格指数。</w:t>
      </w:r>
    </w:p>
    <w:p w14:paraId="6C612007">
      <w:pPr>
        <w:tabs>
          <w:tab w:val="left" w:pos="0"/>
          <w:tab w:val="left" w:pos="360"/>
          <w:tab w:val="left" w:pos="540"/>
        </w:tabs>
        <w:snapToGrid/>
        <w:spacing w:line="576"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以上价格调整公式中的各可调因子、定值和变值权重，以及基本价格指数及其来源在投标函附录价格指数和权重表中约定，非招标订立的合同，由合同当事人在专用合同条款中约定。价格指数应首先采用工程造价管理机构发布的价格指数，无前述价格指数时，可采用工程造价管理机构发布的价格代替。</w:t>
      </w:r>
    </w:p>
    <w:p w14:paraId="6D008F7A">
      <w:pPr>
        <w:tabs>
          <w:tab w:val="left" w:pos="0"/>
          <w:tab w:val="left" w:pos="360"/>
          <w:tab w:val="left" w:pos="540"/>
        </w:tabs>
        <w:snapToGrid/>
        <w:spacing w:line="576"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（2）暂时确定调整差额</w:t>
      </w:r>
    </w:p>
    <w:p w14:paraId="63778905">
      <w:pPr>
        <w:tabs>
          <w:tab w:val="left" w:pos="0"/>
          <w:tab w:val="left" w:pos="360"/>
          <w:tab w:val="left" w:pos="540"/>
        </w:tabs>
        <w:snapToGrid/>
        <w:spacing w:line="576"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在计算调整差额时无现行价格指数的，合同当事人同意暂用前次价格指数计算。实际价格指数有调整的，合同当事人进行相应调整。</w:t>
      </w:r>
    </w:p>
    <w:p w14:paraId="2BD79572">
      <w:pPr>
        <w:tabs>
          <w:tab w:val="left" w:pos="0"/>
          <w:tab w:val="left" w:pos="360"/>
          <w:tab w:val="left" w:pos="540"/>
        </w:tabs>
        <w:snapToGrid/>
        <w:spacing w:line="576"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（3）权重的调整</w:t>
      </w:r>
    </w:p>
    <w:p w14:paraId="2492FCE5">
      <w:pPr>
        <w:tabs>
          <w:tab w:val="left" w:pos="0"/>
          <w:tab w:val="left" w:pos="360"/>
          <w:tab w:val="left" w:pos="540"/>
        </w:tabs>
        <w:snapToGrid/>
        <w:spacing w:line="576"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因变更导致合同约定的权重不合理时，按照第4.4款〔商定或确定〕执行。</w:t>
      </w:r>
    </w:p>
    <w:p w14:paraId="2D62377A">
      <w:pPr>
        <w:tabs>
          <w:tab w:val="left" w:pos="0"/>
          <w:tab w:val="left" w:pos="360"/>
          <w:tab w:val="left" w:pos="540"/>
        </w:tabs>
        <w:snapToGrid/>
        <w:spacing w:line="576"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（4）因承包人原因工期延误后的价格调整</w:t>
      </w:r>
    </w:p>
    <w:p w14:paraId="1BB26B0A">
      <w:pPr>
        <w:tabs>
          <w:tab w:val="left" w:pos="0"/>
          <w:tab w:val="left" w:pos="360"/>
          <w:tab w:val="left" w:pos="540"/>
        </w:tabs>
        <w:snapToGrid/>
        <w:spacing w:line="576"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因承包人原因未按期竣工的，对合同约定的竣工日期后继续施工的工程，在使用价格调整公式时，应采用计划竣工日期与实际竣工日期的两个价格指数中较低的一个作为现行价格指数。</w:t>
      </w:r>
    </w:p>
    <w:p w14:paraId="3AAD92BD">
      <w:pPr>
        <w:snapToGrid/>
        <w:spacing w:line="576"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第2种方式：采用造价信息进行价格调整。</w:t>
      </w:r>
    </w:p>
    <w:p w14:paraId="32857AA4">
      <w:pPr>
        <w:snapToGrid/>
        <w:spacing w:line="576"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合同履行期间，因人工、材料、工程设备和机械台班价格波动影响合同价格时，人工、机械使用费按照国家或省、自治区、直辖市建设行政管理部门、行业建设管理部门或其授权的工程造价管理机构发布的人工、机械使用费系数进行调整；需要进行价格调整的材料，其单价和采购数量应由发包人审批，发包人确认需调整的材料单价及数量，作为调整合同价格的依据。</w:t>
      </w:r>
    </w:p>
    <w:p w14:paraId="50125D4D">
      <w:pPr>
        <w:snapToGrid/>
        <w:spacing w:line="576"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人工单价发生变化且符合省级或行业建设主管部门发布的人工费调整规定，合同当事人应按省级或行业建设主管部门或其授权的工程造价管理机构发布的人工费等文件调整合同价格，但承包人对人工费或人工单价的报价高于发布价格的除外。</w:t>
      </w:r>
    </w:p>
    <w:p w14:paraId="4A81592A">
      <w:pPr>
        <w:snapToGrid/>
        <w:spacing w:line="576"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（2）材料、工程设备价格变化的价款调整按照发包人提供的基准价格，按以下风险范围规定执行</w:t>
      </w:r>
      <w:r>
        <w:rPr>
          <w:rFonts w:hint="eastAsia" w:ascii="仿宋_GB2312" w:hAnsi="仿宋_GB2312" w:eastAsia="仿宋_GB2312" w:cs="仿宋_GB2312"/>
          <w:color w:val="auto"/>
          <w:sz w:val="32"/>
          <w:szCs w:val="32"/>
          <w:highlight w:val="none"/>
          <w:lang w:eastAsia="zh-CN"/>
        </w:rPr>
        <w:t>：</w:t>
      </w:r>
    </w:p>
    <w:p w14:paraId="7B97F302">
      <w:pPr>
        <w:snapToGrid/>
        <w:spacing w:line="576"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①承包人在已标价工程量清单或预算书中载明材料单价低于基准价格的：除专用合同条款另有约定外，合同履行期间材料单价涨幅以基准价格为基础超过5%时，或材料单价跌幅以在已标价工程量清单或预算书中载明材料单价为基础超过5%时，其超过部分据实调整。</w:t>
      </w:r>
    </w:p>
    <w:p w14:paraId="2273B219">
      <w:pPr>
        <w:snapToGrid/>
        <w:spacing w:line="576"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②承包人在已标价工程量清单或预算书中载明材料单价高于基准价格的：除专用合同条款另有约定外，合同履行期间材料单价跌幅以基准价格为基础超过5%时，材料单价涨幅以在已标价工程量清单或预算书中载明材料单价为基础超过5%时，其超过部分据实调整。</w:t>
      </w:r>
    </w:p>
    <w:p w14:paraId="24885A02">
      <w:pPr>
        <w:snapToGrid/>
        <w:spacing w:line="576"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③承包人在已标价工程量清单或预算书中载明材料单价等于基准价格的：除专用合同条款另有约定外，合同履行期间材料单价涨跌幅以基准价格为基础超过±5%时，其超过部分据实调整。</w:t>
      </w:r>
    </w:p>
    <w:p w14:paraId="79437078">
      <w:pPr>
        <w:snapToGrid/>
        <w:spacing w:line="576"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④承包人应在采购材料前将采购数量和新的材料单价报发包人核对，发包人确认用于工程时，发包人应确认采购材料的数量和单价。发包人在收到承包人报送的确认资料后5天内不予答复的视为认可，作为调整合同价格的依据。未经发包人事先核对，承包人自行采购材料的，发包人有权不予调整合同价格。发包人同意的，可以调整合同价格。</w:t>
      </w:r>
      <w:bookmarkStart w:id="1128" w:name="OLE_LINK3"/>
    </w:p>
    <w:p w14:paraId="7C50D81F">
      <w:pPr>
        <w:snapToGrid/>
        <w:spacing w:line="576"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前述基准价格是指由发包人在招标文件或专用合同条款中给定的材料、工程设备的价格，该价格原则上应当按照省级或行业建设主管部门或其授权的工程造价管理机构发布的信息价编制。</w:t>
      </w:r>
    </w:p>
    <w:p w14:paraId="0C968ACF">
      <w:pPr>
        <w:snapToGrid/>
        <w:spacing w:line="576"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（3）施工机械台班单价或施工机械使用费发生变化超过省级或行业建设主管部门或其授权的工程造价管理机构规定的范围时，按规定调整合同价格。</w:t>
      </w:r>
    </w:p>
    <w:p w14:paraId="1759A4D4">
      <w:pPr>
        <w:snapToGrid/>
        <w:spacing w:line="576"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第3种方式：专用合同条款约定的其他方式。</w:t>
      </w:r>
      <w:bookmarkStart w:id="1129" w:name="_Toc351203579"/>
      <w:bookmarkStart w:id="1130" w:name="_Toc337558798"/>
      <w:bookmarkStart w:id="1131" w:name="_Toc296346594"/>
      <w:bookmarkStart w:id="1132" w:name="_Toc296503093"/>
    </w:p>
    <w:p w14:paraId="342E48BA">
      <w:pPr>
        <w:spacing w:line="576" w:lineRule="exact"/>
        <w:ind w:firstLine="640" w:firstLineChars="200"/>
        <w:jc w:val="both"/>
        <w:outlineLvl w:val="2"/>
        <w:rPr>
          <w:rFonts w:hint="eastAsia" w:ascii="仿宋_GB2312" w:hAnsi="仿宋_GB2312" w:eastAsia="仿宋_GB2312" w:cs="仿宋_GB2312"/>
          <w:color w:val="auto"/>
          <w:sz w:val="32"/>
          <w:szCs w:val="32"/>
          <w:highlight w:val="none"/>
        </w:rPr>
      </w:pPr>
      <w:bookmarkStart w:id="1133" w:name="_Toc7343"/>
      <w:bookmarkStart w:id="1134" w:name="_Toc7690"/>
      <w:bookmarkStart w:id="1135" w:name="_Toc31240"/>
      <w:bookmarkStart w:id="1136" w:name="_Toc14869"/>
      <w:bookmarkStart w:id="1137" w:name="_Toc25164"/>
      <w:bookmarkStart w:id="1138" w:name="_Toc4111"/>
      <w:bookmarkStart w:id="1139" w:name="_Toc25827"/>
      <w:bookmarkStart w:id="1140" w:name="_Toc30488"/>
      <w:r>
        <w:rPr>
          <w:rFonts w:hint="eastAsia" w:ascii="仿宋_GB2312" w:hAnsi="仿宋_GB2312" w:eastAsia="仿宋_GB2312" w:cs="仿宋_GB2312"/>
          <w:color w:val="auto"/>
          <w:sz w:val="32"/>
          <w:szCs w:val="32"/>
          <w:highlight w:val="none"/>
        </w:rPr>
        <w:t>11.2法律变化引起的调</w:t>
      </w:r>
      <w:bookmarkEnd w:id="1129"/>
      <w:r>
        <w:rPr>
          <w:rFonts w:hint="eastAsia" w:ascii="仿宋_GB2312" w:hAnsi="仿宋_GB2312" w:eastAsia="仿宋_GB2312" w:cs="仿宋_GB2312"/>
          <w:color w:val="auto"/>
          <w:sz w:val="32"/>
          <w:szCs w:val="32"/>
          <w:highlight w:val="none"/>
        </w:rPr>
        <w:t>整</w:t>
      </w:r>
      <w:bookmarkEnd w:id="1130"/>
      <w:bookmarkEnd w:id="1131"/>
      <w:bookmarkEnd w:id="1132"/>
      <w:bookmarkEnd w:id="1133"/>
      <w:bookmarkEnd w:id="1134"/>
      <w:bookmarkEnd w:id="1135"/>
      <w:bookmarkEnd w:id="1136"/>
      <w:bookmarkEnd w:id="1137"/>
      <w:bookmarkEnd w:id="1138"/>
      <w:bookmarkEnd w:id="1139"/>
      <w:bookmarkEnd w:id="1140"/>
    </w:p>
    <w:p w14:paraId="1904E855">
      <w:pPr>
        <w:snapToGrid/>
        <w:spacing w:line="576"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基准日期后，法律变化导致承包人在合同履行过程中所需要的费用发生除第11.1款〔市场价格波动引起的调整〕约定以外的增加时，由发包人承担由此增加的费用；减少时，应从合同价格中予以扣减。基准日期后，因法律变化造成工期延误时，工期应予以顺延。</w:t>
      </w:r>
    </w:p>
    <w:p w14:paraId="3FD70694">
      <w:pPr>
        <w:snapToGrid/>
        <w:spacing w:line="576"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因法律变化引起的合同价格和工期调整，合同当事人无法达成一致的，由总监理工程师按第4.4款〔商定或确定〕的约定处理。</w:t>
      </w:r>
    </w:p>
    <w:p w14:paraId="63FBE481">
      <w:pPr>
        <w:snapToGrid/>
        <w:spacing w:line="576"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kern w:val="0"/>
          <w:sz w:val="32"/>
          <w:szCs w:val="32"/>
          <w:highlight w:val="none"/>
        </w:rPr>
        <w:t>因承包人原因造成工期延误，在工期延误期间出现法律变化的，由此增加的费用和（或）延误的工期由承包人承担。</w:t>
      </w:r>
      <w:bookmarkStart w:id="1141" w:name="_Toc351203580"/>
      <w:bookmarkStart w:id="1142" w:name="_Toc337558799"/>
      <w:bookmarkStart w:id="1143" w:name="_Toc296346597"/>
      <w:bookmarkStart w:id="1144" w:name="_Toc296503096"/>
    </w:p>
    <w:p w14:paraId="068EC9F1">
      <w:pPr>
        <w:spacing w:line="576" w:lineRule="exact"/>
        <w:jc w:val="both"/>
        <w:outlineLvl w:val="1"/>
        <w:rPr>
          <w:rFonts w:hint="eastAsia" w:ascii="仿宋_GB2312" w:hAnsi="仿宋_GB2312" w:eastAsia="仿宋_GB2312" w:cs="仿宋_GB2312"/>
          <w:color w:val="auto"/>
          <w:sz w:val="32"/>
          <w:szCs w:val="32"/>
          <w:highlight w:val="none"/>
        </w:rPr>
      </w:pPr>
      <w:bookmarkStart w:id="1145" w:name="_Toc4436"/>
      <w:bookmarkStart w:id="1146" w:name="_Toc23775"/>
      <w:bookmarkStart w:id="1147" w:name="_Toc23731"/>
      <w:bookmarkStart w:id="1148" w:name="_Toc15377"/>
      <w:bookmarkStart w:id="1149" w:name="_Toc3858"/>
      <w:bookmarkStart w:id="1150" w:name="_Toc921"/>
      <w:bookmarkStart w:id="1151" w:name="_Toc6801"/>
      <w:bookmarkStart w:id="1152" w:name="_Toc1048"/>
      <w:bookmarkStart w:id="1153" w:name="_Toc794"/>
      <w:bookmarkStart w:id="1154" w:name="_Toc32346"/>
      <w:r>
        <w:rPr>
          <w:rFonts w:hint="eastAsia" w:ascii="仿宋_GB2312" w:hAnsi="仿宋_GB2312" w:eastAsia="仿宋_GB2312" w:cs="仿宋_GB2312"/>
          <w:color w:val="auto"/>
          <w:sz w:val="32"/>
          <w:szCs w:val="32"/>
          <w:highlight w:val="none"/>
        </w:rPr>
        <w:t>12. 合同价格、计量与支</w:t>
      </w:r>
      <w:bookmarkEnd w:id="1141"/>
      <w:r>
        <w:rPr>
          <w:rFonts w:hint="eastAsia" w:ascii="仿宋_GB2312" w:hAnsi="仿宋_GB2312" w:eastAsia="仿宋_GB2312" w:cs="仿宋_GB2312"/>
          <w:color w:val="auto"/>
          <w:sz w:val="32"/>
          <w:szCs w:val="32"/>
          <w:highlight w:val="none"/>
        </w:rPr>
        <w:t>付</w:t>
      </w:r>
      <w:bookmarkEnd w:id="1142"/>
      <w:bookmarkEnd w:id="1145"/>
      <w:bookmarkEnd w:id="1146"/>
      <w:bookmarkEnd w:id="1147"/>
      <w:bookmarkEnd w:id="1148"/>
      <w:bookmarkEnd w:id="1149"/>
      <w:bookmarkEnd w:id="1150"/>
      <w:bookmarkEnd w:id="1151"/>
      <w:bookmarkEnd w:id="1152"/>
      <w:bookmarkEnd w:id="1153"/>
      <w:bookmarkEnd w:id="1154"/>
      <w:bookmarkStart w:id="1155" w:name="_Toc351203581"/>
      <w:bookmarkStart w:id="1156" w:name="_Toc337558800"/>
    </w:p>
    <w:p w14:paraId="66D9BFEA">
      <w:pPr>
        <w:spacing w:line="576" w:lineRule="exact"/>
        <w:ind w:firstLine="640" w:firstLineChars="200"/>
        <w:jc w:val="both"/>
        <w:outlineLvl w:val="2"/>
        <w:rPr>
          <w:rFonts w:hint="eastAsia" w:ascii="仿宋_GB2312" w:hAnsi="仿宋_GB2312" w:eastAsia="仿宋_GB2312" w:cs="仿宋_GB2312"/>
          <w:color w:val="auto"/>
          <w:sz w:val="32"/>
          <w:szCs w:val="32"/>
          <w:highlight w:val="none"/>
        </w:rPr>
      </w:pPr>
      <w:bookmarkStart w:id="1157" w:name="_Toc1303"/>
      <w:bookmarkStart w:id="1158" w:name="_Toc20567"/>
      <w:bookmarkStart w:id="1159" w:name="_Toc32114"/>
      <w:bookmarkStart w:id="1160" w:name="_Toc3777"/>
      <w:bookmarkStart w:id="1161" w:name="_Toc26549"/>
      <w:bookmarkStart w:id="1162" w:name="_Toc27369"/>
      <w:bookmarkStart w:id="1163" w:name="_Toc30211"/>
      <w:bookmarkStart w:id="1164" w:name="_Toc21743"/>
      <w:r>
        <w:rPr>
          <w:rFonts w:hint="eastAsia" w:ascii="仿宋_GB2312" w:hAnsi="仿宋_GB2312" w:eastAsia="仿宋_GB2312" w:cs="仿宋_GB2312"/>
          <w:color w:val="auto"/>
          <w:sz w:val="32"/>
          <w:szCs w:val="32"/>
          <w:highlight w:val="none"/>
        </w:rPr>
        <w:t>12.1 合同</w:t>
      </w:r>
      <w:bookmarkEnd w:id="1143"/>
      <w:bookmarkEnd w:id="1144"/>
      <w:r>
        <w:rPr>
          <w:rFonts w:hint="eastAsia" w:ascii="仿宋_GB2312" w:hAnsi="仿宋_GB2312" w:eastAsia="仿宋_GB2312" w:cs="仿宋_GB2312"/>
          <w:color w:val="auto"/>
          <w:sz w:val="32"/>
          <w:szCs w:val="32"/>
          <w:highlight w:val="none"/>
        </w:rPr>
        <w:t>价格形</w:t>
      </w:r>
      <w:bookmarkEnd w:id="1155"/>
      <w:r>
        <w:rPr>
          <w:rFonts w:hint="eastAsia" w:ascii="仿宋_GB2312" w:hAnsi="仿宋_GB2312" w:eastAsia="仿宋_GB2312" w:cs="仿宋_GB2312"/>
          <w:color w:val="auto"/>
          <w:sz w:val="32"/>
          <w:szCs w:val="32"/>
          <w:highlight w:val="none"/>
        </w:rPr>
        <w:t>式</w:t>
      </w:r>
      <w:bookmarkEnd w:id="1156"/>
      <w:bookmarkEnd w:id="1157"/>
      <w:bookmarkEnd w:id="1158"/>
      <w:bookmarkEnd w:id="1159"/>
      <w:bookmarkEnd w:id="1160"/>
      <w:bookmarkEnd w:id="1161"/>
      <w:bookmarkEnd w:id="1162"/>
      <w:bookmarkEnd w:id="1163"/>
      <w:bookmarkEnd w:id="1164"/>
    </w:p>
    <w:p w14:paraId="6850D4CD">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 xml:space="preserve">发包人和承包人应在合同协议书中选择下列一种合同价格形式： </w:t>
      </w:r>
    </w:p>
    <w:p w14:paraId="3AA2F249">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1.单价合同</w:t>
      </w:r>
    </w:p>
    <w:p w14:paraId="0F83F960">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单价合同是指合同当事人约定以工程量清单及其综合单价进行合同价格计算、调整和确认的建设工程施工合同，</w:t>
      </w:r>
      <w:r>
        <w:rPr>
          <w:rFonts w:hint="eastAsia" w:ascii="仿宋_GB2312" w:hAnsi="仿宋_GB2312" w:eastAsia="仿宋_GB2312" w:cs="仿宋_GB2312"/>
          <w:color w:val="auto"/>
          <w:sz w:val="32"/>
          <w:szCs w:val="32"/>
          <w:highlight w:val="none"/>
        </w:rPr>
        <w:t>在约定的范围内合同单价不作调整</w:t>
      </w:r>
      <w:r>
        <w:rPr>
          <w:rFonts w:hint="eastAsia" w:ascii="仿宋_GB2312" w:hAnsi="仿宋_GB2312" w:eastAsia="仿宋_GB2312" w:cs="仿宋_GB2312"/>
          <w:color w:val="auto"/>
          <w:kern w:val="0"/>
          <w:sz w:val="32"/>
          <w:szCs w:val="32"/>
          <w:highlight w:val="none"/>
        </w:rPr>
        <w:t>。合同当事人应在专用合同条款中约定综合单价包含的风险范围和风险费用的计算方法</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kern w:val="0"/>
          <w:sz w:val="32"/>
          <w:szCs w:val="32"/>
          <w:highlight w:val="none"/>
        </w:rPr>
        <w:t>并约定风险范围以外的合同价格的调整方法，其中因市场价格波动引起的调整按第11.1款〔市场价格波动引起的调整〕约定执行。</w:t>
      </w:r>
    </w:p>
    <w:p w14:paraId="3256285C">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2.总价合同</w:t>
      </w:r>
    </w:p>
    <w:p w14:paraId="3655226B">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总价合同是指合同当事人约定以施工图、已标价工程量清单或预算书及有关条件进行合同价格计算、调整和确认的建设工程施工合同，</w:t>
      </w:r>
      <w:r>
        <w:rPr>
          <w:rFonts w:hint="eastAsia" w:ascii="仿宋_GB2312" w:hAnsi="仿宋_GB2312" w:eastAsia="仿宋_GB2312" w:cs="仿宋_GB2312"/>
          <w:color w:val="auto"/>
          <w:sz w:val="32"/>
          <w:szCs w:val="32"/>
          <w:highlight w:val="none"/>
        </w:rPr>
        <w:t>在约定的范围内合同总价不作调整</w:t>
      </w:r>
      <w:r>
        <w:rPr>
          <w:rFonts w:hint="eastAsia" w:ascii="仿宋_GB2312" w:hAnsi="仿宋_GB2312" w:eastAsia="仿宋_GB2312" w:cs="仿宋_GB2312"/>
          <w:color w:val="auto"/>
          <w:kern w:val="0"/>
          <w:sz w:val="32"/>
          <w:szCs w:val="32"/>
          <w:highlight w:val="none"/>
        </w:rPr>
        <w:t>。合同当事人应在专用合同条款中约定总价包含的风险范围和风险费用的计算方法，并约定风险范围以外的合同价格的调整方法，其中因市场价格波动引起的调整按第11.1款〔市场价格波动引起的调整〕、因法律变化引起的调整按第11.2款〔法律变化引起的调整〕约定执行。</w:t>
      </w:r>
    </w:p>
    <w:p w14:paraId="3A91CB49">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3.</w:t>
      </w:r>
      <w:r>
        <w:rPr>
          <w:rFonts w:hint="eastAsia" w:ascii="仿宋_GB2312" w:hAnsi="仿宋_GB2312" w:eastAsia="仿宋_GB2312" w:cs="仿宋_GB2312"/>
          <w:color w:val="auto"/>
          <w:kern w:val="0"/>
          <w:sz w:val="32"/>
          <w:szCs w:val="32"/>
          <w:highlight w:val="none"/>
          <w:lang w:eastAsia="zh-CN"/>
        </w:rPr>
        <w:t>其他</w:t>
      </w:r>
      <w:r>
        <w:rPr>
          <w:rFonts w:hint="eastAsia" w:ascii="仿宋_GB2312" w:hAnsi="仿宋_GB2312" w:eastAsia="仿宋_GB2312" w:cs="仿宋_GB2312"/>
          <w:color w:val="auto"/>
          <w:kern w:val="0"/>
          <w:sz w:val="32"/>
          <w:szCs w:val="32"/>
          <w:highlight w:val="none"/>
        </w:rPr>
        <w:t>价格形式</w:t>
      </w:r>
    </w:p>
    <w:p w14:paraId="708BFF58">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合同当事人可在专用合同条款中约定其他合同价格形式。</w:t>
      </w:r>
      <w:bookmarkStart w:id="1165" w:name="_Toc296503097"/>
      <w:bookmarkStart w:id="1166" w:name="_Toc296346598"/>
      <w:bookmarkStart w:id="1167" w:name="_Toc351203582"/>
      <w:bookmarkStart w:id="1168" w:name="_Toc337558801"/>
    </w:p>
    <w:p w14:paraId="29571ECA">
      <w:pPr>
        <w:spacing w:line="576" w:lineRule="exact"/>
        <w:ind w:firstLine="640" w:firstLineChars="200"/>
        <w:jc w:val="both"/>
        <w:outlineLvl w:val="2"/>
        <w:rPr>
          <w:rFonts w:hint="eastAsia" w:ascii="仿宋_GB2312" w:hAnsi="仿宋_GB2312" w:eastAsia="仿宋_GB2312" w:cs="仿宋_GB2312"/>
          <w:color w:val="auto"/>
          <w:sz w:val="32"/>
          <w:szCs w:val="32"/>
          <w:highlight w:val="none"/>
        </w:rPr>
      </w:pPr>
      <w:bookmarkStart w:id="1169" w:name="_Toc24435"/>
      <w:bookmarkStart w:id="1170" w:name="_Toc24438"/>
      <w:bookmarkStart w:id="1171" w:name="_Toc11439"/>
      <w:bookmarkStart w:id="1172" w:name="_Toc26061"/>
      <w:bookmarkStart w:id="1173" w:name="_Toc24338"/>
      <w:bookmarkStart w:id="1174" w:name="_Toc12064"/>
      <w:bookmarkStart w:id="1175" w:name="_Toc2190"/>
      <w:bookmarkStart w:id="1176" w:name="_Toc10670"/>
      <w:r>
        <w:rPr>
          <w:rFonts w:hint="eastAsia" w:ascii="仿宋_GB2312" w:hAnsi="仿宋_GB2312" w:eastAsia="仿宋_GB2312" w:cs="仿宋_GB2312"/>
          <w:color w:val="auto"/>
          <w:sz w:val="32"/>
          <w:szCs w:val="32"/>
          <w:highlight w:val="none"/>
        </w:rPr>
        <w:t>12.2</w:t>
      </w:r>
      <w:bookmarkEnd w:id="1165"/>
      <w:bookmarkEnd w:id="1166"/>
      <w:bookmarkStart w:id="1177" w:name="_Toc296346601"/>
      <w:bookmarkStart w:id="1178" w:name="_Toc296503100"/>
      <w:r>
        <w:rPr>
          <w:rFonts w:hint="eastAsia" w:ascii="仿宋_GB2312" w:hAnsi="仿宋_GB2312" w:eastAsia="仿宋_GB2312" w:cs="仿宋_GB2312"/>
          <w:color w:val="auto"/>
          <w:sz w:val="32"/>
          <w:szCs w:val="32"/>
          <w:highlight w:val="none"/>
        </w:rPr>
        <w:t>预付</w:t>
      </w:r>
      <w:bookmarkEnd w:id="1167"/>
      <w:r>
        <w:rPr>
          <w:rFonts w:hint="eastAsia" w:ascii="仿宋_GB2312" w:hAnsi="仿宋_GB2312" w:eastAsia="仿宋_GB2312" w:cs="仿宋_GB2312"/>
          <w:color w:val="auto"/>
          <w:sz w:val="32"/>
          <w:szCs w:val="32"/>
          <w:highlight w:val="none"/>
        </w:rPr>
        <w:t>款</w:t>
      </w:r>
      <w:bookmarkEnd w:id="1168"/>
      <w:bookmarkEnd w:id="1169"/>
      <w:bookmarkEnd w:id="1170"/>
      <w:bookmarkEnd w:id="1171"/>
      <w:bookmarkEnd w:id="1172"/>
      <w:bookmarkEnd w:id="1173"/>
      <w:bookmarkEnd w:id="1174"/>
      <w:bookmarkEnd w:id="1175"/>
      <w:bookmarkEnd w:id="1176"/>
      <w:bookmarkEnd w:id="1177"/>
      <w:bookmarkEnd w:id="1178"/>
    </w:p>
    <w:p w14:paraId="118DAA05">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sz w:val="32"/>
          <w:szCs w:val="32"/>
          <w:highlight w:val="none"/>
        </w:rPr>
        <w:t>12.2.</w:t>
      </w:r>
      <w:r>
        <w:rPr>
          <w:rFonts w:hint="eastAsia" w:ascii="仿宋_GB2312" w:hAnsi="仿宋_GB2312" w:eastAsia="仿宋_GB2312" w:cs="仿宋_GB2312"/>
          <w:color w:val="auto"/>
          <w:kern w:val="0"/>
          <w:sz w:val="32"/>
          <w:szCs w:val="32"/>
          <w:highlight w:val="none"/>
        </w:rPr>
        <w:t>1预付款的支付</w:t>
      </w:r>
    </w:p>
    <w:p w14:paraId="0DEBD855">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预付款的支付按照专用合同条款约定执行，但至迟应在开工通知载明的开工日期7天前支付。预付款应当用于材料、工程设备、施工设备的采购及修建临时工程、组织施工队伍进场等。</w:t>
      </w:r>
    </w:p>
    <w:p w14:paraId="5CAA802B">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除专用合同条款另有约定外，预付款在进度付款中同比例扣回</w:t>
      </w:r>
      <w:bookmarkEnd w:id="1128"/>
      <w:r>
        <w:rPr>
          <w:rFonts w:hint="eastAsia" w:ascii="仿宋_GB2312" w:hAnsi="仿宋_GB2312" w:eastAsia="仿宋_GB2312" w:cs="仿宋_GB2312"/>
          <w:color w:val="auto"/>
          <w:kern w:val="0"/>
          <w:sz w:val="32"/>
          <w:szCs w:val="32"/>
          <w:highlight w:val="none"/>
        </w:rPr>
        <w:t>。在颁发工程接收证书前，提前解除合同的，尚未扣完的预付款应与合同价款一并结算。</w:t>
      </w:r>
    </w:p>
    <w:p w14:paraId="13E2A86E">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发包人逾期支付预付款超过7天的，承包人有权向发包人发出要求预付的催告通知，发包人收到通知后7天内仍未支付的，承包人有权暂停施工，并按第16.1.1项〔发包人违约的情形〕执行。</w:t>
      </w:r>
    </w:p>
    <w:p w14:paraId="233F9A5A">
      <w:pPr>
        <w:snapToGrid/>
        <w:spacing w:line="576"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12.2.2 预付款担保</w:t>
      </w:r>
    </w:p>
    <w:p w14:paraId="1908CC0F">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发包人要求承包人提供预付款担保的，承包人应在发包人支付预付款7天前提供预付款担保，专用合同条款另有约定除外。预付款担保可采用银行保函、担保公司担保等形式，具体由合同当事人在专用合同条款中约定。在预付款完全扣回之前，承包人应保证预付款担保持续有效。</w:t>
      </w:r>
    </w:p>
    <w:p w14:paraId="3C4600A5">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发包人在工程款中逐期扣回预付款后，预付款担保额度应相应减少，但剩余的预付款担保金额不得低于未被扣回的预付款金额。</w:t>
      </w:r>
      <w:bookmarkStart w:id="1179" w:name="_Toc351203583"/>
      <w:bookmarkStart w:id="1180" w:name="_Toc337558802"/>
    </w:p>
    <w:p w14:paraId="2377026B">
      <w:pPr>
        <w:spacing w:line="576" w:lineRule="exact"/>
        <w:ind w:firstLine="640" w:firstLineChars="200"/>
        <w:jc w:val="both"/>
        <w:outlineLvl w:val="2"/>
        <w:rPr>
          <w:rFonts w:hint="eastAsia" w:ascii="仿宋_GB2312" w:hAnsi="仿宋_GB2312" w:eastAsia="仿宋_GB2312" w:cs="仿宋_GB2312"/>
          <w:color w:val="auto"/>
          <w:sz w:val="32"/>
          <w:szCs w:val="32"/>
          <w:highlight w:val="none"/>
        </w:rPr>
      </w:pPr>
      <w:bookmarkStart w:id="1181" w:name="_Toc19420"/>
      <w:bookmarkStart w:id="1182" w:name="_Toc4945"/>
      <w:bookmarkStart w:id="1183" w:name="_Toc31793"/>
      <w:bookmarkStart w:id="1184" w:name="_Toc23526"/>
      <w:bookmarkStart w:id="1185" w:name="_Toc7223"/>
      <w:bookmarkStart w:id="1186" w:name="_Toc14111"/>
      <w:bookmarkStart w:id="1187" w:name="_Toc2401"/>
      <w:bookmarkStart w:id="1188" w:name="_Toc26364"/>
      <w:r>
        <w:rPr>
          <w:rFonts w:hint="eastAsia" w:ascii="仿宋_GB2312" w:hAnsi="仿宋_GB2312" w:eastAsia="仿宋_GB2312" w:cs="仿宋_GB2312"/>
          <w:color w:val="auto"/>
          <w:sz w:val="32"/>
          <w:szCs w:val="32"/>
          <w:highlight w:val="none"/>
        </w:rPr>
        <w:t>12.3计</w:t>
      </w:r>
      <w:bookmarkEnd w:id="1179"/>
      <w:r>
        <w:rPr>
          <w:rFonts w:hint="eastAsia" w:ascii="仿宋_GB2312" w:hAnsi="仿宋_GB2312" w:eastAsia="仿宋_GB2312" w:cs="仿宋_GB2312"/>
          <w:color w:val="auto"/>
          <w:sz w:val="32"/>
          <w:szCs w:val="32"/>
          <w:highlight w:val="none"/>
        </w:rPr>
        <w:t>量</w:t>
      </w:r>
      <w:bookmarkEnd w:id="1180"/>
      <w:bookmarkEnd w:id="1181"/>
      <w:bookmarkEnd w:id="1182"/>
      <w:bookmarkEnd w:id="1183"/>
      <w:bookmarkEnd w:id="1184"/>
      <w:bookmarkEnd w:id="1185"/>
      <w:bookmarkEnd w:id="1186"/>
      <w:bookmarkEnd w:id="1187"/>
      <w:bookmarkEnd w:id="1188"/>
    </w:p>
    <w:p w14:paraId="59BEAA3E">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12.3.1 计量原则</w:t>
      </w:r>
    </w:p>
    <w:p w14:paraId="2DD5AE70">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工程量计量按照合同约定的工程量计算规则、图纸及变更指示等进行计量。工程量计算规则应以相关的国家标准、行业标准等为依据，由合同当事人在专用合同条款中约定。</w:t>
      </w:r>
    </w:p>
    <w:p w14:paraId="28863AC1">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12.3.2 计量周期</w:t>
      </w:r>
    </w:p>
    <w:p w14:paraId="64411A2A">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除专用合同条款另有约定外，工程量的计量按月进行。</w:t>
      </w:r>
    </w:p>
    <w:p w14:paraId="4723FC4B">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12.3.3 单价合同的计量</w:t>
      </w:r>
    </w:p>
    <w:p w14:paraId="7089A371">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除专用合同条款另有约定外，单价合同的计量按照本项约定执行：</w:t>
      </w:r>
    </w:p>
    <w:p w14:paraId="78D45411">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（1）承包人应于每月25日向监理人报送上月20日至当月19日已完成的工程量报告，并附具进度付款申请单、已完成工程量报表和有关资料。</w:t>
      </w:r>
    </w:p>
    <w:p w14:paraId="7511E16F">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2）监理人应在收到承包人提交的工程量报告后7天内完成对承包人提交的工程量报表的审核并报送发包人，以确定当月实际完成的工程量。监理人对工程量有异议的，有权要求承包人进行共同复核或抽样复测。承包人应协助监理人进行复核或抽样复测，并按监理人要求提供补充计量资料。承包人未按监理人要求参加复核或抽样复测的，监理人复核或修正的工程量视为承包人实际完成的工程量。</w:t>
      </w:r>
    </w:p>
    <w:p w14:paraId="332DBAF7">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（3）监理人未在收到承包人提交的工程量报表后的7天内完成审核的，承包人报送的工程量报告中的工程量视为承包人实际完成的工程量，据此计算工程价款。</w:t>
      </w:r>
    </w:p>
    <w:p w14:paraId="6270B131">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12.3.4 总价合同的计量</w:t>
      </w:r>
    </w:p>
    <w:p w14:paraId="7FEC0CA1">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除专用合同条款另有约定外，按月计量支付的总价合同，按照本项约定执行：</w:t>
      </w:r>
    </w:p>
    <w:p w14:paraId="5E73BC43">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（1）承包人应于每月25日向监理人报送上月20日至当月19日已完成的工程量报告，并附具进度付款申请单、已完成工程量报表和有关资料。</w:t>
      </w:r>
    </w:p>
    <w:p w14:paraId="447A9238">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2）监理人应在收到承包人提交的工程量报告后7天内完成对承包人提交的工程量报表的审核并报送发包人，以确定当月实际完成的工程量。监理人对工程量有异议的，有权要求承包人进行共同复核或抽样复测。承包人应协助监理人进行复核或抽样复测并按监理人要求提供补充计量资料。承包人未按监理人要求参加复核或抽样复测的，监理人审核或修正的工程量视为承包人实际完成的工程量。</w:t>
      </w:r>
    </w:p>
    <w:p w14:paraId="3B17F2AF">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（3）监理人未在收到承包人提交的工程量报表后的7天内完成复核的，承包人提交的工程量报告中的工程量视为承包人实际完成的工程量。</w:t>
      </w:r>
    </w:p>
    <w:p w14:paraId="48298B57">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12.3.5 总价合同采用支付分解表计量支付的，可以按照第12.3.4项〔总价合同的计量〕约定进行计量，但合同价款按照支付分解表进行支付。</w:t>
      </w:r>
    </w:p>
    <w:p w14:paraId="3E680161">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12.3.6 其他价格形式合同的计量</w:t>
      </w:r>
    </w:p>
    <w:p w14:paraId="63EEFADF">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合同当事人可在专用合同条款中约定其他价格形式合同的计量方式和程序。</w:t>
      </w:r>
      <w:bookmarkStart w:id="1189" w:name="_Toc296346602"/>
      <w:bookmarkStart w:id="1190" w:name="_Toc296503101"/>
      <w:bookmarkStart w:id="1191" w:name="_Toc351203584"/>
      <w:bookmarkStart w:id="1192" w:name="_Toc337558803"/>
    </w:p>
    <w:p w14:paraId="0C5F6F80">
      <w:pPr>
        <w:spacing w:line="576" w:lineRule="exact"/>
        <w:ind w:firstLine="640" w:firstLineChars="200"/>
        <w:jc w:val="both"/>
        <w:outlineLvl w:val="2"/>
        <w:rPr>
          <w:rFonts w:hint="eastAsia" w:ascii="仿宋_GB2312" w:hAnsi="仿宋_GB2312" w:eastAsia="仿宋_GB2312" w:cs="仿宋_GB2312"/>
          <w:color w:val="auto"/>
          <w:sz w:val="32"/>
          <w:szCs w:val="32"/>
          <w:highlight w:val="none"/>
        </w:rPr>
      </w:pPr>
      <w:bookmarkStart w:id="1193" w:name="_Toc32234"/>
      <w:bookmarkStart w:id="1194" w:name="_Toc14846"/>
      <w:bookmarkStart w:id="1195" w:name="_Toc3230"/>
      <w:bookmarkStart w:id="1196" w:name="_Toc19640"/>
      <w:bookmarkStart w:id="1197" w:name="_Toc5153"/>
      <w:bookmarkStart w:id="1198" w:name="_Toc24966"/>
      <w:bookmarkStart w:id="1199" w:name="_Toc1460"/>
      <w:bookmarkStart w:id="1200" w:name="_Toc1887"/>
      <w:r>
        <w:rPr>
          <w:rFonts w:hint="eastAsia" w:ascii="仿宋_GB2312" w:hAnsi="仿宋_GB2312" w:eastAsia="仿宋_GB2312" w:cs="仿宋_GB2312"/>
          <w:color w:val="auto"/>
          <w:sz w:val="32"/>
          <w:szCs w:val="32"/>
          <w:highlight w:val="none"/>
        </w:rPr>
        <w:t>12.4工程进度款</w:t>
      </w:r>
      <w:bookmarkEnd w:id="1189"/>
      <w:bookmarkEnd w:id="1190"/>
      <w:r>
        <w:rPr>
          <w:rFonts w:hint="eastAsia" w:ascii="仿宋_GB2312" w:hAnsi="仿宋_GB2312" w:eastAsia="仿宋_GB2312" w:cs="仿宋_GB2312"/>
          <w:color w:val="auto"/>
          <w:sz w:val="32"/>
          <w:szCs w:val="32"/>
          <w:highlight w:val="none"/>
        </w:rPr>
        <w:t>支</w:t>
      </w:r>
      <w:bookmarkEnd w:id="1191"/>
      <w:r>
        <w:rPr>
          <w:rFonts w:hint="eastAsia" w:ascii="仿宋_GB2312" w:hAnsi="仿宋_GB2312" w:eastAsia="仿宋_GB2312" w:cs="仿宋_GB2312"/>
          <w:color w:val="auto"/>
          <w:sz w:val="32"/>
          <w:szCs w:val="32"/>
          <w:highlight w:val="none"/>
        </w:rPr>
        <w:t>付</w:t>
      </w:r>
      <w:bookmarkEnd w:id="1192"/>
      <w:bookmarkEnd w:id="1193"/>
      <w:bookmarkEnd w:id="1194"/>
      <w:bookmarkEnd w:id="1195"/>
      <w:bookmarkEnd w:id="1196"/>
      <w:bookmarkEnd w:id="1197"/>
      <w:bookmarkEnd w:id="1198"/>
      <w:bookmarkEnd w:id="1199"/>
      <w:bookmarkEnd w:id="1200"/>
    </w:p>
    <w:p w14:paraId="4C0AED1D">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sz w:val="32"/>
          <w:szCs w:val="32"/>
          <w:highlight w:val="none"/>
        </w:rPr>
        <w:t>12.4</w:t>
      </w:r>
      <w:r>
        <w:rPr>
          <w:rFonts w:hint="eastAsia" w:ascii="仿宋_GB2312" w:hAnsi="仿宋_GB2312" w:eastAsia="仿宋_GB2312" w:cs="仿宋_GB2312"/>
          <w:color w:val="auto"/>
          <w:kern w:val="0"/>
          <w:sz w:val="32"/>
          <w:szCs w:val="32"/>
          <w:highlight w:val="none"/>
        </w:rPr>
        <w:t>.1 付款周期</w:t>
      </w:r>
    </w:p>
    <w:p w14:paraId="223DB68A">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除专用合同条款另有约定外，付款周期应按照第12.3.2项〔计量周期〕的约定与计量周期保持一致。</w:t>
      </w:r>
    </w:p>
    <w:p w14:paraId="1C20A9C5">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sz w:val="32"/>
          <w:szCs w:val="32"/>
          <w:highlight w:val="none"/>
        </w:rPr>
        <w:t>12.4</w:t>
      </w:r>
      <w:r>
        <w:rPr>
          <w:rFonts w:hint="eastAsia" w:ascii="仿宋_GB2312" w:hAnsi="仿宋_GB2312" w:eastAsia="仿宋_GB2312" w:cs="仿宋_GB2312"/>
          <w:color w:val="auto"/>
          <w:kern w:val="0"/>
          <w:sz w:val="32"/>
          <w:szCs w:val="32"/>
          <w:highlight w:val="none"/>
        </w:rPr>
        <w:t>.2 进度付款申请单的编制</w:t>
      </w:r>
    </w:p>
    <w:p w14:paraId="3EA996BD">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除专用合同条款另有约定外，进度付款申请单应包括下列内容：</w:t>
      </w:r>
    </w:p>
    <w:p w14:paraId="6E80931B">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（1）截至本次付款周期已完成工作对应的金额；</w:t>
      </w:r>
    </w:p>
    <w:p w14:paraId="4B30BAFC">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（2）根据第10条〔变更〕应增加和扣减的变更金额；</w:t>
      </w:r>
    </w:p>
    <w:p w14:paraId="204515DD">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（3）根据第12.2款〔预付款〕约定应支付的预付款和扣减的返还预付款；</w:t>
      </w:r>
    </w:p>
    <w:p w14:paraId="0545286C">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（4）根据第15.3款〔质量保证金〕约定应扣减的质量保证金；</w:t>
      </w:r>
    </w:p>
    <w:p w14:paraId="5EC1D561">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（5）根据第19条〔索赔〕应增加和扣减的索赔金额；</w:t>
      </w:r>
    </w:p>
    <w:p w14:paraId="4A256ED3">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（6）对已签发的进度款支付证书中出现错误的修正，应在本次进度付款中支付或扣除的金额；</w:t>
      </w:r>
    </w:p>
    <w:p w14:paraId="2D96242E">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（7）根据合同约定应增加和扣减的其他金额。</w:t>
      </w:r>
    </w:p>
    <w:p w14:paraId="5865FB72">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12.4.3 进度付款申请单的提交</w:t>
      </w:r>
    </w:p>
    <w:p w14:paraId="443B8425">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（1）单价合同进度付款申请单的提交</w:t>
      </w:r>
    </w:p>
    <w:p w14:paraId="51D37E3C">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单价合同的进度付款申请单，按照第12.3.3项〔单价合同的计量〕约定的时间按月向监理人提交，并附上已完成工程量报表和有关资料。单价合同中的总价项目按月进行支付分解，并汇总列入当期进度付款申请单。</w:t>
      </w:r>
    </w:p>
    <w:p w14:paraId="0E7371D8">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（2）总价合同进度付款申请单的提交</w:t>
      </w:r>
    </w:p>
    <w:p w14:paraId="2D7B4656">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总价合同按月计量支付的，承包人按照第12.3.4项〔总价合同的计量〕约定的时间按月向监理人提交进度付款申请单，并附上已完成工程量报表和有关资料。</w:t>
      </w:r>
    </w:p>
    <w:p w14:paraId="2A144ED1">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总价合同按支付分解表支付的，承包人应按照第12.4.6项〔支付分解表〕及第12.4.2项〔进度付款申请单的编制〕的约定向监理人提交进度付款申请单。</w:t>
      </w:r>
    </w:p>
    <w:p w14:paraId="241FF94A">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（3）其他价格形式合同的进度付款申请单的提交</w:t>
      </w:r>
    </w:p>
    <w:p w14:paraId="25B01E1A">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合同当事人可在专用合同条款中约定其他价格形式合同的进度付款申请单的编制和提交程序。</w:t>
      </w:r>
    </w:p>
    <w:p w14:paraId="27B279CA">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sz w:val="32"/>
          <w:szCs w:val="32"/>
          <w:highlight w:val="none"/>
        </w:rPr>
        <w:t>12.4</w:t>
      </w:r>
      <w:r>
        <w:rPr>
          <w:rFonts w:hint="eastAsia" w:ascii="仿宋_GB2312" w:hAnsi="仿宋_GB2312" w:eastAsia="仿宋_GB2312" w:cs="仿宋_GB2312"/>
          <w:color w:val="auto"/>
          <w:kern w:val="0"/>
          <w:sz w:val="32"/>
          <w:szCs w:val="32"/>
          <w:highlight w:val="none"/>
        </w:rPr>
        <w:t>.4 进度款审核和支付</w:t>
      </w:r>
    </w:p>
    <w:p w14:paraId="39330A80">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除专用合同条款另有约定外，监理人应在收到承包人进度付款申请单以及相关资料后7天内完成审查并报送发包人，发包人应在收到后7天内完成审批并签发进度款支付证书。发包人逾期未完成审批且未提出异议的，视为已签发进度款支付证书。</w:t>
      </w:r>
    </w:p>
    <w:p w14:paraId="35DAB41C">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发包人和监理人对承包人的进度付款申请单有异议的，有权要求承包人修正和提供补充资料，承包人应提交修正后的进度付款申请单。监理人应在收到承包人修正后的进度付款申请单及相关资料后7天内完成审查并报送发包人，发包人应在收到监理人报送的进度付款申请单及相关资料后7天内，向承包人签发无异议部分的临时进度款支付证书。存在争议的部分，按照第20条〔争议解决〕的约定处理。</w:t>
      </w:r>
    </w:p>
    <w:p w14:paraId="08786C36">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（2）除专用合同条款另有约定外，发包人应在进度款支付证书或临时进度款支付证书签发后14天内完成支付，发包人逾期支付进度款的，应按照中国人民银行发布的同期同类贷款基准利率支付违约金。</w:t>
      </w:r>
    </w:p>
    <w:p w14:paraId="46A0D541">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（3）发包人签发进度款支付证书或临时进度款支付证书，不表明发包人已同意、批准或接受了承包人完成的相应部分的工作。</w:t>
      </w:r>
    </w:p>
    <w:p w14:paraId="6A611A1C">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12.4.5 进度付款的修正</w:t>
      </w:r>
    </w:p>
    <w:p w14:paraId="6131FD26">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在对已签发的进度款支付证书进行阶段汇总和复核中发现错误、遗漏或重复的，发包人和承包人均有权提出修正申请。经发包人和承包人同意的修正，应在下期进度付款中支付或扣除。</w:t>
      </w:r>
    </w:p>
    <w:p w14:paraId="05853D7B">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12.4.6 支付分解表</w:t>
      </w:r>
    </w:p>
    <w:p w14:paraId="3C2EE06F">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1.支付分解表的编制要求</w:t>
      </w:r>
    </w:p>
    <w:p w14:paraId="0D59D464">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（1）支付分解表中所列的每期付款金额，应为第12.4.2项〔进度付款申请单的编制〕第（1</w:t>
      </w:r>
      <w:r>
        <w:rPr>
          <w:rFonts w:hint="eastAsia" w:ascii="仿宋_GB2312" w:hAnsi="仿宋_GB2312" w:eastAsia="仿宋_GB2312" w:cs="仿宋_GB2312"/>
          <w:color w:val="auto"/>
          <w:kern w:val="0"/>
          <w:sz w:val="32"/>
          <w:szCs w:val="32"/>
          <w:highlight w:val="none"/>
          <w:lang w:eastAsia="zh-CN"/>
        </w:rPr>
        <w:t>）项</w:t>
      </w:r>
      <w:r>
        <w:rPr>
          <w:rFonts w:hint="eastAsia" w:ascii="仿宋_GB2312" w:hAnsi="仿宋_GB2312" w:eastAsia="仿宋_GB2312" w:cs="仿宋_GB2312"/>
          <w:color w:val="auto"/>
          <w:kern w:val="0"/>
          <w:sz w:val="32"/>
          <w:szCs w:val="32"/>
          <w:highlight w:val="none"/>
        </w:rPr>
        <w:t>的估算金额；</w:t>
      </w:r>
    </w:p>
    <w:p w14:paraId="0C04F526">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（2）实际进度与施工进度计划不一致的，合同当事人可按照第4.4款〔商定或确定〕修改支付分解表；</w:t>
      </w:r>
    </w:p>
    <w:p w14:paraId="76C7F498">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（3）不采用支付分解表的，承包人应向发包人和监理人提交按季度编制的支付估算分解表，用于支付参考。</w:t>
      </w:r>
    </w:p>
    <w:p w14:paraId="22361945">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2.总价合同支付分解表的编制与审批</w:t>
      </w:r>
    </w:p>
    <w:p w14:paraId="4F3F9C0B">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除专用合同条款另有约定外，承包人应根据第7.2款〔施工进度计划〕约定的施工进度计划、签约合同价和工程量等因素对总价合同按月进行分解，编制支付分解表。承包人应当在收到监理人和发包人批准的施工进度计划后7天内，将支付分解表及编制支付分解表的支持性资料报送监理人。</w:t>
      </w:r>
    </w:p>
    <w:p w14:paraId="3D5A5953">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（2）监理人应在收到支付分解表后7天内完成审核并报送发包人。发包人应在收到经监理人审核的支付分解表后7天内完成审批，经发包人批准的支付分解表为有约束力的支付分解表。</w:t>
      </w:r>
    </w:p>
    <w:p w14:paraId="24CF33D7">
      <w:pPr>
        <w:snapToGrid/>
        <w:spacing w:line="576" w:lineRule="exact"/>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 xml:space="preserve">    （3）发包人逾期未完成支付分解表审批的，也未及时要求承包人进行修正和提供补充资料的，则承包人提交的支付分解表视为已经获得发包人批准。</w:t>
      </w:r>
    </w:p>
    <w:p w14:paraId="75565A90">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3.单价合同的总价项目支付分解表的编制与审批</w:t>
      </w:r>
    </w:p>
    <w:p w14:paraId="58986341">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除专用合同条款另有约定外，单价合同的总价项目，由承包人根据施工进度计划和总价项目的总价构成、费用性质、计划发生时间和相应工程量等因素按月进行分解，形成支付分解表，其编制与审批参照总价合同支付分解表的编制与审批执行。</w:t>
      </w:r>
      <w:bookmarkStart w:id="1201" w:name="_Toc351203585"/>
    </w:p>
    <w:p w14:paraId="69DDF5E5">
      <w:pPr>
        <w:spacing w:line="576" w:lineRule="exact"/>
        <w:ind w:firstLine="640" w:firstLineChars="200"/>
        <w:jc w:val="both"/>
        <w:outlineLvl w:val="2"/>
        <w:rPr>
          <w:rFonts w:hint="eastAsia" w:ascii="仿宋_GB2312" w:hAnsi="仿宋_GB2312" w:eastAsia="仿宋_GB2312" w:cs="仿宋_GB2312"/>
          <w:color w:val="auto"/>
          <w:sz w:val="32"/>
          <w:szCs w:val="32"/>
          <w:highlight w:val="none"/>
        </w:rPr>
      </w:pPr>
      <w:bookmarkStart w:id="1202" w:name="_Toc11865"/>
      <w:bookmarkStart w:id="1203" w:name="_Toc6359"/>
      <w:bookmarkStart w:id="1204" w:name="_Toc30714"/>
      <w:bookmarkStart w:id="1205" w:name="_Toc3699"/>
      <w:bookmarkStart w:id="1206" w:name="_Toc30952"/>
      <w:bookmarkStart w:id="1207" w:name="_Toc17998"/>
      <w:bookmarkStart w:id="1208" w:name="_Toc29644"/>
      <w:bookmarkStart w:id="1209" w:name="_Toc9371"/>
      <w:r>
        <w:rPr>
          <w:rFonts w:hint="eastAsia" w:ascii="仿宋_GB2312" w:hAnsi="仿宋_GB2312" w:eastAsia="仿宋_GB2312" w:cs="仿宋_GB2312"/>
          <w:color w:val="auto"/>
          <w:sz w:val="32"/>
          <w:szCs w:val="32"/>
          <w:highlight w:val="none"/>
        </w:rPr>
        <w:t>12.5支付账</w:t>
      </w:r>
      <w:bookmarkEnd w:id="1201"/>
      <w:r>
        <w:rPr>
          <w:rFonts w:hint="eastAsia" w:ascii="仿宋_GB2312" w:hAnsi="仿宋_GB2312" w:eastAsia="仿宋_GB2312" w:cs="仿宋_GB2312"/>
          <w:color w:val="auto"/>
          <w:sz w:val="32"/>
          <w:szCs w:val="32"/>
          <w:highlight w:val="none"/>
        </w:rPr>
        <w:t>户</w:t>
      </w:r>
      <w:bookmarkEnd w:id="1202"/>
      <w:bookmarkEnd w:id="1203"/>
      <w:bookmarkEnd w:id="1204"/>
      <w:bookmarkEnd w:id="1205"/>
      <w:bookmarkEnd w:id="1206"/>
      <w:bookmarkEnd w:id="1207"/>
      <w:bookmarkEnd w:id="1208"/>
      <w:bookmarkEnd w:id="1209"/>
    </w:p>
    <w:p w14:paraId="3FD9F2B8">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发包人应将合同价款支付至合同协议书中约定的承包人账户。</w:t>
      </w:r>
      <w:bookmarkStart w:id="1210" w:name="_Toc351203586"/>
      <w:bookmarkStart w:id="1211" w:name="_Toc322522574"/>
      <w:bookmarkStart w:id="1212" w:name="_Toc337558804"/>
      <w:bookmarkStart w:id="1213" w:name="_Toc296503106"/>
      <w:bookmarkStart w:id="1214" w:name="_Toc296346607"/>
    </w:p>
    <w:p w14:paraId="03B5E691">
      <w:pPr>
        <w:spacing w:line="576" w:lineRule="exact"/>
        <w:jc w:val="both"/>
        <w:outlineLvl w:val="1"/>
        <w:rPr>
          <w:rFonts w:hint="eastAsia" w:ascii="仿宋_GB2312" w:hAnsi="仿宋_GB2312" w:eastAsia="仿宋_GB2312" w:cs="仿宋_GB2312"/>
          <w:color w:val="auto"/>
          <w:sz w:val="32"/>
          <w:szCs w:val="32"/>
          <w:highlight w:val="none"/>
        </w:rPr>
      </w:pPr>
      <w:bookmarkStart w:id="1215" w:name="_Toc17847"/>
      <w:bookmarkStart w:id="1216" w:name="_Toc16540"/>
      <w:bookmarkStart w:id="1217" w:name="_Toc29479"/>
      <w:bookmarkStart w:id="1218" w:name="_Toc30194"/>
      <w:bookmarkStart w:id="1219" w:name="_Toc22955"/>
      <w:bookmarkStart w:id="1220" w:name="_Toc11754"/>
      <w:bookmarkStart w:id="1221" w:name="_Toc27596"/>
      <w:bookmarkStart w:id="1222" w:name="_Toc20550"/>
      <w:bookmarkStart w:id="1223" w:name="_Toc870"/>
      <w:bookmarkStart w:id="1224" w:name="_Toc10890"/>
      <w:r>
        <w:rPr>
          <w:rFonts w:hint="eastAsia" w:ascii="仿宋_GB2312" w:hAnsi="仿宋_GB2312" w:eastAsia="仿宋_GB2312" w:cs="仿宋_GB2312"/>
          <w:color w:val="auto"/>
          <w:sz w:val="32"/>
          <w:szCs w:val="32"/>
          <w:highlight w:val="none"/>
        </w:rPr>
        <w:t>13. 验收和工程试</w:t>
      </w:r>
      <w:bookmarkEnd w:id="1210"/>
      <w:r>
        <w:rPr>
          <w:rFonts w:hint="eastAsia" w:ascii="仿宋_GB2312" w:hAnsi="仿宋_GB2312" w:eastAsia="仿宋_GB2312" w:cs="仿宋_GB2312"/>
          <w:color w:val="auto"/>
          <w:sz w:val="32"/>
          <w:szCs w:val="32"/>
          <w:highlight w:val="none"/>
        </w:rPr>
        <w:t>车</w:t>
      </w:r>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Start w:id="1225" w:name="_Toc351203587"/>
      <w:bookmarkStart w:id="1226" w:name="_Toc337558805"/>
      <w:bookmarkStart w:id="1227" w:name="_Toc296503110"/>
      <w:bookmarkStart w:id="1228" w:name="_Toc296346611"/>
    </w:p>
    <w:p w14:paraId="5755456B">
      <w:pPr>
        <w:spacing w:line="576" w:lineRule="exact"/>
        <w:ind w:firstLine="640" w:firstLineChars="200"/>
        <w:jc w:val="both"/>
        <w:outlineLvl w:val="2"/>
        <w:rPr>
          <w:rFonts w:hint="eastAsia" w:ascii="仿宋_GB2312" w:hAnsi="仿宋_GB2312" w:eastAsia="仿宋_GB2312" w:cs="仿宋_GB2312"/>
          <w:color w:val="auto"/>
          <w:sz w:val="32"/>
          <w:szCs w:val="32"/>
          <w:highlight w:val="none"/>
        </w:rPr>
      </w:pPr>
      <w:bookmarkStart w:id="1229" w:name="_Toc14805"/>
      <w:bookmarkStart w:id="1230" w:name="_Toc3077"/>
      <w:bookmarkStart w:id="1231" w:name="_Toc29710"/>
      <w:bookmarkStart w:id="1232" w:name="_Toc31903"/>
      <w:bookmarkStart w:id="1233" w:name="_Toc24235"/>
      <w:bookmarkStart w:id="1234" w:name="_Toc15849"/>
      <w:bookmarkStart w:id="1235" w:name="_Toc666"/>
      <w:bookmarkStart w:id="1236" w:name="_Toc824"/>
      <w:r>
        <w:rPr>
          <w:rFonts w:hint="eastAsia" w:ascii="仿宋_GB2312" w:hAnsi="仿宋_GB2312" w:eastAsia="仿宋_GB2312" w:cs="仿宋_GB2312"/>
          <w:color w:val="auto"/>
          <w:sz w:val="32"/>
          <w:szCs w:val="32"/>
          <w:highlight w:val="none"/>
        </w:rPr>
        <w:t>13.1分部分项工程验</w:t>
      </w:r>
      <w:bookmarkEnd w:id="1225"/>
      <w:r>
        <w:rPr>
          <w:rFonts w:hint="eastAsia" w:ascii="仿宋_GB2312" w:hAnsi="仿宋_GB2312" w:eastAsia="仿宋_GB2312" w:cs="仿宋_GB2312"/>
          <w:color w:val="auto"/>
          <w:sz w:val="32"/>
          <w:szCs w:val="32"/>
          <w:highlight w:val="none"/>
        </w:rPr>
        <w:t>收</w:t>
      </w:r>
      <w:bookmarkEnd w:id="1226"/>
      <w:bookmarkEnd w:id="1229"/>
      <w:bookmarkEnd w:id="1230"/>
      <w:bookmarkEnd w:id="1231"/>
      <w:bookmarkEnd w:id="1232"/>
      <w:bookmarkEnd w:id="1233"/>
      <w:bookmarkEnd w:id="1234"/>
      <w:bookmarkEnd w:id="1235"/>
      <w:bookmarkEnd w:id="1236"/>
    </w:p>
    <w:p w14:paraId="2EECE56E">
      <w:pPr>
        <w:snapToGrid/>
        <w:spacing w:line="576"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13.1.1 分部分项工程质量应符合国家有关工程施工验收规范、标准及合同约定，承包人应按照施工组织设计的要求完成分部分项工程施工。</w:t>
      </w:r>
    </w:p>
    <w:p w14:paraId="7FBA58A8">
      <w:pPr>
        <w:snapToGrid/>
        <w:spacing w:line="576"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13.1.2 除专用合同条款另有约定外，分部分项工程经承包人自检合格并具备验收条件的，承包人应提前48小时通知监理人进行验收。</w:t>
      </w:r>
      <w:r>
        <w:rPr>
          <w:rFonts w:hint="eastAsia" w:ascii="仿宋_GB2312" w:hAnsi="仿宋_GB2312" w:eastAsia="仿宋_GB2312" w:cs="仿宋_GB2312"/>
          <w:color w:val="auto"/>
          <w:kern w:val="0"/>
          <w:sz w:val="32"/>
          <w:szCs w:val="32"/>
          <w:highlight w:val="none"/>
        </w:rPr>
        <w:t>监理人不能按时进行验收的，应在验收前24小时向承包人提交书面延期要求，但延期不能超过48小时。监理人未按时进行验收，也未提出延期要求的，承包人有权自行验收，监理人应认可验收结果。</w:t>
      </w:r>
      <w:r>
        <w:rPr>
          <w:rFonts w:hint="eastAsia" w:ascii="仿宋_GB2312" w:hAnsi="仿宋_GB2312" w:eastAsia="仿宋_GB2312" w:cs="仿宋_GB2312"/>
          <w:color w:val="auto"/>
          <w:sz w:val="32"/>
          <w:szCs w:val="32"/>
          <w:highlight w:val="none"/>
        </w:rPr>
        <w:t>分部分项工程未经验收的，不得进入下一道工序施工。</w:t>
      </w:r>
    </w:p>
    <w:p w14:paraId="105169F2">
      <w:pPr>
        <w:snapToGrid/>
        <w:spacing w:line="576"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分部分项工程的验收资料应当作为竣工资料的组成部分。</w:t>
      </w:r>
      <w:bookmarkStart w:id="1237" w:name="_Toc351203588"/>
      <w:bookmarkStart w:id="1238" w:name="_Toc337558806"/>
    </w:p>
    <w:p w14:paraId="06F15A72">
      <w:pPr>
        <w:spacing w:line="576" w:lineRule="exact"/>
        <w:ind w:firstLine="640" w:firstLineChars="200"/>
        <w:jc w:val="both"/>
        <w:outlineLvl w:val="2"/>
        <w:rPr>
          <w:rFonts w:hint="eastAsia" w:ascii="仿宋_GB2312" w:hAnsi="仿宋_GB2312" w:eastAsia="仿宋_GB2312" w:cs="仿宋_GB2312"/>
          <w:color w:val="auto"/>
          <w:sz w:val="32"/>
          <w:szCs w:val="32"/>
          <w:highlight w:val="none"/>
        </w:rPr>
      </w:pPr>
      <w:bookmarkStart w:id="1239" w:name="_Toc22332"/>
      <w:bookmarkStart w:id="1240" w:name="_Toc24203"/>
      <w:bookmarkStart w:id="1241" w:name="_Toc23082"/>
      <w:bookmarkStart w:id="1242" w:name="_Toc27401"/>
      <w:bookmarkStart w:id="1243" w:name="_Toc11493"/>
      <w:bookmarkStart w:id="1244" w:name="_Toc31713"/>
      <w:bookmarkStart w:id="1245" w:name="_Toc32684"/>
      <w:bookmarkStart w:id="1246" w:name="_Toc3617"/>
      <w:r>
        <w:rPr>
          <w:rFonts w:hint="eastAsia" w:ascii="仿宋_GB2312" w:hAnsi="仿宋_GB2312" w:eastAsia="仿宋_GB2312" w:cs="仿宋_GB2312"/>
          <w:color w:val="auto"/>
          <w:sz w:val="32"/>
          <w:szCs w:val="32"/>
          <w:highlight w:val="none"/>
        </w:rPr>
        <w:t>13.2竣工验</w:t>
      </w:r>
      <w:bookmarkEnd w:id="1237"/>
      <w:r>
        <w:rPr>
          <w:rFonts w:hint="eastAsia" w:ascii="仿宋_GB2312" w:hAnsi="仿宋_GB2312" w:eastAsia="仿宋_GB2312" w:cs="仿宋_GB2312"/>
          <w:color w:val="auto"/>
          <w:sz w:val="32"/>
          <w:szCs w:val="32"/>
          <w:highlight w:val="none"/>
        </w:rPr>
        <w:t>收</w:t>
      </w:r>
      <w:bookmarkEnd w:id="1227"/>
      <w:bookmarkEnd w:id="1228"/>
      <w:bookmarkEnd w:id="1238"/>
      <w:bookmarkEnd w:id="1239"/>
      <w:bookmarkEnd w:id="1240"/>
      <w:bookmarkEnd w:id="1241"/>
      <w:bookmarkEnd w:id="1242"/>
      <w:bookmarkEnd w:id="1243"/>
      <w:bookmarkEnd w:id="1244"/>
      <w:bookmarkEnd w:id="1245"/>
      <w:bookmarkEnd w:id="1246"/>
    </w:p>
    <w:p w14:paraId="2FDBBD54">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13.2.1竣工验收条件</w:t>
      </w:r>
    </w:p>
    <w:p w14:paraId="3D0265CC">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工程具备以下条件的，承包人可以申请竣工验收：</w:t>
      </w:r>
    </w:p>
    <w:p w14:paraId="4D395D5E">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（1）除发包人同意的甩项工作和缺陷修补工作外，合同范围内的全部工程以及有关工作，包括合同要求的试验、试运行以及检验均已完成，并符合合同要求；</w:t>
      </w:r>
    </w:p>
    <w:p w14:paraId="7CF77153">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（2）已按合同约定编制了甩项工作和缺陷修补工作清单以及相应的施工计划；</w:t>
      </w:r>
    </w:p>
    <w:p w14:paraId="58F9E398">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（3）已按合同约定的内容和份数备齐竣工资料。</w:t>
      </w:r>
    </w:p>
    <w:p w14:paraId="4E143230">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13.2.2竣工验收程序</w:t>
      </w:r>
    </w:p>
    <w:p w14:paraId="6154898F">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除专用合同条款另有约定外，承包人申请竣工验收的，应当按照以下程序进行：</w:t>
      </w:r>
    </w:p>
    <w:p w14:paraId="03651EB2">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承包人向监理人报送竣工验收申请报告，监理人应在收到竣工验收申请报告后14天内完成审查并报送发包人。监理人审查后认为尚不具备验收条件的，应通知承包人在竣工验收前承包人还需完成的工作内容，承包人应在完成监理人通知的全部工作内容后，再次提交竣工验收申请报告。</w:t>
      </w:r>
    </w:p>
    <w:p w14:paraId="4BD4E364">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（2）监理人审查后认为已具备竣工验收条件的，应将竣工验收申请报告提交发包人，发包人应在收到经监理人审核的竣工验收申请报告后28天内审批完毕并组织监理人、承包人、设计人等相关单位完成竣工验收。</w:t>
      </w:r>
    </w:p>
    <w:p w14:paraId="391E8020">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（3）竣工验收合格的，发包人应在验收合格后14天内向承包人签发工程接收证书。发包人无正当理由逾期不颁发工程接收证书的，自验收合格后第15天起视为已颁发工程接收证书。</w:t>
      </w:r>
    </w:p>
    <w:p w14:paraId="45BF8CE7">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4）竣工验收不合格的，监理人应按照验收意见发出指示，要求承包人对不合格工程返工、修复或采取其他补救措施，由此增加的费用和（或）延误的工期由承包人承担。承包人在完成不合格工程的返工、修复或采取其他补救措施后，应重新提交竣工验收申请报告，并按本项约定的程序重新进行验收。</w:t>
      </w:r>
    </w:p>
    <w:p w14:paraId="1271AA4F">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（5）工程未经验收或验收不合格，发包人擅自使用的，应在转移占有工程后7天内向承包人颁发工程接收证书；发包人无正当理由逾期不颁发工程接收证书的，自转移占有后第15天起视为已颁发工程接收证书。</w:t>
      </w:r>
    </w:p>
    <w:p w14:paraId="1058C445">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除专用合同条款另有约定外，发包人不按照本项约定组织竣工验收、颁发工程接收证书的，每逾期一天，应以签约合同价为基数，按照中国人民银行发布的同期同类贷款基准利率支付违约金。</w:t>
      </w:r>
    </w:p>
    <w:p w14:paraId="1257A923">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13.2.3竣工日期</w:t>
      </w:r>
    </w:p>
    <w:p w14:paraId="051018EB">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w:t>
      </w:r>
      <w:bookmarkStart w:id="1247" w:name="#go14"/>
      <w:bookmarkEnd w:id="1247"/>
      <w:r>
        <w:rPr>
          <w:rFonts w:hint="eastAsia" w:ascii="仿宋_GB2312" w:hAnsi="仿宋_GB2312" w:eastAsia="仿宋_GB2312" w:cs="仿宋_GB2312"/>
          <w:color w:val="auto"/>
          <w:kern w:val="0"/>
          <w:sz w:val="32"/>
          <w:szCs w:val="32"/>
          <w:highlight w:val="none"/>
        </w:rPr>
        <w:t>验收申请报告的日期为实际竣工日期；工程未经竣工验收，发包人擅自使用的，以转移占有工程之日为实际竣工日期。</w:t>
      </w:r>
    </w:p>
    <w:p w14:paraId="7733D53F">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13.2.4 拒绝接收全部或部分工程</w:t>
      </w:r>
    </w:p>
    <w:p w14:paraId="6759CC56">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对于竣工验收不合格的工程，承包人完成整改后，应当重新进行竣工验收，经重新组织验收仍不合格的且无法采取措施补救的，则发包人可以拒绝接收不合格工程，因不合格工程导致其他工程不能正常使用的，承包人应采取措施确保相关工程的正常使用，由此增加的费用和（或）延误的工期由承包人承担。</w:t>
      </w:r>
    </w:p>
    <w:p w14:paraId="60D52C19">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13.2.5 移交、接收全部与部分工程</w:t>
      </w:r>
    </w:p>
    <w:p w14:paraId="360E18EE">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除专用合同条款另有约定外，合同当事人应当在颁发工程接收证书后7天内完成工程的移交。</w:t>
      </w:r>
    </w:p>
    <w:p w14:paraId="6BF5186B">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发包人无正当理由不接收工程的，发包人自应当接收工程之日起，承担工程照管、成品保护、保管等与工程有关的各项费用，合同当事人可以在专用合同条款中另行约定发包人逾期接收工程的违约责任。</w:t>
      </w:r>
    </w:p>
    <w:p w14:paraId="4FBB8A4F">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承包人无正当理由不移交工程的，承包人应承担工程照管、成品保护、保管等与工程有关的各项费用，合同当事人可以在专用合同条款中另行约定承包人无正当理由不移交工程的违约责任。</w:t>
      </w:r>
      <w:bookmarkStart w:id="1248" w:name="_Toc351203589"/>
      <w:bookmarkStart w:id="1249" w:name="_Toc296346612"/>
      <w:bookmarkStart w:id="1250" w:name="_Toc337558807"/>
      <w:bookmarkStart w:id="1251" w:name="_Toc296503111"/>
    </w:p>
    <w:p w14:paraId="7E893E73">
      <w:pPr>
        <w:spacing w:line="576" w:lineRule="exact"/>
        <w:ind w:firstLine="640" w:firstLineChars="200"/>
        <w:jc w:val="both"/>
        <w:outlineLvl w:val="2"/>
        <w:rPr>
          <w:rFonts w:hint="eastAsia" w:ascii="仿宋_GB2312" w:hAnsi="仿宋_GB2312" w:eastAsia="仿宋_GB2312" w:cs="仿宋_GB2312"/>
          <w:color w:val="auto"/>
          <w:sz w:val="32"/>
          <w:szCs w:val="32"/>
          <w:highlight w:val="none"/>
        </w:rPr>
      </w:pPr>
      <w:bookmarkStart w:id="1252" w:name="_Toc18003"/>
      <w:bookmarkStart w:id="1253" w:name="_Toc10480"/>
      <w:bookmarkStart w:id="1254" w:name="_Toc16770"/>
      <w:bookmarkStart w:id="1255" w:name="_Toc22051"/>
      <w:bookmarkStart w:id="1256" w:name="_Toc12933"/>
      <w:bookmarkStart w:id="1257" w:name="_Toc10695"/>
      <w:bookmarkStart w:id="1258" w:name="_Toc21709"/>
      <w:bookmarkStart w:id="1259" w:name="_Toc26652"/>
      <w:r>
        <w:rPr>
          <w:rFonts w:hint="eastAsia" w:ascii="仿宋_GB2312" w:hAnsi="仿宋_GB2312" w:eastAsia="仿宋_GB2312" w:cs="仿宋_GB2312"/>
          <w:color w:val="auto"/>
          <w:sz w:val="32"/>
          <w:szCs w:val="32"/>
          <w:highlight w:val="none"/>
        </w:rPr>
        <w:t>13.3工程试</w:t>
      </w:r>
      <w:bookmarkEnd w:id="1248"/>
      <w:r>
        <w:rPr>
          <w:rFonts w:hint="eastAsia" w:ascii="仿宋_GB2312" w:hAnsi="仿宋_GB2312" w:eastAsia="仿宋_GB2312" w:cs="仿宋_GB2312"/>
          <w:color w:val="auto"/>
          <w:sz w:val="32"/>
          <w:szCs w:val="32"/>
          <w:highlight w:val="none"/>
        </w:rPr>
        <w:t>车</w:t>
      </w:r>
      <w:bookmarkEnd w:id="1249"/>
      <w:bookmarkEnd w:id="1250"/>
      <w:bookmarkEnd w:id="1251"/>
      <w:bookmarkEnd w:id="1252"/>
      <w:bookmarkEnd w:id="1253"/>
      <w:bookmarkEnd w:id="1254"/>
      <w:bookmarkEnd w:id="1255"/>
      <w:bookmarkEnd w:id="1256"/>
      <w:bookmarkEnd w:id="1257"/>
      <w:bookmarkEnd w:id="1258"/>
      <w:bookmarkEnd w:id="1259"/>
    </w:p>
    <w:p w14:paraId="2E1A6F6F">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13.3.1试车程序</w:t>
      </w:r>
    </w:p>
    <w:p w14:paraId="70386867">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工程需要试车的，除专用合同条款另有约定外，试车内容应与承包人承包范围相一致，试车费用由承包人承担。工程试车应按如下程序进行：</w:t>
      </w:r>
    </w:p>
    <w:p w14:paraId="29C43699">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具备单机无负荷试车条件，承包人组织试车，并在试车前48小时书面通知监理人，通知中应载明试车内容、时间、地点。承包人准备试车记录，发包人根据承包人要求为试车提供必要条件。试车合格的，监理人在试车记录上签字。监理人在试车合格后不在试车记录上签字，自试车结束满24小时后视为监理人已经认可试车记录，承包人可继续施工或办理竣工验收手续。</w:t>
      </w:r>
    </w:p>
    <w:p w14:paraId="1D1CABA3">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监理人不能按时参加试车，应在试车前24小时以书面形式向承包人提出延期要求，但延期不能超过48小时，由此导致工期延误的，工期应予以顺延。监理人未能在前述期限内提出延期要求，又不参加试车的，视为认可试车记录。</w:t>
      </w:r>
    </w:p>
    <w:p w14:paraId="6FD28FE0">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2）具备无负荷联动试车条件，发包人组织试车，并在试车前48小时以书面形式通知承包人。通知中应载明试车内容、时间、地点和对承包人的要求，承包人按要求做好准备工作。试车合格，合同当事人在试车记录上签字。承包人无正当理由不参加试车的，视为认可试车记录。</w:t>
      </w:r>
    </w:p>
    <w:p w14:paraId="190CB8FA">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13.3.2 试车中的责任</w:t>
      </w:r>
    </w:p>
    <w:p w14:paraId="6D5E7F69">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因设计原因导致试车达不到验收要求，发包人应要求设计人修改设计，承包人按修改后的设计重新安装。发包人承担修改设计、拆除及重新安装的全部费用，工期相应顺延。因承包人原因导致试车达不到验收要求，承包人按监理人要求重新安装和试车，并承担重新安装和试车的费用，工期不予顺延。</w:t>
      </w:r>
    </w:p>
    <w:p w14:paraId="3042760A">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因工程设备制造原因导致试车达不到验收要求的，由采购该工程设备的合同当事人负责重新购置或修理，承包人负责拆除和重新安装，由此增加的修理、重新购置、拆除及重新安装的费用及延误的工期由采购该工程设备的合同当事人承担。</w:t>
      </w:r>
    </w:p>
    <w:p w14:paraId="646031B0">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13.3.3 投料试车</w:t>
      </w:r>
    </w:p>
    <w:p w14:paraId="7256AC03">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如需进行投料试车的，发包人应在工程竣工验收后组织投料试车。发包人要求在工程竣工验收前进行或需要承包人配合时，应征得承包人同意，并在专用合同条款中约定有关事项。</w:t>
      </w:r>
    </w:p>
    <w:p w14:paraId="274EAD99">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投料试车合格的，费用由发包人承担；因承包人原因造成投料试车不合格的，承包人应按照发包人要求进行整改，由此产生的整改费用由承包人承担；非因承包人原因导致投料试车不合格的，如发包人要求承包人进行整改的，由此产生的费用由发包人承担。</w:t>
      </w:r>
      <w:bookmarkStart w:id="1260" w:name="_Toc351203590"/>
      <w:bookmarkStart w:id="1261" w:name="_Toc337558808"/>
    </w:p>
    <w:p w14:paraId="3040E61D">
      <w:pPr>
        <w:snapToGrid/>
        <w:spacing w:before="0" w:after="0" w:line="576" w:lineRule="exact"/>
        <w:jc w:val="both"/>
        <w:outlineLvl w:val="2"/>
        <w:rPr>
          <w:rFonts w:hint="eastAsia" w:ascii="仿宋_GB2312" w:hAnsi="仿宋_GB2312" w:eastAsia="仿宋_GB2312" w:cs="仿宋_GB2312"/>
          <w:b/>
          <w:color w:val="auto"/>
          <w:sz w:val="32"/>
          <w:szCs w:val="32"/>
          <w:highlight w:val="none"/>
        </w:rPr>
      </w:pPr>
      <w:bookmarkStart w:id="1262" w:name="_Toc26997"/>
      <w:bookmarkStart w:id="1263" w:name="_Toc23128"/>
      <w:bookmarkStart w:id="1264" w:name="_Toc28265"/>
      <w:bookmarkStart w:id="1265" w:name="_Toc8477"/>
      <w:bookmarkStart w:id="1266" w:name="_Toc23320"/>
      <w:bookmarkStart w:id="1267" w:name="_Toc13535"/>
      <w:bookmarkStart w:id="1268" w:name="_Toc28953"/>
      <w:bookmarkStart w:id="1269" w:name="_Toc8767"/>
      <w:r>
        <w:rPr>
          <w:rFonts w:hint="eastAsia" w:ascii="仿宋_GB2312" w:hAnsi="仿宋_GB2312" w:eastAsia="仿宋_GB2312" w:cs="仿宋_GB2312"/>
          <w:bCs w:val="0"/>
          <w:color w:val="auto"/>
          <w:sz w:val="32"/>
          <w:szCs w:val="32"/>
          <w:highlight w:val="none"/>
        </w:rPr>
        <w:t>13.4提前交付单位工程的验</w:t>
      </w:r>
      <w:bookmarkEnd w:id="1260"/>
      <w:r>
        <w:rPr>
          <w:rFonts w:hint="eastAsia" w:ascii="仿宋_GB2312" w:hAnsi="仿宋_GB2312" w:eastAsia="仿宋_GB2312" w:cs="仿宋_GB2312"/>
          <w:bCs w:val="0"/>
          <w:color w:val="auto"/>
          <w:sz w:val="32"/>
          <w:szCs w:val="32"/>
          <w:highlight w:val="none"/>
        </w:rPr>
        <w:t>收</w:t>
      </w:r>
      <w:bookmarkEnd w:id="1261"/>
      <w:bookmarkEnd w:id="1262"/>
      <w:bookmarkEnd w:id="1263"/>
      <w:bookmarkEnd w:id="1264"/>
      <w:bookmarkEnd w:id="1265"/>
      <w:bookmarkEnd w:id="1266"/>
      <w:bookmarkEnd w:id="1267"/>
      <w:bookmarkEnd w:id="1268"/>
      <w:bookmarkEnd w:id="1269"/>
    </w:p>
    <w:p w14:paraId="381552EA">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13.4.1 发包人需要在工程竣工前使用单位工程的，或承包人提出提前交付已经竣工的单位工程且经发包人同意的，可进行单位工程验收，验收的程序按照第13.2款〔竣工验收〕的约定进行。</w:t>
      </w:r>
    </w:p>
    <w:p w14:paraId="34BE74F3">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验收合格后，由监理人向承包人出具经发包人签认的单位工程接收证书。已签发单位工程接收证书的单位工程由发包人负责照管。单位工程的验收成果和结论作为整体工程竣工验收申请报告的附件。</w:t>
      </w:r>
    </w:p>
    <w:p w14:paraId="3A044876">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13.4.2 发包人要求在工程竣工前交付单位工程，由此导致承包人费用增加和（或）工期延误的，由发包人承担由此增加的费用和（或）延误的工期，并支付承包人合理的利润。</w:t>
      </w:r>
      <w:bookmarkStart w:id="1270" w:name="_Toc351203591"/>
    </w:p>
    <w:p w14:paraId="2F15AA07">
      <w:pPr>
        <w:snapToGrid/>
        <w:spacing w:before="0" w:after="0" w:line="576" w:lineRule="exact"/>
        <w:ind w:firstLine="640" w:firstLineChars="200"/>
        <w:jc w:val="both"/>
        <w:outlineLvl w:val="2"/>
        <w:rPr>
          <w:rFonts w:hint="eastAsia" w:ascii="仿宋_GB2312" w:hAnsi="仿宋_GB2312" w:eastAsia="仿宋_GB2312" w:cs="仿宋_GB2312"/>
          <w:b/>
          <w:color w:val="auto"/>
          <w:sz w:val="32"/>
          <w:szCs w:val="32"/>
          <w:highlight w:val="none"/>
        </w:rPr>
      </w:pPr>
      <w:bookmarkStart w:id="1271" w:name="_Toc9230"/>
      <w:bookmarkStart w:id="1272" w:name="_Toc21064"/>
      <w:bookmarkStart w:id="1273" w:name="_Toc26359"/>
      <w:bookmarkStart w:id="1274" w:name="_Toc14856"/>
      <w:bookmarkStart w:id="1275" w:name="_Toc10596"/>
      <w:bookmarkStart w:id="1276" w:name="_Toc21820"/>
      <w:bookmarkStart w:id="1277" w:name="_Toc18485"/>
      <w:bookmarkStart w:id="1278" w:name="_Toc3006"/>
      <w:r>
        <w:rPr>
          <w:rFonts w:hint="eastAsia" w:ascii="仿宋_GB2312" w:hAnsi="仿宋_GB2312" w:eastAsia="仿宋_GB2312" w:cs="仿宋_GB2312"/>
          <w:bCs w:val="0"/>
          <w:color w:val="auto"/>
          <w:sz w:val="32"/>
          <w:szCs w:val="32"/>
          <w:highlight w:val="none"/>
        </w:rPr>
        <w:t>13.5 施工期运</w:t>
      </w:r>
      <w:bookmarkEnd w:id="1270"/>
      <w:r>
        <w:rPr>
          <w:rFonts w:hint="eastAsia" w:ascii="仿宋_GB2312" w:hAnsi="仿宋_GB2312" w:eastAsia="仿宋_GB2312" w:cs="仿宋_GB2312"/>
          <w:bCs w:val="0"/>
          <w:color w:val="auto"/>
          <w:sz w:val="32"/>
          <w:szCs w:val="32"/>
          <w:highlight w:val="none"/>
        </w:rPr>
        <w:t>行</w:t>
      </w:r>
      <w:bookmarkEnd w:id="1271"/>
      <w:bookmarkEnd w:id="1272"/>
      <w:bookmarkEnd w:id="1273"/>
      <w:bookmarkEnd w:id="1274"/>
      <w:bookmarkEnd w:id="1275"/>
      <w:bookmarkEnd w:id="1276"/>
      <w:bookmarkEnd w:id="1277"/>
      <w:bookmarkEnd w:id="1278"/>
    </w:p>
    <w:p w14:paraId="6F43220D">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13.5.1 施工期运行是指合同工程尚未全部竣工，其中某项或某几项单位工程或工程设备安装已竣工，根据专用合同条款约定，需要投入施工期运行的，经发包人按第13.4款〔提前交付单位工程的验收〕的约定验收合格，证明能确保安全后，才能在施工期投入运行。</w:t>
      </w:r>
    </w:p>
    <w:p w14:paraId="4751768C">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13.5.2 在施工期运行中发现工程或工程设备损坏或存在缺陷的，由承包人按第15.2款〔缺陷责任期〕约定进行修复。</w:t>
      </w:r>
      <w:bookmarkStart w:id="1279" w:name="_Toc296503112"/>
      <w:bookmarkStart w:id="1280" w:name="_Toc296346613"/>
      <w:bookmarkStart w:id="1281" w:name="_Toc351203592"/>
      <w:bookmarkStart w:id="1282" w:name="_Toc337558809"/>
    </w:p>
    <w:p w14:paraId="69FB14D7">
      <w:pPr>
        <w:snapToGrid/>
        <w:spacing w:before="0" w:after="0" w:line="576" w:lineRule="exact"/>
        <w:ind w:firstLine="640" w:firstLineChars="200"/>
        <w:jc w:val="both"/>
        <w:outlineLvl w:val="2"/>
        <w:rPr>
          <w:rFonts w:hint="eastAsia" w:ascii="仿宋_GB2312" w:hAnsi="仿宋_GB2312" w:eastAsia="仿宋_GB2312" w:cs="仿宋_GB2312"/>
          <w:b/>
          <w:color w:val="auto"/>
          <w:sz w:val="32"/>
          <w:szCs w:val="32"/>
          <w:highlight w:val="none"/>
        </w:rPr>
      </w:pPr>
      <w:bookmarkStart w:id="1283" w:name="_Toc4013"/>
      <w:bookmarkStart w:id="1284" w:name="_Toc11464"/>
      <w:bookmarkStart w:id="1285" w:name="_Toc1407"/>
      <w:bookmarkStart w:id="1286" w:name="_Toc5901"/>
      <w:bookmarkStart w:id="1287" w:name="_Toc26353"/>
      <w:bookmarkStart w:id="1288" w:name="_Toc31598"/>
      <w:bookmarkStart w:id="1289" w:name="_Toc30855"/>
      <w:bookmarkStart w:id="1290" w:name="_Toc24373"/>
      <w:r>
        <w:rPr>
          <w:rFonts w:hint="eastAsia" w:ascii="仿宋_GB2312" w:hAnsi="仿宋_GB2312" w:eastAsia="仿宋_GB2312" w:cs="仿宋_GB2312"/>
          <w:bCs w:val="0"/>
          <w:color w:val="auto"/>
          <w:sz w:val="32"/>
          <w:szCs w:val="32"/>
          <w:highlight w:val="none"/>
        </w:rPr>
        <w:t>13.6 竣工</w:t>
      </w:r>
      <w:bookmarkEnd w:id="1279"/>
      <w:bookmarkEnd w:id="1280"/>
      <w:r>
        <w:rPr>
          <w:rFonts w:hint="eastAsia" w:ascii="仿宋_GB2312" w:hAnsi="仿宋_GB2312" w:eastAsia="仿宋_GB2312" w:cs="仿宋_GB2312"/>
          <w:bCs w:val="0"/>
          <w:color w:val="auto"/>
          <w:sz w:val="32"/>
          <w:szCs w:val="32"/>
          <w:highlight w:val="none"/>
        </w:rPr>
        <w:t>退</w:t>
      </w:r>
      <w:bookmarkEnd w:id="1281"/>
      <w:r>
        <w:rPr>
          <w:rFonts w:hint="eastAsia" w:ascii="仿宋_GB2312" w:hAnsi="仿宋_GB2312" w:eastAsia="仿宋_GB2312" w:cs="仿宋_GB2312"/>
          <w:bCs w:val="0"/>
          <w:color w:val="auto"/>
          <w:sz w:val="32"/>
          <w:szCs w:val="32"/>
          <w:highlight w:val="none"/>
        </w:rPr>
        <w:t>场</w:t>
      </w:r>
      <w:bookmarkEnd w:id="1282"/>
      <w:bookmarkEnd w:id="1283"/>
      <w:bookmarkEnd w:id="1284"/>
      <w:bookmarkEnd w:id="1285"/>
      <w:bookmarkEnd w:id="1286"/>
      <w:bookmarkEnd w:id="1287"/>
      <w:bookmarkEnd w:id="1288"/>
      <w:bookmarkEnd w:id="1289"/>
      <w:bookmarkEnd w:id="1290"/>
    </w:p>
    <w:p w14:paraId="12FE97D1">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13.6.1 竣工退场</w:t>
      </w:r>
    </w:p>
    <w:p w14:paraId="1538D632">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颁发工程接收证书后，承包人应按以下要求对施工现场进行清理：</w:t>
      </w:r>
    </w:p>
    <w:p w14:paraId="0392116A">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（1）施工现场内残留的垃圾已全部清除出场；</w:t>
      </w:r>
    </w:p>
    <w:p w14:paraId="7E809DB0">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（2）临时工程已拆除，场地已进行清理、平整或复原；</w:t>
      </w:r>
    </w:p>
    <w:p w14:paraId="6B6E462C">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（3）按合同约定应撤离的人员、承包人施工设备和剩余的材料，包括废弃的施工设备和材料，已按计划撤离施工现场；</w:t>
      </w:r>
    </w:p>
    <w:p w14:paraId="316BC9E0">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（4）施工现场周边及其附近道路、河道的施工堆积物，已全部清理；</w:t>
      </w:r>
    </w:p>
    <w:p w14:paraId="06A51892">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（5）施工现场其他场地清理工作已全部完成。</w:t>
      </w:r>
    </w:p>
    <w:p w14:paraId="5F644D24">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施工现场的竣工退场费用由承包人承担。承包人应在专用合同条款约定的期限内完成竣工退场，逾期未完成的，发包人有权出售或另行处理承包人遗留的物品，由此支出的费用由承包人承担，发包人出售承包人遗留物品所得款项在扣除必要费用后应返还承包人。</w:t>
      </w:r>
    </w:p>
    <w:p w14:paraId="5B875640">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13.6.2 地表还原</w:t>
      </w:r>
    </w:p>
    <w:p w14:paraId="2F29FF89">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承包人应按发包人要求恢复临时占地及清理场地，承包人未按发包人的要求恢复临时占地，或者场地清理未达到合同约定要求的，发包人有权委托其他人恢复或清理，所发生的费用由承包人承担。</w:t>
      </w:r>
      <w:bookmarkStart w:id="1291" w:name="_Toc351203593"/>
      <w:bookmarkStart w:id="1292" w:name="_Toc337558810"/>
      <w:bookmarkStart w:id="1293" w:name="_Toc296346614"/>
      <w:bookmarkStart w:id="1294" w:name="_Toc296503113"/>
    </w:p>
    <w:p w14:paraId="628C7B39">
      <w:pPr>
        <w:spacing w:line="576" w:lineRule="exact"/>
        <w:jc w:val="both"/>
        <w:outlineLvl w:val="1"/>
        <w:rPr>
          <w:rFonts w:hint="eastAsia" w:ascii="仿宋_GB2312" w:hAnsi="仿宋_GB2312" w:eastAsia="仿宋_GB2312" w:cs="仿宋_GB2312"/>
          <w:color w:val="auto"/>
          <w:sz w:val="32"/>
          <w:szCs w:val="32"/>
          <w:highlight w:val="none"/>
        </w:rPr>
      </w:pPr>
      <w:bookmarkStart w:id="1295" w:name="_Toc12493"/>
      <w:bookmarkStart w:id="1296" w:name="_Toc25680"/>
      <w:bookmarkStart w:id="1297" w:name="_Toc14252"/>
      <w:bookmarkStart w:id="1298" w:name="_Toc19667"/>
      <w:bookmarkStart w:id="1299" w:name="_Toc11544"/>
      <w:bookmarkStart w:id="1300" w:name="_Toc7461"/>
      <w:bookmarkStart w:id="1301" w:name="_Toc7741"/>
      <w:bookmarkStart w:id="1302" w:name="_Toc31352"/>
      <w:bookmarkStart w:id="1303" w:name="_Toc2171"/>
      <w:bookmarkStart w:id="1304" w:name="_Toc22065"/>
      <w:r>
        <w:rPr>
          <w:rFonts w:hint="eastAsia" w:ascii="仿宋_GB2312" w:hAnsi="仿宋_GB2312" w:eastAsia="仿宋_GB2312" w:cs="仿宋_GB2312"/>
          <w:color w:val="auto"/>
          <w:sz w:val="32"/>
          <w:szCs w:val="32"/>
          <w:highlight w:val="none"/>
        </w:rPr>
        <w:t>14. 竣工结</w:t>
      </w:r>
      <w:bookmarkEnd w:id="1291"/>
      <w:r>
        <w:rPr>
          <w:rFonts w:hint="eastAsia" w:ascii="仿宋_GB2312" w:hAnsi="仿宋_GB2312" w:eastAsia="仿宋_GB2312" w:cs="仿宋_GB2312"/>
          <w:color w:val="auto"/>
          <w:sz w:val="32"/>
          <w:szCs w:val="32"/>
          <w:highlight w:val="none"/>
        </w:rPr>
        <w:t>算</w:t>
      </w:r>
      <w:bookmarkEnd w:id="1292"/>
      <w:bookmarkEnd w:id="1295"/>
      <w:bookmarkEnd w:id="1296"/>
      <w:bookmarkEnd w:id="1297"/>
      <w:bookmarkEnd w:id="1298"/>
      <w:bookmarkEnd w:id="1299"/>
      <w:bookmarkEnd w:id="1300"/>
      <w:bookmarkEnd w:id="1301"/>
      <w:bookmarkEnd w:id="1302"/>
      <w:bookmarkEnd w:id="1303"/>
      <w:bookmarkEnd w:id="1304"/>
      <w:bookmarkStart w:id="1305" w:name="_Toc351203594"/>
      <w:bookmarkStart w:id="1306" w:name="_Toc337558811"/>
    </w:p>
    <w:p w14:paraId="3CA2FEB6">
      <w:pPr>
        <w:snapToGrid/>
        <w:spacing w:before="0" w:after="0" w:line="576" w:lineRule="exact"/>
        <w:ind w:firstLine="640" w:firstLineChars="200"/>
        <w:jc w:val="both"/>
        <w:outlineLvl w:val="2"/>
        <w:rPr>
          <w:rFonts w:hint="eastAsia" w:ascii="仿宋_GB2312" w:hAnsi="仿宋_GB2312" w:eastAsia="仿宋_GB2312" w:cs="仿宋_GB2312"/>
          <w:b/>
          <w:color w:val="auto"/>
          <w:sz w:val="32"/>
          <w:szCs w:val="32"/>
          <w:highlight w:val="none"/>
        </w:rPr>
      </w:pPr>
      <w:bookmarkStart w:id="1307" w:name="_Toc20680"/>
      <w:bookmarkStart w:id="1308" w:name="_Toc23194"/>
      <w:bookmarkStart w:id="1309" w:name="_Toc10028"/>
      <w:bookmarkStart w:id="1310" w:name="_Toc9445"/>
      <w:bookmarkStart w:id="1311" w:name="_Toc1935"/>
      <w:bookmarkStart w:id="1312" w:name="_Toc5686"/>
      <w:bookmarkStart w:id="1313" w:name="_Toc19395"/>
      <w:bookmarkStart w:id="1314" w:name="_Toc2719"/>
      <w:r>
        <w:rPr>
          <w:rFonts w:hint="eastAsia" w:ascii="仿宋_GB2312" w:hAnsi="仿宋_GB2312" w:eastAsia="仿宋_GB2312" w:cs="仿宋_GB2312"/>
          <w:bCs w:val="0"/>
          <w:color w:val="auto"/>
          <w:sz w:val="32"/>
          <w:szCs w:val="32"/>
          <w:highlight w:val="none"/>
        </w:rPr>
        <w:t>14.1 竣工结算申</w:t>
      </w:r>
      <w:bookmarkEnd w:id="1305"/>
      <w:r>
        <w:rPr>
          <w:rFonts w:hint="eastAsia" w:ascii="仿宋_GB2312" w:hAnsi="仿宋_GB2312" w:eastAsia="仿宋_GB2312" w:cs="仿宋_GB2312"/>
          <w:bCs w:val="0"/>
          <w:color w:val="auto"/>
          <w:sz w:val="32"/>
          <w:szCs w:val="32"/>
          <w:highlight w:val="none"/>
        </w:rPr>
        <w:t>请</w:t>
      </w:r>
      <w:bookmarkEnd w:id="1306"/>
      <w:bookmarkEnd w:id="1307"/>
      <w:bookmarkEnd w:id="1308"/>
      <w:bookmarkEnd w:id="1309"/>
      <w:bookmarkEnd w:id="1310"/>
      <w:bookmarkEnd w:id="1311"/>
      <w:bookmarkEnd w:id="1312"/>
      <w:bookmarkEnd w:id="1313"/>
      <w:bookmarkEnd w:id="1314"/>
    </w:p>
    <w:p w14:paraId="5DFB852B">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kern w:val="0"/>
          <w:sz w:val="32"/>
          <w:szCs w:val="32"/>
          <w:highlight w:val="none"/>
        </w:rPr>
        <w:t>除专用合同条款另有约定外，</w:t>
      </w:r>
      <w:r>
        <w:rPr>
          <w:rFonts w:hint="eastAsia" w:ascii="仿宋_GB2312" w:hAnsi="仿宋_GB2312" w:eastAsia="仿宋_GB2312" w:cs="仿宋_GB2312"/>
          <w:color w:val="auto"/>
          <w:sz w:val="32"/>
          <w:szCs w:val="32"/>
          <w:highlight w:val="none"/>
        </w:rPr>
        <w:t>承包人应在工程竣工验收合格后28天内向发包人和监理人提交竣工结算申请单，并提交完整的结算资料，有关竣工结算申请单的资料清单和份数等要求由合同当事人在专用合同条款中约定。</w:t>
      </w:r>
    </w:p>
    <w:p w14:paraId="3565979A">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除专用合同条款另有约定外，竣工结算申请单应包括以下内容：</w:t>
      </w:r>
    </w:p>
    <w:p w14:paraId="098DC708">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（1）竣工结算合同价格；</w:t>
      </w:r>
    </w:p>
    <w:p w14:paraId="6F372268">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（2）发包人已支付承包人的款项；</w:t>
      </w:r>
    </w:p>
    <w:p w14:paraId="05A41890">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（3）应扣留的质量保证金。已缴纳履约保证金的或提供其他工程质量担保方式的除外； </w:t>
      </w:r>
    </w:p>
    <w:p w14:paraId="494C123C">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（4）发包人应支付承包人的合同价款。</w:t>
      </w:r>
      <w:bookmarkStart w:id="1315" w:name="_Toc351203595"/>
      <w:bookmarkStart w:id="1316" w:name="_Toc337558812"/>
    </w:p>
    <w:p w14:paraId="1EF3182F">
      <w:pPr>
        <w:snapToGrid/>
        <w:spacing w:before="0" w:after="0" w:line="576" w:lineRule="exact"/>
        <w:ind w:firstLine="640" w:firstLineChars="200"/>
        <w:jc w:val="both"/>
        <w:outlineLvl w:val="2"/>
        <w:rPr>
          <w:rFonts w:hint="eastAsia" w:ascii="仿宋_GB2312" w:hAnsi="仿宋_GB2312" w:eastAsia="仿宋_GB2312" w:cs="仿宋_GB2312"/>
          <w:b/>
          <w:color w:val="auto"/>
          <w:sz w:val="32"/>
          <w:szCs w:val="32"/>
          <w:highlight w:val="none"/>
        </w:rPr>
      </w:pPr>
      <w:bookmarkStart w:id="1317" w:name="_Toc5511"/>
      <w:bookmarkStart w:id="1318" w:name="_Toc28072"/>
      <w:bookmarkStart w:id="1319" w:name="_Toc6980"/>
      <w:bookmarkStart w:id="1320" w:name="_Toc7856"/>
      <w:bookmarkStart w:id="1321" w:name="_Toc2813"/>
      <w:bookmarkStart w:id="1322" w:name="_Toc12395"/>
      <w:bookmarkStart w:id="1323" w:name="_Toc17201"/>
      <w:bookmarkStart w:id="1324" w:name="_Toc13299"/>
      <w:r>
        <w:rPr>
          <w:rFonts w:hint="eastAsia" w:ascii="仿宋_GB2312" w:hAnsi="仿宋_GB2312" w:eastAsia="仿宋_GB2312" w:cs="仿宋_GB2312"/>
          <w:bCs w:val="0"/>
          <w:color w:val="auto"/>
          <w:sz w:val="32"/>
          <w:szCs w:val="32"/>
          <w:highlight w:val="none"/>
        </w:rPr>
        <w:t>14.2 竣工结算审</w:t>
      </w:r>
      <w:bookmarkEnd w:id="1315"/>
      <w:r>
        <w:rPr>
          <w:rFonts w:hint="eastAsia" w:ascii="仿宋_GB2312" w:hAnsi="仿宋_GB2312" w:eastAsia="仿宋_GB2312" w:cs="仿宋_GB2312"/>
          <w:bCs w:val="0"/>
          <w:color w:val="auto"/>
          <w:sz w:val="32"/>
          <w:szCs w:val="32"/>
          <w:highlight w:val="none"/>
        </w:rPr>
        <w:t>核</w:t>
      </w:r>
      <w:bookmarkEnd w:id="1316"/>
      <w:bookmarkEnd w:id="1317"/>
      <w:bookmarkEnd w:id="1318"/>
      <w:bookmarkEnd w:id="1319"/>
      <w:bookmarkEnd w:id="1320"/>
      <w:bookmarkEnd w:id="1321"/>
      <w:bookmarkEnd w:id="1322"/>
      <w:bookmarkEnd w:id="1323"/>
      <w:bookmarkEnd w:id="1324"/>
    </w:p>
    <w:p w14:paraId="4463009D">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除专用合同条款另有约定外，监理人应在收到竣工结算申请单后14天内完成核查并报送发包人。发包人应在收到监理人提交的经审核的竣工结算申请单后14天内完成审批，并由监理人向承包人签发经发包人签认的竣工付款证书。监理人或</w:t>
      </w:r>
      <w:r>
        <w:rPr>
          <w:rFonts w:hint="eastAsia" w:ascii="仿宋_GB2312" w:hAnsi="仿宋_GB2312" w:eastAsia="仿宋_GB2312" w:cs="仿宋_GB2312"/>
          <w:color w:val="auto"/>
          <w:sz w:val="32"/>
          <w:szCs w:val="32"/>
          <w:highlight w:val="none"/>
        </w:rPr>
        <w:t>发包人对竣工</w:t>
      </w:r>
      <w:r>
        <w:rPr>
          <w:rFonts w:hint="eastAsia" w:ascii="仿宋_GB2312" w:hAnsi="仿宋_GB2312" w:eastAsia="仿宋_GB2312" w:cs="仿宋_GB2312"/>
          <w:color w:val="auto"/>
          <w:kern w:val="0"/>
          <w:sz w:val="32"/>
          <w:szCs w:val="32"/>
          <w:highlight w:val="none"/>
        </w:rPr>
        <w:t>结算</w:t>
      </w:r>
      <w:r>
        <w:rPr>
          <w:rFonts w:hint="eastAsia" w:ascii="仿宋_GB2312" w:hAnsi="仿宋_GB2312" w:eastAsia="仿宋_GB2312" w:cs="仿宋_GB2312"/>
          <w:color w:val="auto"/>
          <w:sz w:val="32"/>
          <w:szCs w:val="32"/>
          <w:highlight w:val="none"/>
        </w:rPr>
        <w:t>申请单有异议的，有权要求承包人进行修正和提供补充资料，承包人应提交修正后的竣工</w:t>
      </w:r>
      <w:r>
        <w:rPr>
          <w:rFonts w:hint="eastAsia" w:ascii="仿宋_GB2312" w:hAnsi="仿宋_GB2312" w:eastAsia="仿宋_GB2312" w:cs="仿宋_GB2312"/>
          <w:color w:val="auto"/>
          <w:kern w:val="0"/>
          <w:sz w:val="32"/>
          <w:szCs w:val="32"/>
          <w:highlight w:val="none"/>
        </w:rPr>
        <w:t>结算</w:t>
      </w:r>
      <w:r>
        <w:rPr>
          <w:rFonts w:hint="eastAsia" w:ascii="仿宋_GB2312" w:hAnsi="仿宋_GB2312" w:eastAsia="仿宋_GB2312" w:cs="仿宋_GB2312"/>
          <w:color w:val="auto"/>
          <w:sz w:val="32"/>
          <w:szCs w:val="32"/>
          <w:highlight w:val="none"/>
        </w:rPr>
        <w:t>申请单。</w:t>
      </w:r>
    </w:p>
    <w:p w14:paraId="46F1F042">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发包人在收到承包人提交竣工结算申请书后28天内未完成审批且未提出异议的，视为发包人认可承包人提交的竣工结算申请单，并自发包人收到承包人提交的竣工结算申请单后第29天起视为已签发竣工付款证书。</w:t>
      </w:r>
    </w:p>
    <w:p w14:paraId="2CD4DCC1">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（2）除专用合同条款另有约定外，发包人应在签发竣工付款证书后的14 天内，完成对承包人的竣工付款。发包人逾期支付的，按照中国人民银行发布的同期同类贷款基准利率支付违约金。</w:t>
      </w:r>
    </w:p>
    <w:p w14:paraId="11966EB7">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3）承包人对发包人签认的竣工付款证书有异议的，对于有异议部分应在收到发包人签认的竣工付款证书后7天内提出异议，并由合同当事人按照专用合同条款约定的方式和程序进行复核，或按照第20条〔争议解决〕约定处理。对于无异议部分，发包人应签发临时竣工付款证书，并按本款第（2）项完成付款。承包人逾期未提出异议的，视为认可发包人的审批结果。</w:t>
      </w:r>
      <w:bookmarkStart w:id="1325" w:name="_Toc351203596"/>
      <w:bookmarkStart w:id="1326" w:name="_Toc337558813"/>
    </w:p>
    <w:p w14:paraId="331DE5A1">
      <w:pPr>
        <w:snapToGrid/>
        <w:spacing w:before="0" w:after="0" w:line="576" w:lineRule="exact"/>
        <w:ind w:firstLine="640" w:firstLineChars="200"/>
        <w:jc w:val="both"/>
        <w:outlineLvl w:val="2"/>
        <w:rPr>
          <w:rFonts w:hint="eastAsia" w:ascii="仿宋_GB2312" w:hAnsi="仿宋_GB2312" w:eastAsia="仿宋_GB2312" w:cs="仿宋_GB2312"/>
          <w:b/>
          <w:color w:val="auto"/>
          <w:sz w:val="32"/>
          <w:szCs w:val="32"/>
          <w:highlight w:val="none"/>
        </w:rPr>
      </w:pPr>
      <w:bookmarkStart w:id="1327" w:name="_Toc20532"/>
      <w:bookmarkStart w:id="1328" w:name="_Toc9401"/>
      <w:bookmarkStart w:id="1329" w:name="_Toc25124"/>
      <w:bookmarkStart w:id="1330" w:name="_Toc29650"/>
      <w:bookmarkStart w:id="1331" w:name="_Toc28133"/>
      <w:bookmarkStart w:id="1332" w:name="_Toc4905"/>
      <w:bookmarkStart w:id="1333" w:name="_Toc1050"/>
      <w:bookmarkStart w:id="1334" w:name="_Toc23870"/>
      <w:r>
        <w:rPr>
          <w:rFonts w:hint="eastAsia" w:ascii="仿宋_GB2312" w:hAnsi="仿宋_GB2312" w:eastAsia="仿宋_GB2312" w:cs="仿宋_GB2312"/>
          <w:bCs w:val="0"/>
          <w:color w:val="auto"/>
          <w:sz w:val="32"/>
          <w:szCs w:val="32"/>
          <w:highlight w:val="none"/>
        </w:rPr>
        <w:t>14.3 甩项竣工协</w:t>
      </w:r>
      <w:bookmarkEnd w:id="1325"/>
      <w:r>
        <w:rPr>
          <w:rFonts w:hint="eastAsia" w:ascii="仿宋_GB2312" w:hAnsi="仿宋_GB2312" w:eastAsia="仿宋_GB2312" w:cs="仿宋_GB2312"/>
          <w:bCs w:val="0"/>
          <w:color w:val="auto"/>
          <w:sz w:val="32"/>
          <w:szCs w:val="32"/>
          <w:highlight w:val="none"/>
        </w:rPr>
        <w:t>议</w:t>
      </w:r>
      <w:bookmarkEnd w:id="1326"/>
      <w:bookmarkEnd w:id="1327"/>
      <w:bookmarkEnd w:id="1328"/>
      <w:bookmarkEnd w:id="1329"/>
      <w:bookmarkEnd w:id="1330"/>
      <w:bookmarkEnd w:id="1331"/>
      <w:bookmarkEnd w:id="1332"/>
      <w:bookmarkEnd w:id="1333"/>
      <w:bookmarkEnd w:id="1334"/>
    </w:p>
    <w:p w14:paraId="0F32BD30">
      <w:pPr>
        <w:autoSpaceDE w:val="0"/>
        <w:autoSpaceDN w:val="0"/>
        <w:adjustRightInd/>
        <w:snapToGrid/>
        <w:spacing w:line="576" w:lineRule="exact"/>
        <w:ind w:firstLine="627" w:firstLineChars="196"/>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sz w:val="32"/>
          <w:szCs w:val="32"/>
          <w:highlight w:val="none"/>
        </w:rPr>
        <w:t>发包人要求甩项竣工的，合同当事人应签订甩项竣工协议。在甩项竣工协议中应明确，合同当事人按照第14.1款〔竣工结算申请〕及14.2款〔竣工结算审核〕的约定，对已完合格工程进行结算，并支付相应合同价款。</w:t>
      </w:r>
      <w:bookmarkStart w:id="1335" w:name="_Toc351203597"/>
      <w:bookmarkStart w:id="1336" w:name="_Toc337558814"/>
    </w:p>
    <w:p w14:paraId="104BA4D2">
      <w:pPr>
        <w:snapToGrid/>
        <w:spacing w:before="0" w:after="0" w:line="576" w:lineRule="exact"/>
        <w:ind w:firstLine="640" w:firstLineChars="200"/>
        <w:jc w:val="both"/>
        <w:outlineLvl w:val="2"/>
        <w:rPr>
          <w:rFonts w:hint="eastAsia" w:ascii="仿宋_GB2312" w:hAnsi="仿宋_GB2312" w:eastAsia="仿宋_GB2312" w:cs="仿宋_GB2312"/>
          <w:b/>
          <w:color w:val="auto"/>
          <w:sz w:val="32"/>
          <w:szCs w:val="32"/>
          <w:highlight w:val="none"/>
        </w:rPr>
      </w:pPr>
      <w:bookmarkStart w:id="1337" w:name="_Toc3392"/>
      <w:bookmarkStart w:id="1338" w:name="_Toc20715"/>
      <w:bookmarkStart w:id="1339" w:name="_Toc3611"/>
      <w:bookmarkStart w:id="1340" w:name="_Toc3338"/>
      <w:bookmarkStart w:id="1341" w:name="_Toc30770"/>
      <w:bookmarkStart w:id="1342" w:name="_Toc11963"/>
      <w:bookmarkStart w:id="1343" w:name="_Toc6306"/>
      <w:bookmarkStart w:id="1344" w:name="_Toc22892"/>
      <w:r>
        <w:rPr>
          <w:rFonts w:hint="eastAsia" w:ascii="仿宋_GB2312" w:hAnsi="仿宋_GB2312" w:eastAsia="仿宋_GB2312" w:cs="仿宋_GB2312"/>
          <w:bCs w:val="0"/>
          <w:color w:val="auto"/>
          <w:sz w:val="32"/>
          <w:szCs w:val="32"/>
          <w:highlight w:val="none"/>
        </w:rPr>
        <w:t>14.4 最终结</w:t>
      </w:r>
      <w:bookmarkEnd w:id="1335"/>
      <w:r>
        <w:rPr>
          <w:rFonts w:hint="eastAsia" w:ascii="仿宋_GB2312" w:hAnsi="仿宋_GB2312" w:eastAsia="仿宋_GB2312" w:cs="仿宋_GB2312"/>
          <w:bCs w:val="0"/>
          <w:color w:val="auto"/>
          <w:sz w:val="32"/>
          <w:szCs w:val="32"/>
          <w:highlight w:val="none"/>
        </w:rPr>
        <w:t>清</w:t>
      </w:r>
      <w:bookmarkEnd w:id="1336"/>
      <w:bookmarkEnd w:id="1337"/>
      <w:bookmarkEnd w:id="1338"/>
      <w:bookmarkEnd w:id="1339"/>
      <w:bookmarkEnd w:id="1340"/>
      <w:bookmarkEnd w:id="1341"/>
      <w:bookmarkEnd w:id="1342"/>
      <w:bookmarkEnd w:id="1343"/>
      <w:bookmarkEnd w:id="1344"/>
    </w:p>
    <w:p w14:paraId="6AEF2C29">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14.4.1 最终结清申请单</w:t>
      </w:r>
    </w:p>
    <w:p w14:paraId="16BEF52F">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（1）除专用合同条款另有约定外，承包人应在缺陷责任期终止证书颁发后7天内，按专用合同条款约定的份数向发包人提交最终结清申请单，并提供相关证明材料。</w:t>
      </w:r>
    </w:p>
    <w:p w14:paraId="168E173E">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除专用合同条款另有约定外，</w:t>
      </w:r>
      <w:r>
        <w:rPr>
          <w:rFonts w:hint="eastAsia" w:ascii="仿宋_GB2312" w:hAnsi="仿宋_GB2312" w:eastAsia="仿宋_GB2312" w:cs="仿宋_GB2312"/>
          <w:color w:val="auto"/>
          <w:kern w:val="0"/>
          <w:sz w:val="32"/>
          <w:szCs w:val="32"/>
          <w:highlight w:val="none"/>
        </w:rPr>
        <w:t>最终结清申请单</w:t>
      </w:r>
      <w:r>
        <w:rPr>
          <w:rFonts w:hint="eastAsia" w:ascii="仿宋_GB2312" w:hAnsi="仿宋_GB2312" w:eastAsia="仿宋_GB2312" w:cs="仿宋_GB2312"/>
          <w:color w:val="auto"/>
          <w:sz w:val="32"/>
          <w:szCs w:val="32"/>
          <w:highlight w:val="none"/>
        </w:rPr>
        <w:t>应列明质量保证金、应扣除的质量保证金、缺陷责任期内发生的增减费用。</w:t>
      </w:r>
    </w:p>
    <w:p w14:paraId="13885785">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（2）发包人对最终结清申请单内容有异议的，有权要求承包人进行修正和提供补充资料，承包人应向发包人提交修正后的最终结清申请单。</w:t>
      </w:r>
    </w:p>
    <w:p w14:paraId="5EEEFE8E">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14.4.2 最终结清证书和支付</w:t>
      </w:r>
    </w:p>
    <w:p w14:paraId="7BB972DE">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除专用合同条款另有约定外，发包人应在收到承包人提交的最终结清申请单后14天内完成审批并向承包人颁发最终结清证书。发包人逾期未完成审批，又未提出修改意见的，视为发包人同意承包人提交的最终结清申请单，且自发包人收到承包人提交的最终结清申请单后15天起视为已颁发最终结清证书。</w:t>
      </w:r>
    </w:p>
    <w:p w14:paraId="30DA52E0">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2）除专用合同条款另有约定外，发包人应在颁发最终结清证书后7天内完成支付。发包人逾期支付的，按照中国人民银行发布的同期同类贷款基准利率支付违约金；逾期支付超过56天的，按照中国人民银行发布的同期同类贷款基准利率的两倍支付违约金。</w:t>
      </w:r>
    </w:p>
    <w:p w14:paraId="3370C5D8">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（3）承包人对发包人颁发的最终结清证书有异议的，按第20条〔争议解决〕的约定办理。</w:t>
      </w:r>
      <w:bookmarkStart w:id="1345" w:name="_Toc351203598"/>
      <w:bookmarkStart w:id="1346" w:name="_Toc337558815"/>
    </w:p>
    <w:p w14:paraId="1DF51EA9">
      <w:pPr>
        <w:spacing w:line="576" w:lineRule="exact"/>
        <w:jc w:val="both"/>
        <w:outlineLvl w:val="1"/>
        <w:rPr>
          <w:rFonts w:hint="eastAsia" w:ascii="仿宋_GB2312" w:hAnsi="仿宋_GB2312" w:eastAsia="仿宋_GB2312" w:cs="仿宋_GB2312"/>
          <w:color w:val="auto"/>
          <w:sz w:val="32"/>
          <w:szCs w:val="32"/>
          <w:highlight w:val="none"/>
        </w:rPr>
      </w:pPr>
      <w:bookmarkStart w:id="1347" w:name="_Toc8411"/>
      <w:bookmarkStart w:id="1348" w:name="_Toc14933"/>
      <w:bookmarkStart w:id="1349" w:name="_Toc581"/>
      <w:bookmarkStart w:id="1350" w:name="_Toc7031"/>
      <w:bookmarkStart w:id="1351" w:name="_Toc24769"/>
      <w:bookmarkStart w:id="1352" w:name="_Toc4542"/>
      <w:bookmarkStart w:id="1353" w:name="_Toc21188"/>
      <w:bookmarkStart w:id="1354" w:name="_Toc32070"/>
      <w:bookmarkStart w:id="1355" w:name="_Toc18373"/>
      <w:bookmarkStart w:id="1356" w:name="_Toc12765"/>
      <w:r>
        <w:rPr>
          <w:rFonts w:hint="eastAsia" w:ascii="仿宋_GB2312" w:hAnsi="仿宋_GB2312" w:eastAsia="仿宋_GB2312" w:cs="仿宋_GB2312"/>
          <w:color w:val="auto"/>
          <w:sz w:val="32"/>
          <w:szCs w:val="32"/>
          <w:highlight w:val="none"/>
        </w:rPr>
        <w:t>15. 缺陷责任与保</w:t>
      </w:r>
      <w:bookmarkEnd w:id="1345"/>
      <w:r>
        <w:rPr>
          <w:rFonts w:hint="eastAsia" w:ascii="仿宋_GB2312" w:hAnsi="仿宋_GB2312" w:eastAsia="仿宋_GB2312" w:cs="仿宋_GB2312"/>
          <w:color w:val="auto"/>
          <w:sz w:val="32"/>
          <w:szCs w:val="32"/>
          <w:highlight w:val="none"/>
        </w:rPr>
        <w:t>修</w:t>
      </w:r>
      <w:bookmarkEnd w:id="1293"/>
      <w:bookmarkEnd w:id="1294"/>
      <w:bookmarkEnd w:id="1346"/>
      <w:bookmarkEnd w:id="1347"/>
      <w:bookmarkEnd w:id="1348"/>
      <w:bookmarkEnd w:id="1349"/>
      <w:bookmarkEnd w:id="1350"/>
      <w:bookmarkEnd w:id="1351"/>
      <w:bookmarkEnd w:id="1352"/>
      <w:bookmarkEnd w:id="1353"/>
      <w:bookmarkEnd w:id="1354"/>
      <w:bookmarkEnd w:id="1355"/>
      <w:bookmarkEnd w:id="1356"/>
      <w:bookmarkStart w:id="1357" w:name="_Toc351203599"/>
      <w:bookmarkStart w:id="1358" w:name="_Toc337558816"/>
      <w:bookmarkStart w:id="1359" w:name="_Toc296346615"/>
      <w:bookmarkStart w:id="1360" w:name="_Toc296503114"/>
    </w:p>
    <w:p w14:paraId="27F5C501">
      <w:pPr>
        <w:snapToGrid/>
        <w:spacing w:before="0" w:after="0" w:line="576" w:lineRule="exact"/>
        <w:ind w:firstLine="640" w:firstLineChars="200"/>
        <w:jc w:val="both"/>
        <w:outlineLvl w:val="2"/>
        <w:rPr>
          <w:rFonts w:hint="eastAsia" w:ascii="仿宋_GB2312" w:hAnsi="仿宋_GB2312" w:eastAsia="仿宋_GB2312" w:cs="仿宋_GB2312"/>
          <w:b/>
          <w:color w:val="auto"/>
          <w:sz w:val="32"/>
          <w:szCs w:val="32"/>
          <w:highlight w:val="none"/>
        </w:rPr>
      </w:pPr>
      <w:bookmarkStart w:id="1361" w:name="_Toc15648"/>
      <w:bookmarkStart w:id="1362" w:name="_Toc2778"/>
      <w:bookmarkStart w:id="1363" w:name="_Toc25080"/>
      <w:bookmarkStart w:id="1364" w:name="_Toc26585"/>
      <w:bookmarkStart w:id="1365" w:name="_Toc981"/>
      <w:bookmarkStart w:id="1366" w:name="_Toc886"/>
      <w:bookmarkStart w:id="1367" w:name="_Toc6378"/>
      <w:bookmarkStart w:id="1368" w:name="_Toc3918"/>
      <w:r>
        <w:rPr>
          <w:rFonts w:hint="eastAsia" w:ascii="仿宋_GB2312" w:hAnsi="仿宋_GB2312" w:eastAsia="仿宋_GB2312" w:cs="仿宋_GB2312"/>
          <w:bCs w:val="0"/>
          <w:color w:val="auto"/>
          <w:sz w:val="32"/>
          <w:szCs w:val="32"/>
          <w:highlight w:val="none"/>
        </w:rPr>
        <w:t>15.1 工程保修的原</w:t>
      </w:r>
      <w:bookmarkEnd w:id="1357"/>
      <w:r>
        <w:rPr>
          <w:rFonts w:hint="eastAsia" w:ascii="仿宋_GB2312" w:hAnsi="仿宋_GB2312" w:eastAsia="仿宋_GB2312" w:cs="仿宋_GB2312"/>
          <w:bCs w:val="0"/>
          <w:color w:val="auto"/>
          <w:sz w:val="32"/>
          <w:szCs w:val="32"/>
          <w:highlight w:val="none"/>
        </w:rPr>
        <w:t>则</w:t>
      </w:r>
      <w:bookmarkEnd w:id="1358"/>
      <w:bookmarkEnd w:id="1361"/>
      <w:bookmarkEnd w:id="1362"/>
      <w:bookmarkEnd w:id="1363"/>
      <w:bookmarkEnd w:id="1364"/>
      <w:bookmarkEnd w:id="1365"/>
      <w:bookmarkEnd w:id="1366"/>
      <w:bookmarkEnd w:id="1367"/>
      <w:bookmarkEnd w:id="1368"/>
    </w:p>
    <w:p w14:paraId="746EFC95">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在工程移交发包人后，因承包人原因产生的质量缺陷，承包人应承担质量缺陷责任和保修义务。缺陷责任期届满，承包人仍应按合同约定的工程各部位保修年限承担保修义务。</w:t>
      </w:r>
      <w:bookmarkStart w:id="1369" w:name="_Toc351203600"/>
      <w:bookmarkStart w:id="1370" w:name="_Toc337558817"/>
    </w:p>
    <w:p w14:paraId="606BF9C7">
      <w:pPr>
        <w:snapToGrid/>
        <w:spacing w:before="0" w:after="0" w:line="576" w:lineRule="exact"/>
        <w:ind w:firstLine="640" w:firstLineChars="200"/>
        <w:jc w:val="both"/>
        <w:outlineLvl w:val="2"/>
        <w:rPr>
          <w:rFonts w:hint="eastAsia" w:ascii="仿宋_GB2312" w:hAnsi="仿宋_GB2312" w:eastAsia="仿宋_GB2312" w:cs="仿宋_GB2312"/>
          <w:b/>
          <w:color w:val="auto"/>
          <w:sz w:val="32"/>
          <w:szCs w:val="32"/>
          <w:highlight w:val="none"/>
        </w:rPr>
      </w:pPr>
      <w:bookmarkStart w:id="1371" w:name="_Toc13567"/>
      <w:bookmarkStart w:id="1372" w:name="_Toc9476"/>
      <w:bookmarkStart w:id="1373" w:name="_Toc18076"/>
      <w:bookmarkStart w:id="1374" w:name="_Toc9392"/>
      <w:bookmarkStart w:id="1375" w:name="_Toc3865"/>
      <w:bookmarkStart w:id="1376" w:name="_Toc7979"/>
      <w:bookmarkStart w:id="1377" w:name="_Toc6278"/>
      <w:bookmarkStart w:id="1378" w:name="_Toc14219"/>
      <w:r>
        <w:rPr>
          <w:rFonts w:hint="eastAsia" w:ascii="仿宋_GB2312" w:hAnsi="仿宋_GB2312" w:eastAsia="仿宋_GB2312" w:cs="仿宋_GB2312"/>
          <w:bCs w:val="0"/>
          <w:color w:val="auto"/>
          <w:sz w:val="32"/>
          <w:szCs w:val="32"/>
          <w:highlight w:val="none"/>
        </w:rPr>
        <w:t>15.2 缺陷责任</w:t>
      </w:r>
      <w:bookmarkEnd w:id="1359"/>
      <w:bookmarkEnd w:id="1360"/>
      <w:bookmarkEnd w:id="1369"/>
      <w:r>
        <w:rPr>
          <w:rFonts w:hint="eastAsia" w:ascii="仿宋_GB2312" w:hAnsi="仿宋_GB2312" w:eastAsia="仿宋_GB2312" w:cs="仿宋_GB2312"/>
          <w:bCs w:val="0"/>
          <w:color w:val="auto"/>
          <w:sz w:val="32"/>
          <w:szCs w:val="32"/>
          <w:highlight w:val="none"/>
        </w:rPr>
        <w:t>期</w:t>
      </w:r>
      <w:bookmarkEnd w:id="1370"/>
      <w:bookmarkEnd w:id="1371"/>
      <w:bookmarkEnd w:id="1372"/>
      <w:bookmarkEnd w:id="1373"/>
      <w:bookmarkEnd w:id="1374"/>
      <w:bookmarkEnd w:id="1375"/>
      <w:bookmarkEnd w:id="1376"/>
      <w:bookmarkEnd w:id="1377"/>
      <w:bookmarkEnd w:id="1378"/>
    </w:p>
    <w:p w14:paraId="4EF2DBEF">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15.2.1 缺陷责任期从工程通过竣工验收之日起计算，合同当事人应在专用合同条款约定缺陷责任期的具体期限，但该期限最长不超过24个月。</w:t>
      </w:r>
    </w:p>
    <w:p w14:paraId="6B3FC352">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单位工程先于全部工程进行验收，经验收合格并交付使用的，该单位工程缺陷责任期自单位工程验收合格之日起算。因承包人原因导致工程无法按合同约定期限进行竣工验收的，缺陷责任期从实际通过竣工验收之日起计算。因发包人原因导致工程无法按合同约定期限进行竣工验收的，在承包人提交竣工验收报告90天后，工程自动进入缺陷责任期；发包人未经竣工验收擅自使用工程的，缺陷责任期自工程转移占有之日起开始计算。</w:t>
      </w:r>
    </w:p>
    <w:p w14:paraId="5DAC84B5">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15.2.2缺陷责任期内，由承包人原因造成的缺陷，承包人应负责维修，并承担鉴定及维修费用。如承包人不维修也不承担费用，发包人可按合同约定从保证金或银行保函中扣除，费用超出保证金额的，发包人可按合同约定向承包人进行索赔。承包人维修并承担相应费用后，不免除对工程的损失赔偿责任。发包人有权要求承</w:t>
      </w:r>
      <w:r>
        <w:rPr>
          <w:rFonts w:hint="eastAsia" w:ascii="仿宋_GB2312" w:hAnsi="仿宋_GB2312" w:eastAsia="仿宋_GB2312" w:cs="仿宋_GB2312"/>
          <w:bCs/>
          <w:color w:val="auto"/>
          <w:sz w:val="32"/>
          <w:szCs w:val="32"/>
          <w:highlight w:val="none"/>
        </w:rPr>
        <w:t>包人延长缺陷责任期，</w:t>
      </w:r>
      <w:r>
        <w:rPr>
          <w:rFonts w:hint="eastAsia" w:ascii="仿宋_GB2312" w:hAnsi="仿宋_GB2312" w:eastAsia="仿宋_GB2312" w:cs="仿宋_GB2312"/>
          <w:color w:val="auto"/>
          <w:kern w:val="0"/>
          <w:sz w:val="32"/>
          <w:szCs w:val="32"/>
          <w:highlight w:val="none"/>
        </w:rPr>
        <w:t>并应在原缺陷责任期届满前发出延长通知。</w:t>
      </w:r>
      <w:r>
        <w:rPr>
          <w:rFonts w:hint="eastAsia" w:ascii="仿宋_GB2312" w:hAnsi="仿宋_GB2312" w:eastAsia="仿宋_GB2312" w:cs="仿宋_GB2312"/>
          <w:bCs/>
          <w:color w:val="auto"/>
          <w:sz w:val="32"/>
          <w:szCs w:val="32"/>
          <w:highlight w:val="none"/>
        </w:rPr>
        <w:t>但缺陷责任期（含延长部分）最长</w:t>
      </w:r>
      <w:r>
        <w:rPr>
          <w:rFonts w:hint="eastAsia" w:ascii="仿宋_GB2312" w:hAnsi="仿宋_GB2312" w:eastAsia="仿宋_GB2312" w:cs="仿宋_GB2312"/>
          <w:color w:val="auto"/>
          <w:kern w:val="0"/>
          <w:sz w:val="32"/>
          <w:szCs w:val="32"/>
          <w:highlight w:val="none"/>
        </w:rPr>
        <w:t>不能超过24个月。</w:t>
      </w:r>
    </w:p>
    <w:p w14:paraId="7B316105">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由他人原因造成的缺陷，发包人负责组织维修，承包人不承担费用，且发包人不得从保证金中扣除费用。</w:t>
      </w:r>
    </w:p>
    <w:p w14:paraId="627B49C8">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15.2.3 任何一项缺陷或损坏修复后，经检查证明其影响了工程或工程设备的使用性能，承包人应重新进行合同约定的试验和试运行，试验和试运行的全部费用应由责任方承担。</w:t>
      </w:r>
    </w:p>
    <w:p w14:paraId="7A705F10">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15.2.4除专用合同条款另有约定外，承包人应于缺陷责任期届满后7天内向发包人发出缺陷责任期届满通知，发包人应在收到缺陷责任期满通知后14天内核实承包人是否履行缺陷修复义务，承包人未能履行缺陷修复义务的，发包人有权扣除相应金额的维修费用。发包人应在收到缺陷责任期届满通知后14天内，向承包人颁发缺陷责任期终止证书。</w:t>
      </w:r>
      <w:bookmarkStart w:id="1379" w:name="_Toc351203601"/>
      <w:bookmarkStart w:id="1380" w:name="_Toc337558818"/>
      <w:bookmarkStart w:id="1381" w:name="_Toc296503115"/>
      <w:bookmarkStart w:id="1382" w:name="_Toc296346616"/>
    </w:p>
    <w:p w14:paraId="5D7C15B3">
      <w:pPr>
        <w:snapToGrid/>
        <w:spacing w:before="0" w:after="0" w:line="576" w:lineRule="exact"/>
        <w:ind w:firstLine="640" w:firstLineChars="200"/>
        <w:jc w:val="both"/>
        <w:outlineLvl w:val="2"/>
        <w:rPr>
          <w:rFonts w:hint="eastAsia" w:ascii="仿宋_GB2312" w:hAnsi="仿宋_GB2312" w:eastAsia="仿宋_GB2312" w:cs="仿宋_GB2312"/>
          <w:b/>
          <w:color w:val="auto"/>
          <w:sz w:val="32"/>
          <w:szCs w:val="32"/>
          <w:highlight w:val="none"/>
        </w:rPr>
      </w:pPr>
      <w:bookmarkStart w:id="1383" w:name="_Toc22804"/>
      <w:bookmarkStart w:id="1384" w:name="_Toc14418"/>
      <w:bookmarkStart w:id="1385" w:name="_Toc19668"/>
      <w:bookmarkStart w:id="1386" w:name="_Toc29115"/>
      <w:bookmarkStart w:id="1387" w:name="_Toc32287"/>
      <w:bookmarkStart w:id="1388" w:name="_Toc27621"/>
      <w:bookmarkStart w:id="1389" w:name="_Toc21660"/>
      <w:bookmarkStart w:id="1390" w:name="_Toc10933"/>
      <w:r>
        <w:rPr>
          <w:rFonts w:hint="eastAsia" w:ascii="仿宋_GB2312" w:hAnsi="仿宋_GB2312" w:eastAsia="仿宋_GB2312" w:cs="仿宋_GB2312"/>
          <w:bCs w:val="0"/>
          <w:color w:val="auto"/>
          <w:sz w:val="32"/>
          <w:szCs w:val="32"/>
          <w:highlight w:val="none"/>
        </w:rPr>
        <w:t>15.3 质量保证</w:t>
      </w:r>
      <w:bookmarkEnd w:id="1379"/>
      <w:r>
        <w:rPr>
          <w:rFonts w:hint="eastAsia" w:ascii="仿宋_GB2312" w:hAnsi="仿宋_GB2312" w:eastAsia="仿宋_GB2312" w:cs="仿宋_GB2312"/>
          <w:bCs w:val="0"/>
          <w:color w:val="auto"/>
          <w:sz w:val="32"/>
          <w:szCs w:val="32"/>
          <w:highlight w:val="none"/>
        </w:rPr>
        <w:t>金</w:t>
      </w:r>
      <w:bookmarkEnd w:id="1380"/>
      <w:bookmarkEnd w:id="1383"/>
      <w:bookmarkEnd w:id="1384"/>
      <w:bookmarkEnd w:id="1385"/>
      <w:bookmarkEnd w:id="1386"/>
      <w:bookmarkEnd w:id="1387"/>
      <w:bookmarkEnd w:id="1388"/>
      <w:bookmarkEnd w:id="1389"/>
      <w:bookmarkEnd w:id="1390"/>
    </w:p>
    <w:p w14:paraId="019912C3">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经合同当事人协商一致扣留质量保证金的，应在专用合同条款中予以明确。</w:t>
      </w:r>
    </w:p>
    <w:p w14:paraId="411AB449">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sz w:val="32"/>
          <w:szCs w:val="32"/>
          <w:highlight w:val="none"/>
        </w:rPr>
        <w:t>在工程项目竣工前，承包人已经提供履约担保的，发包人不得同时预留工程质量保证金。</w:t>
      </w:r>
    </w:p>
    <w:p w14:paraId="09313097">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15.3.1 承包人提供质量保证金的方式</w:t>
      </w:r>
    </w:p>
    <w:p w14:paraId="4FD5860E">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承包人提供质量保证金有以下三种方式：</w:t>
      </w:r>
    </w:p>
    <w:p w14:paraId="068F2558">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 xml:space="preserve">（1）质量保证金保函； </w:t>
      </w:r>
    </w:p>
    <w:p w14:paraId="1976E21A">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（2）相应比例的工程款；</w:t>
      </w:r>
    </w:p>
    <w:p w14:paraId="13F79CA9">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（3）双方约定的其他方式。</w:t>
      </w:r>
    </w:p>
    <w:p w14:paraId="155F0377">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除专用合同条款另有约定外，质量保证金原则上采用上述第（1）种方式。</w:t>
      </w:r>
    </w:p>
    <w:p w14:paraId="6FA8FBDF">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15.3.2 质量保证金的扣留</w:t>
      </w:r>
    </w:p>
    <w:p w14:paraId="77CC2F09">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质量保证金的扣留有以下三种方式：</w:t>
      </w:r>
    </w:p>
    <w:p w14:paraId="20C48764">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（1）在支付工程进度款时逐次扣留，在此情形下，质量保证金的计算基数不包括预付款的支付、扣回以及价格调整的金额；</w:t>
      </w:r>
    </w:p>
    <w:p w14:paraId="44580E94">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（2）</w:t>
      </w:r>
      <w:bookmarkStart w:id="1391" w:name="#go6"/>
      <w:bookmarkEnd w:id="1391"/>
      <w:r>
        <w:rPr>
          <w:rFonts w:hint="eastAsia" w:ascii="仿宋_GB2312" w:hAnsi="仿宋_GB2312" w:eastAsia="仿宋_GB2312" w:cs="仿宋_GB2312"/>
          <w:color w:val="auto"/>
          <w:kern w:val="0"/>
          <w:sz w:val="32"/>
          <w:szCs w:val="32"/>
          <w:highlight w:val="none"/>
        </w:rPr>
        <w:t>工程竣工结算时一次性扣留质量保证金；</w:t>
      </w:r>
    </w:p>
    <w:p w14:paraId="020E1937">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（3）双方约定的其他扣留方式。</w:t>
      </w:r>
    </w:p>
    <w:p w14:paraId="5D91CA26">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除专用合同条款另有约定外，质量保证金的扣留原则上采用上述第（1）种方式。</w:t>
      </w:r>
    </w:p>
    <w:p w14:paraId="420C19EC">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bookmarkStart w:id="1392" w:name="#go4"/>
      <w:bookmarkEnd w:id="1392"/>
      <w:r>
        <w:rPr>
          <w:rFonts w:hint="eastAsia" w:ascii="仿宋_GB2312" w:hAnsi="仿宋_GB2312" w:eastAsia="仿宋_GB2312" w:cs="仿宋_GB2312"/>
          <w:color w:val="auto"/>
          <w:kern w:val="0"/>
          <w:sz w:val="32"/>
          <w:szCs w:val="32"/>
          <w:highlight w:val="none"/>
        </w:rPr>
        <w:t>发包人累计扣留的质量保证金不得超过工程价款结算总额的3%。如承包人在发包人签发竣工付款证书后28天内提交质量保证金保函，发包人应同时退还扣留的作为质量保证金的工程价款；保函金额不得超过工程价款结算总额的3%。</w:t>
      </w:r>
    </w:p>
    <w:p w14:paraId="7C9855B6">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发包人在退还质量保证金的同时按照中国人民银行发布的同期同类贷款基准利率支付利息。</w:t>
      </w:r>
    </w:p>
    <w:p w14:paraId="026A75E2">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 xml:space="preserve">15.3.3 </w:t>
      </w:r>
      <w:r>
        <w:rPr>
          <w:rFonts w:hint="eastAsia" w:ascii="仿宋_GB2312" w:hAnsi="仿宋_GB2312" w:eastAsia="仿宋_GB2312" w:cs="仿宋_GB2312"/>
          <w:color w:val="auto"/>
          <w:sz w:val="32"/>
          <w:szCs w:val="32"/>
          <w:highlight w:val="none"/>
        </w:rPr>
        <w:t>质量保证金</w:t>
      </w:r>
      <w:r>
        <w:rPr>
          <w:rFonts w:hint="eastAsia" w:ascii="仿宋_GB2312" w:hAnsi="仿宋_GB2312" w:eastAsia="仿宋_GB2312" w:cs="仿宋_GB2312"/>
          <w:color w:val="auto"/>
          <w:kern w:val="0"/>
          <w:sz w:val="32"/>
          <w:szCs w:val="32"/>
          <w:highlight w:val="none"/>
        </w:rPr>
        <w:t>的退还</w:t>
      </w:r>
    </w:p>
    <w:p w14:paraId="7BD22242">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缺陷责任期内，承包人认真履行合同约定的责任，到期后，承包人可向发包人申请返还保证金。</w:t>
      </w:r>
    </w:p>
    <w:p w14:paraId="081CF04D">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发包人在接到承包人返还保证金申请后，应于14天内会同承包人按照合同约定的内容进行核实。如无异议，发包人应当按照约定将保证金返还给承包人。对返还期限没有约定或者约定不明确的，发包人应当在核实后14天内将保证金返还承包人，逾期未返还的，依法承担违约责任。发包人在接到承包人返还保证金申请后14天内不予答复，经催告后14天内仍不予答复，视同认可承包人的返还保证金申请。</w:t>
      </w:r>
    </w:p>
    <w:p w14:paraId="6BDE3A02">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发包人和承包人对保证金预留、返还以及工程维修质量、费用有争议的，按本合同第20条约定的争议和纠纷解决程序处理。</w:t>
      </w:r>
      <w:bookmarkStart w:id="1393" w:name="_Toc351203602"/>
      <w:bookmarkStart w:id="1394" w:name="_Toc337558819"/>
    </w:p>
    <w:p w14:paraId="4739F420">
      <w:pPr>
        <w:snapToGrid/>
        <w:spacing w:before="0" w:after="0" w:line="576" w:lineRule="exact"/>
        <w:ind w:firstLine="640" w:firstLineChars="200"/>
        <w:jc w:val="both"/>
        <w:outlineLvl w:val="2"/>
        <w:rPr>
          <w:rFonts w:hint="eastAsia" w:ascii="仿宋_GB2312" w:hAnsi="仿宋_GB2312" w:eastAsia="仿宋_GB2312" w:cs="仿宋_GB2312"/>
          <w:b/>
          <w:color w:val="auto"/>
          <w:sz w:val="32"/>
          <w:szCs w:val="32"/>
          <w:highlight w:val="none"/>
        </w:rPr>
      </w:pPr>
      <w:bookmarkStart w:id="1395" w:name="_Toc18598"/>
      <w:bookmarkStart w:id="1396" w:name="_Toc19449"/>
      <w:bookmarkStart w:id="1397" w:name="_Toc2745"/>
      <w:bookmarkStart w:id="1398" w:name="_Toc32254"/>
      <w:bookmarkStart w:id="1399" w:name="_Toc22552"/>
      <w:bookmarkStart w:id="1400" w:name="_Toc9291"/>
      <w:bookmarkStart w:id="1401" w:name="_Toc6209"/>
      <w:bookmarkStart w:id="1402" w:name="_Toc9094"/>
      <w:r>
        <w:rPr>
          <w:rFonts w:hint="eastAsia" w:ascii="仿宋_GB2312" w:hAnsi="仿宋_GB2312" w:eastAsia="仿宋_GB2312" w:cs="仿宋_GB2312"/>
          <w:bCs w:val="0"/>
          <w:color w:val="auto"/>
          <w:sz w:val="32"/>
          <w:szCs w:val="32"/>
          <w:highlight w:val="none"/>
        </w:rPr>
        <w:t>15.4 保</w:t>
      </w:r>
      <w:bookmarkEnd w:id="1393"/>
      <w:r>
        <w:rPr>
          <w:rFonts w:hint="eastAsia" w:ascii="仿宋_GB2312" w:hAnsi="仿宋_GB2312" w:eastAsia="仿宋_GB2312" w:cs="仿宋_GB2312"/>
          <w:bCs w:val="0"/>
          <w:color w:val="auto"/>
          <w:sz w:val="32"/>
          <w:szCs w:val="32"/>
          <w:highlight w:val="none"/>
        </w:rPr>
        <w:t>修</w:t>
      </w:r>
      <w:bookmarkEnd w:id="1381"/>
      <w:bookmarkEnd w:id="1382"/>
      <w:bookmarkEnd w:id="1394"/>
      <w:bookmarkEnd w:id="1395"/>
      <w:bookmarkEnd w:id="1396"/>
      <w:bookmarkEnd w:id="1397"/>
      <w:bookmarkEnd w:id="1398"/>
      <w:bookmarkEnd w:id="1399"/>
      <w:bookmarkEnd w:id="1400"/>
      <w:bookmarkEnd w:id="1401"/>
      <w:bookmarkEnd w:id="1402"/>
    </w:p>
    <w:p w14:paraId="2DAE2C90">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15.4.1保修责任</w:t>
      </w:r>
    </w:p>
    <w:p w14:paraId="2D594CA1">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14:paraId="38CA5679">
      <w:pPr>
        <w:snapToGrid/>
        <w:spacing w:line="576"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发包人未经竣工验收擅自使用工程的，保修期自</w:t>
      </w:r>
      <w:r>
        <w:rPr>
          <w:rFonts w:hint="eastAsia" w:ascii="仿宋_GB2312" w:hAnsi="仿宋_GB2312" w:eastAsia="仿宋_GB2312" w:cs="仿宋_GB2312"/>
          <w:color w:val="auto"/>
          <w:kern w:val="0"/>
          <w:sz w:val="32"/>
          <w:szCs w:val="32"/>
          <w:highlight w:val="none"/>
        </w:rPr>
        <w:t>转移占有之日起算</w:t>
      </w:r>
      <w:r>
        <w:rPr>
          <w:rFonts w:hint="eastAsia" w:ascii="仿宋_GB2312" w:hAnsi="仿宋_GB2312" w:eastAsia="仿宋_GB2312" w:cs="仿宋_GB2312"/>
          <w:color w:val="auto"/>
          <w:sz w:val="32"/>
          <w:szCs w:val="32"/>
          <w:highlight w:val="none"/>
        </w:rPr>
        <w:t>。</w:t>
      </w:r>
    </w:p>
    <w:p w14:paraId="2D2FD1AF">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15.4.2 修复费用</w:t>
      </w:r>
    </w:p>
    <w:p w14:paraId="7A7224CF">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保修期内，修复的费用按照以下约定处理：</w:t>
      </w:r>
    </w:p>
    <w:p w14:paraId="33DA41B5">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（1）保修期内，因承包人原因造成工程的缺陷、损坏，承包人应负责修复，并承担修复的费用以及因工程的缺陷、损坏造成的人身伤害和财产损失；</w:t>
      </w:r>
    </w:p>
    <w:p w14:paraId="74531EE9">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（2）保修期内，因发包人使用不当造成工程的缺陷、损坏，可以委托承包人修复，但发包人应承担修复的费用，并支付承包人合理利润；</w:t>
      </w:r>
    </w:p>
    <w:p w14:paraId="6F133FFD">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（3）因其他原因造成工程的缺陷、损坏，可以委托承包人修复，发包人应承担修复的费用，并支付承包人合理的利润，因工程的缺陷、损坏造成的人身伤害和财产损失由责任方承担。</w:t>
      </w:r>
    </w:p>
    <w:p w14:paraId="188AC1A4">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15.4.3 修复通知</w:t>
      </w:r>
    </w:p>
    <w:p w14:paraId="03392A4C">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在保修期内，发包人在使用过程中，发现已接收的工程存在缺陷或损坏的，应书面通知承包人予以修复，但情况紧急必须立即修复缺陷或损坏的，发包人可以口头通知承包人并在口头通知后48小时内书面确认，承包人应在专用合同条款约定的合理期限内到达工程现场并修复缺陷或损坏。</w:t>
      </w:r>
    </w:p>
    <w:p w14:paraId="36DD8E7C">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15.4.4 未能修复</w:t>
      </w:r>
    </w:p>
    <w:p w14:paraId="1F3A8237">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因承包人原因造成工程的缺陷或损坏，承包人拒绝维修或未能在合理期限内修复缺陷或损坏，且经发包人书面催告后仍未修复的，发包人有权自行修复或委托第三方修复，所需费用由承包人承担。但修复范围超出缺陷或损坏范围的，超出范围部分的修复费用由发包人承担。</w:t>
      </w:r>
    </w:p>
    <w:p w14:paraId="1410FD60">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15.4.5 承包人出入权</w:t>
      </w:r>
    </w:p>
    <w:p w14:paraId="37D9EF54">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在保修期内，为了修复缺陷或损坏，承包人有权出入工程现场，除情况紧急必须立即修复缺陷或损坏外，承包人应提前24小时通知发包人进场修复的时间。承包人进入工程现场前应获得发包人同意，且不应影响发包人正常的生产经营，并应遵守发包人有关保安和保密等规定。</w:t>
      </w:r>
      <w:bookmarkStart w:id="1403" w:name="_Toc351203603"/>
      <w:bookmarkStart w:id="1404" w:name="_Toc337558820"/>
    </w:p>
    <w:p w14:paraId="3B1E3884">
      <w:pPr>
        <w:spacing w:line="576" w:lineRule="exact"/>
        <w:jc w:val="both"/>
        <w:outlineLvl w:val="1"/>
        <w:rPr>
          <w:rFonts w:hint="eastAsia" w:ascii="仿宋_GB2312" w:hAnsi="仿宋_GB2312" w:eastAsia="仿宋_GB2312" w:cs="仿宋_GB2312"/>
          <w:color w:val="auto"/>
          <w:sz w:val="32"/>
          <w:szCs w:val="32"/>
          <w:highlight w:val="none"/>
        </w:rPr>
      </w:pPr>
      <w:bookmarkStart w:id="1405" w:name="_Toc9012"/>
      <w:bookmarkStart w:id="1406" w:name="_Toc5348"/>
      <w:bookmarkStart w:id="1407" w:name="_Toc1633"/>
      <w:bookmarkStart w:id="1408" w:name="_Toc22316"/>
      <w:bookmarkStart w:id="1409" w:name="_Toc29620"/>
      <w:bookmarkStart w:id="1410" w:name="_Toc23891"/>
      <w:bookmarkStart w:id="1411" w:name="_Toc6401"/>
      <w:bookmarkStart w:id="1412" w:name="_Toc20650"/>
      <w:bookmarkStart w:id="1413" w:name="_Toc12724"/>
      <w:bookmarkStart w:id="1414" w:name="_Toc10484"/>
      <w:r>
        <w:rPr>
          <w:rFonts w:hint="eastAsia" w:ascii="仿宋_GB2312" w:hAnsi="仿宋_GB2312" w:eastAsia="仿宋_GB2312" w:cs="仿宋_GB2312"/>
          <w:color w:val="auto"/>
          <w:sz w:val="32"/>
          <w:szCs w:val="32"/>
          <w:highlight w:val="none"/>
        </w:rPr>
        <w:t>16. 违</w:t>
      </w:r>
      <w:bookmarkEnd w:id="1403"/>
      <w:r>
        <w:rPr>
          <w:rFonts w:hint="eastAsia" w:ascii="仿宋_GB2312" w:hAnsi="仿宋_GB2312" w:eastAsia="仿宋_GB2312" w:cs="仿宋_GB2312"/>
          <w:color w:val="auto"/>
          <w:sz w:val="32"/>
          <w:szCs w:val="32"/>
          <w:highlight w:val="none"/>
        </w:rPr>
        <w:t>约</w:t>
      </w:r>
      <w:bookmarkEnd w:id="1404"/>
      <w:bookmarkEnd w:id="1405"/>
      <w:bookmarkEnd w:id="1406"/>
      <w:bookmarkEnd w:id="1407"/>
      <w:bookmarkEnd w:id="1408"/>
      <w:bookmarkEnd w:id="1409"/>
      <w:bookmarkEnd w:id="1410"/>
      <w:bookmarkEnd w:id="1411"/>
      <w:bookmarkEnd w:id="1412"/>
      <w:bookmarkEnd w:id="1413"/>
      <w:bookmarkEnd w:id="1414"/>
      <w:bookmarkStart w:id="1415" w:name="_Toc296346630"/>
      <w:bookmarkStart w:id="1416" w:name="_Toc296503129"/>
      <w:bookmarkStart w:id="1417" w:name="_Toc351203604"/>
      <w:bookmarkStart w:id="1418" w:name="_Toc337558821"/>
    </w:p>
    <w:p w14:paraId="6180559E">
      <w:pPr>
        <w:snapToGrid/>
        <w:spacing w:before="0" w:after="0" w:line="576" w:lineRule="exact"/>
        <w:ind w:firstLine="640" w:firstLineChars="200"/>
        <w:jc w:val="both"/>
        <w:outlineLvl w:val="2"/>
        <w:rPr>
          <w:rFonts w:hint="eastAsia" w:ascii="仿宋_GB2312" w:hAnsi="仿宋_GB2312" w:eastAsia="仿宋_GB2312" w:cs="仿宋_GB2312"/>
          <w:b/>
          <w:color w:val="auto"/>
          <w:sz w:val="32"/>
          <w:szCs w:val="32"/>
          <w:highlight w:val="none"/>
        </w:rPr>
      </w:pPr>
      <w:bookmarkStart w:id="1419" w:name="_Toc31684"/>
      <w:bookmarkStart w:id="1420" w:name="_Toc23485"/>
      <w:bookmarkStart w:id="1421" w:name="_Toc13900"/>
      <w:bookmarkStart w:id="1422" w:name="_Toc25763"/>
      <w:bookmarkStart w:id="1423" w:name="_Toc15834"/>
      <w:bookmarkStart w:id="1424" w:name="_Toc18628"/>
      <w:bookmarkStart w:id="1425" w:name="_Toc17722"/>
      <w:bookmarkStart w:id="1426" w:name="_Toc5069"/>
      <w:r>
        <w:rPr>
          <w:rFonts w:hint="eastAsia" w:ascii="仿宋_GB2312" w:hAnsi="仿宋_GB2312" w:eastAsia="仿宋_GB2312" w:cs="仿宋_GB2312"/>
          <w:bCs w:val="0"/>
          <w:color w:val="auto"/>
          <w:sz w:val="32"/>
          <w:szCs w:val="32"/>
          <w:highlight w:val="none"/>
        </w:rPr>
        <w:t xml:space="preserve">16.1 </w:t>
      </w:r>
      <w:bookmarkEnd w:id="1415"/>
      <w:bookmarkEnd w:id="1416"/>
      <w:r>
        <w:rPr>
          <w:rFonts w:hint="eastAsia" w:ascii="仿宋_GB2312" w:hAnsi="仿宋_GB2312" w:eastAsia="仿宋_GB2312" w:cs="仿宋_GB2312"/>
          <w:bCs w:val="0"/>
          <w:color w:val="auto"/>
          <w:sz w:val="32"/>
          <w:szCs w:val="32"/>
          <w:highlight w:val="none"/>
        </w:rPr>
        <w:t>发包人违</w:t>
      </w:r>
      <w:bookmarkEnd w:id="1417"/>
      <w:r>
        <w:rPr>
          <w:rFonts w:hint="eastAsia" w:ascii="仿宋_GB2312" w:hAnsi="仿宋_GB2312" w:eastAsia="仿宋_GB2312" w:cs="仿宋_GB2312"/>
          <w:bCs w:val="0"/>
          <w:color w:val="auto"/>
          <w:sz w:val="32"/>
          <w:szCs w:val="32"/>
          <w:highlight w:val="none"/>
        </w:rPr>
        <w:t>约</w:t>
      </w:r>
      <w:bookmarkEnd w:id="1418"/>
      <w:bookmarkEnd w:id="1419"/>
      <w:bookmarkEnd w:id="1420"/>
      <w:bookmarkEnd w:id="1421"/>
      <w:bookmarkEnd w:id="1422"/>
      <w:bookmarkEnd w:id="1423"/>
      <w:bookmarkEnd w:id="1424"/>
      <w:bookmarkEnd w:id="1425"/>
      <w:bookmarkEnd w:id="1426"/>
    </w:p>
    <w:p w14:paraId="791ABBCE">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16.1.1 发包人违约的情形</w:t>
      </w:r>
    </w:p>
    <w:p w14:paraId="3DBF693A">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在合同履行过程中发生的下列情形，属于发包人违约：</w:t>
      </w:r>
    </w:p>
    <w:p w14:paraId="245AAC11">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（1）因发包人原因未能在计划开工日期前7天内下达开工通知的；</w:t>
      </w:r>
    </w:p>
    <w:p w14:paraId="014EE41C">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（2）因发包人原因未能按合同约定支付合同价款的；</w:t>
      </w:r>
    </w:p>
    <w:p w14:paraId="580C4082">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（3）发包人违反第10.1款〔变更的范围〕第（2）项约定，自行实施被取消的工作或转由他人实施的；</w:t>
      </w:r>
    </w:p>
    <w:p w14:paraId="5AB239BF">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（4）发包人提供的材料、工程设备的规格、数量或质量不符合合同约定，或因发包人原因导致交货日期延误或交货地点变更等情况的；</w:t>
      </w:r>
    </w:p>
    <w:p w14:paraId="4BB40854">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（5）因发包人违反合同约定造成暂停施工的；</w:t>
      </w:r>
    </w:p>
    <w:p w14:paraId="6A79F0E4">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（6）发包人无正当理由没有在约定期限内发出复工指示，导致承包人无法复工的；</w:t>
      </w:r>
    </w:p>
    <w:p w14:paraId="4033F12A">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（7）发包人明确表示或者以其行为表明不履行合同主要义务的；</w:t>
      </w:r>
    </w:p>
    <w:p w14:paraId="5CBABF5F">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（8）发包人未能按照合同约定履行其他义务的。</w:t>
      </w:r>
    </w:p>
    <w:p w14:paraId="2ACEC5F6">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发包人发生除本项第（7）目以外的违约情况时，承包人可向发包人发出通知，要求发包人采取有效措施纠正违约行为。发包人收到承包人通知后28天内仍不纠正违约行为的，承包人有权暂停相应部位工程施工，并通知监理人。</w:t>
      </w:r>
    </w:p>
    <w:p w14:paraId="5DACDB6D">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16.1.2 发包人违约的责任</w:t>
      </w:r>
    </w:p>
    <w:p w14:paraId="071E17CC">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发包人应承担因其违约给承包人增加的费用和（或）延误的工期，并支付承包人合理的利润。此外，合同当事人可在专用合同条款中另行约定发包人违约责任的承担方式和计算方法。</w:t>
      </w:r>
    </w:p>
    <w:p w14:paraId="365705E5">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16.1.3 因发包人违约解除合同</w:t>
      </w:r>
    </w:p>
    <w:p w14:paraId="101F16A3">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除专用合同条款另有约定外，承包人按第16.1.1项〔发包人违约的情形〕约定暂停施工满28天后，发包人仍不纠正其违约行为并致使合同目的不能实现的，或出现第16.1.1项〔发包人违约的情形〕第（7）目约定的违约情况，承包人有权解除合同，发包人应承担由此增加的费用，并支付承包人合理的利润。</w:t>
      </w:r>
    </w:p>
    <w:p w14:paraId="3694D919">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kern w:val="0"/>
          <w:sz w:val="32"/>
          <w:szCs w:val="32"/>
          <w:highlight w:val="none"/>
        </w:rPr>
        <w:t>16.1.4 因发包人违约解除合同后的付款</w:t>
      </w:r>
    </w:p>
    <w:p w14:paraId="5C8409F2">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承包人按照本款约定解除合同的，发包人应在解除合同后28天内支付下列款项，并解除履约担保：</w:t>
      </w:r>
    </w:p>
    <w:p w14:paraId="5B24D9D9">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（1）合同解除前所完成工作的价款；</w:t>
      </w:r>
    </w:p>
    <w:p w14:paraId="4ED5460C">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（2）承包人为工程施工订购并已付款的材料、工程设备和其他物品的价款；</w:t>
      </w:r>
    </w:p>
    <w:p w14:paraId="4272D4B9">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（3）承包人撤离施工现场以及遣散承包人人员的款项；</w:t>
      </w:r>
    </w:p>
    <w:p w14:paraId="7B0938C6">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（4）按照合同约定在合同解除前应支付的违约金；</w:t>
      </w:r>
    </w:p>
    <w:p w14:paraId="66F13045">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（5）按照合同约定应当支付给承包人的其他款项；</w:t>
      </w:r>
    </w:p>
    <w:p w14:paraId="218F4A15">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（6）按照合同约定应退还的质量保证金；</w:t>
      </w:r>
    </w:p>
    <w:p w14:paraId="4F59E2BE">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（7）因解除合同给承包人造成的损失。</w:t>
      </w:r>
    </w:p>
    <w:p w14:paraId="7418796C">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合同当事人未能就解除合同后的结清达成一致的，按照第20条〔争议解决〕的约定处理。</w:t>
      </w:r>
    </w:p>
    <w:p w14:paraId="703117AC">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承包人应妥善做好已完工程和与工程有关的已购材料、工程设备的保护和移交工作，并将施工设备和人员撤出施工现场，发包人应为承包人撤出提供必要条件。</w:t>
      </w:r>
      <w:bookmarkStart w:id="1427" w:name="_Toc351203605"/>
      <w:bookmarkStart w:id="1428" w:name="_Toc296346632"/>
      <w:bookmarkStart w:id="1429" w:name="_Toc337558822"/>
      <w:bookmarkStart w:id="1430" w:name="_Toc296503131"/>
    </w:p>
    <w:p w14:paraId="086ACE9E">
      <w:pPr>
        <w:snapToGrid/>
        <w:spacing w:before="0" w:after="0" w:line="576" w:lineRule="exact"/>
        <w:ind w:firstLine="640" w:firstLineChars="200"/>
        <w:jc w:val="both"/>
        <w:outlineLvl w:val="2"/>
        <w:rPr>
          <w:rFonts w:hint="eastAsia" w:ascii="仿宋_GB2312" w:hAnsi="仿宋_GB2312" w:eastAsia="仿宋_GB2312" w:cs="仿宋_GB2312"/>
          <w:b/>
          <w:color w:val="auto"/>
          <w:sz w:val="32"/>
          <w:szCs w:val="32"/>
          <w:highlight w:val="none"/>
        </w:rPr>
      </w:pPr>
      <w:bookmarkStart w:id="1431" w:name="_Toc20266"/>
      <w:bookmarkStart w:id="1432" w:name="_Toc16969"/>
      <w:bookmarkStart w:id="1433" w:name="_Toc11314"/>
      <w:bookmarkStart w:id="1434" w:name="_Toc8557"/>
      <w:bookmarkStart w:id="1435" w:name="_Toc17418"/>
      <w:bookmarkStart w:id="1436" w:name="_Toc20512"/>
      <w:bookmarkStart w:id="1437" w:name="_Toc21285"/>
      <w:bookmarkStart w:id="1438" w:name="_Toc7455"/>
      <w:r>
        <w:rPr>
          <w:rFonts w:hint="eastAsia" w:ascii="仿宋_GB2312" w:hAnsi="仿宋_GB2312" w:eastAsia="仿宋_GB2312" w:cs="仿宋_GB2312"/>
          <w:bCs w:val="0"/>
          <w:color w:val="auto"/>
          <w:sz w:val="32"/>
          <w:szCs w:val="32"/>
          <w:highlight w:val="none"/>
        </w:rPr>
        <w:t>16.2 承包人违</w:t>
      </w:r>
      <w:bookmarkEnd w:id="1427"/>
      <w:r>
        <w:rPr>
          <w:rFonts w:hint="eastAsia" w:ascii="仿宋_GB2312" w:hAnsi="仿宋_GB2312" w:eastAsia="仿宋_GB2312" w:cs="仿宋_GB2312"/>
          <w:bCs w:val="0"/>
          <w:color w:val="auto"/>
          <w:sz w:val="32"/>
          <w:szCs w:val="32"/>
          <w:highlight w:val="none"/>
        </w:rPr>
        <w:t>约</w:t>
      </w:r>
      <w:bookmarkEnd w:id="1428"/>
      <w:bookmarkEnd w:id="1429"/>
      <w:bookmarkEnd w:id="1430"/>
      <w:bookmarkEnd w:id="1431"/>
      <w:bookmarkEnd w:id="1432"/>
      <w:bookmarkEnd w:id="1433"/>
      <w:bookmarkEnd w:id="1434"/>
      <w:bookmarkEnd w:id="1435"/>
      <w:bookmarkEnd w:id="1436"/>
      <w:bookmarkEnd w:id="1437"/>
      <w:bookmarkEnd w:id="1438"/>
    </w:p>
    <w:p w14:paraId="6A3154BE">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16.2.1 承包人违约的情形</w:t>
      </w:r>
    </w:p>
    <w:p w14:paraId="5C58F82E">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在合同履行过程中发生的下列情形，属于承包人违约：</w:t>
      </w:r>
    </w:p>
    <w:p w14:paraId="18FE21CA">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（1）承包人违反合同约定进行转包或违法分包的；</w:t>
      </w:r>
    </w:p>
    <w:p w14:paraId="5BF6A1F4">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（2）承包人违反合同约定采购和使用不合格的材料和工程设备的；</w:t>
      </w:r>
    </w:p>
    <w:p w14:paraId="3019FFD7">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 xml:space="preserve">（3）因承包人原因导致工程质量不符合合同要求的； </w:t>
      </w:r>
    </w:p>
    <w:p w14:paraId="6667927E">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（4）承包人违反第8.9款〔材料与设备专用要求〕的约定，未经批准，私自将已按照合同约定进入施工现场的材料或设备撤离施工现场的；</w:t>
      </w:r>
    </w:p>
    <w:p w14:paraId="774D7F60">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（5）承包人未能按施工进度计划及时完成合同约定的工作，造成工期延误的；</w:t>
      </w:r>
    </w:p>
    <w:p w14:paraId="346E3736">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（6）承包人在缺陷责任期及保修期内，未能在合理期限对工程缺陷进行修复，或拒绝按发包人要求进行修复的；</w:t>
      </w:r>
    </w:p>
    <w:p w14:paraId="68A81FFC">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（7）承包人明确表示或者以其行为表明不履行合同主要义务的；</w:t>
      </w:r>
    </w:p>
    <w:p w14:paraId="4122DDE3">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（8）承包人未能按照合同约定履行其他义务的。</w:t>
      </w:r>
    </w:p>
    <w:p w14:paraId="5B58C806">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承包人发生除本项第（7）目约定以外的其他违约情况时，监理人可向承包人发出整改通知，要求其在指定的期限内改正。</w:t>
      </w:r>
    </w:p>
    <w:p w14:paraId="6A308FE1">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16.2.2 承包人违约的责任</w:t>
      </w:r>
    </w:p>
    <w:p w14:paraId="6760AC14">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承包人应承担因其违约行为而增加的费用和（或）延误的工期。此外，合同当事人可在专用合同条款中另行约定承包人违约责任的承担方式和计算方法。</w:t>
      </w:r>
    </w:p>
    <w:p w14:paraId="150235A2">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16.2.3 因承包人违约解除合同</w:t>
      </w:r>
    </w:p>
    <w:p w14:paraId="0E34B889">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除专用合同条款另有约定外，出现第16.2.1项〔承包人违约的情形〕第（7）目约定的违约情况时，或监理人发出整改通知后，承包人在指定的合理期限内仍不纠正违约行为并致使合同目的不能实现的，发包人有权解除合同。合同解除后，因继续完成工程的需要，发包人有权使用承包人在施工现场的材料、设备、临时工程、承包人文件和由承包人或以其名义编制的其他文件，合同当事人应在专用合同条款约定相应费用的承担方式。发包人继续使用的行为不免除或减轻承包人应承担的违约责任。</w:t>
      </w:r>
    </w:p>
    <w:p w14:paraId="60BD9BE0">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16.2.4因承包人违约解除合同后的处理</w:t>
      </w:r>
    </w:p>
    <w:p w14:paraId="157E564A">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因承包人原因导致合同解除的，则合同当事人应在合同解除后28天内完成估价、付款和清算，并按以下约定执行：</w:t>
      </w:r>
    </w:p>
    <w:p w14:paraId="29682C61">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（1）合同解除后，按第4.4款〔商定或确定〕商定或确定承包人实际完成工作对应的合同价款，以及承包人已提供的材料、工程设备、施工设备和临时工程等的价值；</w:t>
      </w:r>
    </w:p>
    <w:p w14:paraId="513159F2">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（2）合同解除后，承包人应支付的违约金；</w:t>
      </w:r>
    </w:p>
    <w:p w14:paraId="3C1B262C">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（3）合同解除后，因解除合同给发包人造成的损失；</w:t>
      </w:r>
    </w:p>
    <w:p w14:paraId="436CEA89">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（4）合同解除后，承包人应按照发包人要求和监理人的指示完成现场的清理和撤离；</w:t>
      </w:r>
    </w:p>
    <w:p w14:paraId="11524EA4">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（5）发包人和承包人应在合同解除后进行清算，出具最终结清付款证书，结清全部款项。</w:t>
      </w:r>
    </w:p>
    <w:p w14:paraId="0607C7D3">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因承包人违约解除合同的，发包人有权暂停对承包人的付款，查清各项付款和已扣款项。发包人和承包人未能就合同解除后的清算和款项支付达成一致的，按照第20条〔争议解决〕的约定处理。</w:t>
      </w:r>
    </w:p>
    <w:p w14:paraId="0721C80A">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16.2.5采购合同权益转让</w:t>
      </w:r>
    </w:p>
    <w:p w14:paraId="7B96A844">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因承包人违约解除合同的，发包人有权要求承包人将其为实施合同而签订的材料和设备的采购合同的权益转让给发包人，承包人应在收到解除合同通知后14天内，协助发包人与采购合同的供应商达成相关的转让协议。</w:t>
      </w:r>
      <w:bookmarkStart w:id="1439" w:name="_Toc351203606"/>
    </w:p>
    <w:p w14:paraId="09E9CA92">
      <w:pPr>
        <w:snapToGrid/>
        <w:spacing w:before="0" w:after="0" w:line="576" w:lineRule="exact"/>
        <w:ind w:firstLine="640" w:firstLineChars="200"/>
        <w:jc w:val="both"/>
        <w:outlineLvl w:val="2"/>
        <w:rPr>
          <w:rFonts w:hint="eastAsia" w:ascii="仿宋_GB2312" w:hAnsi="仿宋_GB2312" w:eastAsia="仿宋_GB2312" w:cs="仿宋_GB2312"/>
          <w:b/>
          <w:color w:val="auto"/>
          <w:sz w:val="32"/>
          <w:szCs w:val="32"/>
          <w:highlight w:val="none"/>
        </w:rPr>
      </w:pPr>
      <w:bookmarkStart w:id="1440" w:name="_Toc30241"/>
      <w:bookmarkStart w:id="1441" w:name="_Toc19937"/>
      <w:bookmarkStart w:id="1442" w:name="_Toc1408"/>
      <w:bookmarkStart w:id="1443" w:name="_Toc5268"/>
      <w:bookmarkStart w:id="1444" w:name="_Toc21218"/>
      <w:bookmarkStart w:id="1445" w:name="_Toc24746"/>
      <w:bookmarkStart w:id="1446" w:name="_Toc5250"/>
      <w:bookmarkStart w:id="1447" w:name="_Toc31981"/>
      <w:r>
        <w:rPr>
          <w:rFonts w:hint="eastAsia" w:ascii="仿宋_GB2312" w:hAnsi="仿宋_GB2312" w:eastAsia="仿宋_GB2312" w:cs="仿宋_GB2312"/>
          <w:bCs w:val="0"/>
          <w:color w:val="auto"/>
          <w:sz w:val="32"/>
          <w:szCs w:val="32"/>
          <w:highlight w:val="none"/>
        </w:rPr>
        <w:t>16.3 第三人造成的违</w:t>
      </w:r>
      <w:bookmarkEnd w:id="1439"/>
      <w:r>
        <w:rPr>
          <w:rFonts w:hint="eastAsia" w:ascii="仿宋_GB2312" w:hAnsi="仿宋_GB2312" w:eastAsia="仿宋_GB2312" w:cs="仿宋_GB2312"/>
          <w:bCs w:val="0"/>
          <w:color w:val="auto"/>
          <w:sz w:val="32"/>
          <w:szCs w:val="32"/>
          <w:highlight w:val="none"/>
        </w:rPr>
        <w:t>约</w:t>
      </w:r>
      <w:bookmarkEnd w:id="1440"/>
      <w:bookmarkEnd w:id="1441"/>
      <w:bookmarkEnd w:id="1442"/>
      <w:bookmarkEnd w:id="1443"/>
      <w:bookmarkEnd w:id="1444"/>
      <w:bookmarkEnd w:id="1445"/>
      <w:bookmarkEnd w:id="1446"/>
      <w:bookmarkEnd w:id="1447"/>
    </w:p>
    <w:p w14:paraId="75879BA6">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在履行合同过程中，一方当事人因第三人的原因造成违约的，应当向对方当事人承担违约责任。一方当事人和第三人之间的纠纷，依照法律规定或者按照约定解决。</w:t>
      </w:r>
      <w:bookmarkStart w:id="1448" w:name="_Toc296503116"/>
      <w:bookmarkStart w:id="1449" w:name="_Toc351203607"/>
      <w:bookmarkStart w:id="1450" w:name="_Toc337558823"/>
      <w:bookmarkStart w:id="1451" w:name="_Toc296346617"/>
    </w:p>
    <w:p w14:paraId="00AA5659">
      <w:pPr>
        <w:spacing w:line="576" w:lineRule="exact"/>
        <w:jc w:val="both"/>
        <w:outlineLvl w:val="1"/>
        <w:rPr>
          <w:rFonts w:hint="eastAsia" w:ascii="仿宋_GB2312" w:hAnsi="仿宋_GB2312" w:eastAsia="仿宋_GB2312" w:cs="仿宋_GB2312"/>
          <w:color w:val="auto"/>
          <w:sz w:val="32"/>
          <w:szCs w:val="32"/>
          <w:highlight w:val="none"/>
        </w:rPr>
      </w:pPr>
      <w:bookmarkStart w:id="1452" w:name="_Toc18036"/>
      <w:bookmarkStart w:id="1453" w:name="_Toc31668"/>
      <w:bookmarkStart w:id="1454" w:name="_Toc28324"/>
      <w:bookmarkStart w:id="1455" w:name="_Toc6781"/>
      <w:bookmarkStart w:id="1456" w:name="_Toc24944"/>
      <w:bookmarkStart w:id="1457" w:name="_Toc26985"/>
      <w:bookmarkStart w:id="1458" w:name="_Toc3384"/>
      <w:bookmarkStart w:id="1459" w:name="_Toc12661"/>
      <w:bookmarkStart w:id="1460" w:name="_Toc26855"/>
      <w:bookmarkStart w:id="1461" w:name="_Toc441"/>
      <w:r>
        <w:rPr>
          <w:rFonts w:hint="eastAsia" w:ascii="仿宋_GB2312" w:hAnsi="仿宋_GB2312" w:eastAsia="仿宋_GB2312" w:cs="仿宋_GB2312"/>
          <w:color w:val="auto"/>
          <w:sz w:val="32"/>
          <w:szCs w:val="32"/>
          <w:highlight w:val="none"/>
        </w:rPr>
        <w:t>17. 不可抗</w:t>
      </w:r>
      <w:bookmarkEnd w:id="1448"/>
      <w:bookmarkEnd w:id="1449"/>
      <w:bookmarkEnd w:id="1450"/>
      <w:bookmarkEnd w:id="1451"/>
      <w:r>
        <w:rPr>
          <w:rFonts w:hint="eastAsia" w:ascii="仿宋_GB2312" w:hAnsi="仿宋_GB2312" w:eastAsia="仿宋_GB2312" w:cs="仿宋_GB2312"/>
          <w:color w:val="auto"/>
          <w:sz w:val="32"/>
          <w:szCs w:val="32"/>
          <w:highlight w:val="none"/>
        </w:rPr>
        <w:t>力</w:t>
      </w:r>
      <w:bookmarkEnd w:id="1452"/>
      <w:bookmarkEnd w:id="1453"/>
      <w:bookmarkEnd w:id="1454"/>
      <w:bookmarkEnd w:id="1455"/>
      <w:bookmarkEnd w:id="1456"/>
      <w:bookmarkEnd w:id="1457"/>
      <w:bookmarkEnd w:id="1458"/>
      <w:bookmarkEnd w:id="1459"/>
      <w:bookmarkEnd w:id="1460"/>
      <w:bookmarkEnd w:id="1461"/>
      <w:bookmarkStart w:id="1462" w:name="_Toc351203608"/>
      <w:bookmarkStart w:id="1463" w:name="_Toc337558824"/>
      <w:bookmarkStart w:id="1464" w:name="_Toc296346618"/>
      <w:bookmarkStart w:id="1465" w:name="_Toc296503117"/>
    </w:p>
    <w:p w14:paraId="74EA75B5">
      <w:pPr>
        <w:snapToGrid/>
        <w:spacing w:before="0" w:after="0" w:line="576" w:lineRule="exact"/>
        <w:ind w:firstLine="640" w:firstLineChars="200"/>
        <w:jc w:val="both"/>
        <w:outlineLvl w:val="2"/>
        <w:rPr>
          <w:rFonts w:hint="eastAsia" w:ascii="仿宋_GB2312" w:hAnsi="仿宋_GB2312" w:eastAsia="仿宋_GB2312" w:cs="仿宋_GB2312"/>
          <w:b/>
          <w:color w:val="auto"/>
          <w:sz w:val="32"/>
          <w:szCs w:val="32"/>
          <w:highlight w:val="none"/>
        </w:rPr>
      </w:pPr>
      <w:bookmarkStart w:id="1466" w:name="_Toc21808"/>
      <w:bookmarkStart w:id="1467" w:name="_Toc14061"/>
      <w:bookmarkStart w:id="1468" w:name="_Toc18075"/>
      <w:bookmarkStart w:id="1469" w:name="_Toc6582"/>
      <w:bookmarkStart w:id="1470" w:name="_Toc11670"/>
      <w:bookmarkStart w:id="1471" w:name="_Toc32085"/>
      <w:bookmarkStart w:id="1472" w:name="_Toc1875"/>
      <w:bookmarkStart w:id="1473" w:name="_Toc29638"/>
      <w:r>
        <w:rPr>
          <w:rFonts w:hint="eastAsia" w:ascii="仿宋_GB2312" w:hAnsi="仿宋_GB2312" w:eastAsia="仿宋_GB2312" w:cs="仿宋_GB2312"/>
          <w:bCs w:val="0"/>
          <w:color w:val="auto"/>
          <w:sz w:val="32"/>
          <w:szCs w:val="32"/>
          <w:highlight w:val="none"/>
        </w:rPr>
        <w:t>17.1 不可抗力的确</w:t>
      </w:r>
      <w:bookmarkEnd w:id="1462"/>
      <w:r>
        <w:rPr>
          <w:rFonts w:hint="eastAsia" w:ascii="仿宋_GB2312" w:hAnsi="仿宋_GB2312" w:eastAsia="仿宋_GB2312" w:cs="仿宋_GB2312"/>
          <w:bCs w:val="0"/>
          <w:color w:val="auto"/>
          <w:sz w:val="32"/>
          <w:szCs w:val="32"/>
          <w:highlight w:val="none"/>
        </w:rPr>
        <w:t>认</w:t>
      </w:r>
      <w:bookmarkEnd w:id="1463"/>
      <w:bookmarkEnd w:id="1464"/>
      <w:bookmarkEnd w:id="1465"/>
      <w:bookmarkEnd w:id="1466"/>
      <w:bookmarkEnd w:id="1467"/>
      <w:bookmarkEnd w:id="1468"/>
      <w:bookmarkEnd w:id="1469"/>
      <w:bookmarkEnd w:id="1470"/>
      <w:bookmarkEnd w:id="1471"/>
      <w:bookmarkEnd w:id="1472"/>
      <w:bookmarkEnd w:id="1473"/>
    </w:p>
    <w:p w14:paraId="66082CB7">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不可抗力是指合同当事人在签订合同时不可预见，在合同履行过程中不可避免且不能克服的自然灾害和社会性突发事件，如地震、海啸、瘟疫、骚乱、戒严、暴动、战争和专用合同条款中约定的其他情形。</w:t>
      </w:r>
    </w:p>
    <w:p w14:paraId="19DCB52F">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不可抗力发生后，发包人和承包人应收集证明不可抗力发生及不可抗力造成损失的证据，并及时认真统计所造成的损失。合同当事人对是否属于不可抗力或其损失的意见不一致的，由监理人按第4.4款〔商定或确定〕的约定处理。发生争议时，按第20条〔争议解决〕的约定处理。</w:t>
      </w:r>
      <w:bookmarkStart w:id="1474" w:name="_Toc351203609"/>
      <w:bookmarkStart w:id="1475" w:name="_Toc296503118"/>
      <w:bookmarkStart w:id="1476" w:name="_Toc296346619"/>
      <w:bookmarkStart w:id="1477" w:name="_Toc337558825"/>
    </w:p>
    <w:p w14:paraId="2EE71E77">
      <w:pPr>
        <w:snapToGrid/>
        <w:spacing w:before="0" w:after="0" w:line="576" w:lineRule="exact"/>
        <w:ind w:firstLine="640" w:firstLineChars="200"/>
        <w:jc w:val="both"/>
        <w:outlineLvl w:val="2"/>
        <w:rPr>
          <w:rFonts w:hint="eastAsia" w:ascii="仿宋_GB2312" w:hAnsi="仿宋_GB2312" w:eastAsia="仿宋_GB2312" w:cs="仿宋_GB2312"/>
          <w:b/>
          <w:color w:val="auto"/>
          <w:sz w:val="32"/>
          <w:szCs w:val="32"/>
          <w:highlight w:val="none"/>
        </w:rPr>
      </w:pPr>
      <w:bookmarkStart w:id="1478" w:name="_Toc7714"/>
      <w:bookmarkStart w:id="1479" w:name="_Toc12769"/>
      <w:bookmarkStart w:id="1480" w:name="_Toc3533"/>
      <w:bookmarkStart w:id="1481" w:name="_Toc8481"/>
      <w:bookmarkStart w:id="1482" w:name="_Toc28049"/>
      <w:bookmarkStart w:id="1483" w:name="_Toc22235"/>
      <w:bookmarkStart w:id="1484" w:name="_Toc9362"/>
      <w:bookmarkStart w:id="1485" w:name="_Toc7471"/>
      <w:r>
        <w:rPr>
          <w:rFonts w:hint="eastAsia" w:ascii="仿宋_GB2312" w:hAnsi="仿宋_GB2312" w:eastAsia="仿宋_GB2312" w:cs="仿宋_GB2312"/>
          <w:bCs w:val="0"/>
          <w:color w:val="auto"/>
          <w:sz w:val="32"/>
          <w:szCs w:val="32"/>
          <w:highlight w:val="none"/>
        </w:rPr>
        <w:t>17.2 不可抗力的通</w:t>
      </w:r>
      <w:bookmarkEnd w:id="1474"/>
      <w:r>
        <w:rPr>
          <w:rFonts w:hint="eastAsia" w:ascii="仿宋_GB2312" w:hAnsi="仿宋_GB2312" w:eastAsia="仿宋_GB2312" w:cs="仿宋_GB2312"/>
          <w:bCs w:val="0"/>
          <w:color w:val="auto"/>
          <w:sz w:val="32"/>
          <w:szCs w:val="32"/>
          <w:highlight w:val="none"/>
        </w:rPr>
        <w:t>知</w:t>
      </w:r>
      <w:bookmarkEnd w:id="1475"/>
      <w:bookmarkEnd w:id="1476"/>
      <w:bookmarkEnd w:id="1477"/>
      <w:bookmarkEnd w:id="1478"/>
      <w:bookmarkEnd w:id="1479"/>
      <w:bookmarkEnd w:id="1480"/>
      <w:bookmarkEnd w:id="1481"/>
      <w:bookmarkEnd w:id="1482"/>
      <w:bookmarkEnd w:id="1483"/>
      <w:bookmarkEnd w:id="1484"/>
      <w:bookmarkEnd w:id="1485"/>
    </w:p>
    <w:p w14:paraId="302C50F6">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合同一方当事人遇到不可抗力事件，使其履行合同义务受到阻碍时，应立即通知合同另一方当事人和监理人，书面说明不可抗力和受阻碍的详细情况，并提供必要的证明。</w:t>
      </w:r>
    </w:p>
    <w:p w14:paraId="7E9877C4">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不可抗力持续发生的，合同一方当事人应及时向合同另一方当事人和监理人提交中间报告，说明不可抗力和履行合同受阻的情况，并于不可抗力事件结束后28天内提交最终报告及有关资料。</w:t>
      </w:r>
      <w:bookmarkStart w:id="1486" w:name="_Toc351203610"/>
      <w:bookmarkStart w:id="1487" w:name="_Toc337558826"/>
      <w:bookmarkStart w:id="1488" w:name="_Toc296503119"/>
      <w:bookmarkStart w:id="1489" w:name="_Toc296346620"/>
    </w:p>
    <w:p w14:paraId="50D1485F">
      <w:pPr>
        <w:snapToGrid/>
        <w:spacing w:before="0" w:after="0" w:line="576" w:lineRule="exact"/>
        <w:ind w:firstLine="640" w:firstLineChars="200"/>
        <w:jc w:val="both"/>
        <w:outlineLvl w:val="2"/>
        <w:rPr>
          <w:rFonts w:hint="eastAsia" w:ascii="仿宋_GB2312" w:hAnsi="仿宋_GB2312" w:eastAsia="仿宋_GB2312" w:cs="仿宋_GB2312"/>
          <w:b/>
          <w:color w:val="auto"/>
          <w:sz w:val="32"/>
          <w:szCs w:val="32"/>
          <w:highlight w:val="none"/>
        </w:rPr>
      </w:pPr>
      <w:bookmarkStart w:id="1490" w:name="_Toc3130"/>
      <w:bookmarkStart w:id="1491" w:name="_Toc11100"/>
      <w:bookmarkStart w:id="1492" w:name="_Toc26383"/>
      <w:bookmarkStart w:id="1493" w:name="_Toc31553"/>
      <w:bookmarkStart w:id="1494" w:name="_Toc12934"/>
      <w:bookmarkStart w:id="1495" w:name="_Toc30120"/>
      <w:bookmarkStart w:id="1496" w:name="_Toc4735"/>
      <w:bookmarkStart w:id="1497" w:name="_Toc20646"/>
      <w:r>
        <w:rPr>
          <w:rFonts w:hint="eastAsia" w:ascii="仿宋_GB2312" w:hAnsi="仿宋_GB2312" w:eastAsia="仿宋_GB2312" w:cs="仿宋_GB2312"/>
          <w:bCs w:val="0"/>
          <w:color w:val="auto"/>
          <w:sz w:val="32"/>
          <w:szCs w:val="32"/>
          <w:highlight w:val="none"/>
        </w:rPr>
        <w:t>17.3 不可抗力后果的承</w:t>
      </w:r>
      <w:bookmarkEnd w:id="1486"/>
      <w:r>
        <w:rPr>
          <w:rFonts w:hint="eastAsia" w:ascii="仿宋_GB2312" w:hAnsi="仿宋_GB2312" w:eastAsia="仿宋_GB2312" w:cs="仿宋_GB2312"/>
          <w:bCs w:val="0"/>
          <w:color w:val="auto"/>
          <w:sz w:val="32"/>
          <w:szCs w:val="32"/>
          <w:highlight w:val="none"/>
        </w:rPr>
        <w:t>担</w:t>
      </w:r>
      <w:bookmarkEnd w:id="1487"/>
      <w:bookmarkEnd w:id="1488"/>
      <w:bookmarkEnd w:id="1489"/>
      <w:bookmarkEnd w:id="1490"/>
      <w:bookmarkEnd w:id="1491"/>
      <w:bookmarkEnd w:id="1492"/>
      <w:bookmarkEnd w:id="1493"/>
      <w:bookmarkEnd w:id="1494"/>
      <w:bookmarkEnd w:id="1495"/>
      <w:bookmarkEnd w:id="1496"/>
      <w:bookmarkEnd w:id="1497"/>
    </w:p>
    <w:p w14:paraId="0FC9D291">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17.3.1 不可抗力引起的后果及造成的损失由合同当事人按照法律规定及合同约定各自承担。不可抗力发生前已完成的工程应当按照合同约定进行计量支付。</w:t>
      </w:r>
    </w:p>
    <w:p w14:paraId="035F6DD9">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17.3.2 不可抗力导致的人员伤亡、财产损失、费用增加和（或）工期延误等后果，由合同当事人按以下原则承担：</w:t>
      </w:r>
    </w:p>
    <w:p w14:paraId="3CD75702">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（1）永久工程、已运至施工现场的材料和工程设备的损坏，以及因工程损坏造成的第三人人员伤亡和财产损失由发包人承担；</w:t>
      </w:r>
    </w:p>
    <w:p w14:paraId="7C2BF0DC">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（2）承包人施工设备的损坏由承包人承担；</w:t>
      </w:r>
    </w:p>
    <w:p w14:paraId="1AFBB5D7">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（3）发包人和承包人承担各自人员伤亡和财产的损失；</w:t>
      </w:r>
    </w:p>
    <w:p w14:paraId="0E4CECAD">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（4）因不可抗力影响承包人履行合同约定的义务，已经引起或将引起工期延误的，应当顺延工期，由此导致承包人停工的费用损失由发包人和承包人合理分担，停工期间必须支付的工人工资由发包人承担；</w:t>
      </w:r>
    </w:p>
    <w:p w14:paraId="4F2E0036">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（5）因不可抗力引起或将引起工期延误，发包人要求赶工的，由此增加的赶工费用由发包人承担；</w:t>
      </w:r>
    </w:p>
    <w:p w14:paraId="6C115BF8">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（6）承包人在停工期间按照发包人要求照管、清理和修复工程的费用由发包人承担。</w:t>
      </w:r>
    </w:p>
    <w:p w14:paraId="2E438C93">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不可抗力发生后，合同当事人均应采取措施尽量避免和减少损失的扩大，任何一方当事人没有采取有效措施导致损失扩大的，应对扩大的损失承担责任。</w:t>
      </w:r>
    </w:p>
    <w:p w14:paraId="4DC2A4BC">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因合同一方迟延履行合同义务，在迟延履行期间遭遇不可抗力的，不免除其违约责任。</w:t>
      </w:r>
      <w:bookmarkStart w:id="1498" w:name="_Toc351203611"/>
      <w:bookmarkStart w:id="1499" w:name="_Toc337558827"/>
    </w:p>
    <w:p w14:paraId="77CE6E71">
      <w:pPr>
        <w:snapToGrid/>
        <w:spacing w:before="0" w:after="0" w:line="576" w:lineRule="exact"/>
        <w:ind w:firstLine="640" w:firstLineChars="200"/>
        <w:jc w:val="both"/>
        <w:outlineLvl w:val="2"/>
        <w:rPr>
          <w:rFonts w:hint="eastAsia" w:ascii="仿宋_GB2312" w:hAnsi="仿宋_GB2312" w:eastAsia="仿宋_GB2312" w:cs="仿宋_GB2312"/>
          <w:b/>
          <w:color w:val="auto"/>
          <w:sz w:val="32"/>
          <w:szCs w:val="32"/>
          <w:highlight w:val="none"/>
        </w:rPr>
      </w:pPr>
      <w:bookmarkStart w:id="1500" w:name="_Toc18409"/>
      <w:bookmarkStart w:id="1501" w:name="_Toc31972"/>
      <w:bookmarkStart w:id="1502" w:name="_Toc18448"/>
      <w:bookmarkStart w:id="1503" w:name="_Toc28356"/>
      <w:bookmarkStart w:id="1504" w:name="_Toc1693"/>
      <w:bookmarkStart w:id="1505" w:name="_Toc13176"/>
      <w:bookmarkStart w:id="1506" w:name="_Toc8101"/>
      <w:bookmarkStart w:id="1507" w:name="_Toc4529"/>
      <w:r>
        <w:rPr>
          <w:rFonts w:hint="eastAsia" w:ascii="仿宋_GB2312" w:hAnsi="仿宋_GB2312" w:eastAsia="仿宋_GB2312" w:cs="仿宋_GB2312"/>
          <w:bCs w:val="0"/>
          <w:color w:val="auto"/>
          <w:sz w:val="32"/>
          <w:szCs w:val="32"/>
          <w:highlight w:val="none"/>
        </w:rPr>
        <w:t>17.4 因不可抗力解除合</w:t>
      </w:r>
      <w:bookmarkEnd w:id="1498"/>
      <w:r>
        <w:rPr>
          <w:rFonts w:hint="eastAsia" w:ascii="仿宋_GB2312" w:hAnsi="仿宋_GB2312" w:eastAsia="仿宋_GB2312" w:cs="仿宋_GB2312"/>
          <w:bCs w:val="0"/>
          <w:color w:val="auto"/>
          <w:sz w:val="32"/>
          <w:szCs w:val="32"/>
          <w:highlight w:val="none"/>
        </w:rPr>
        <w:t>同</w:t>
      </w:r>
      <w:bookmarkEnd w:id="1499"/>
      <w:bookmarkEnd w:id="1500"/>
      <w:bookmarkEnd w:id="1501"/>
      <w:bookmarkEnd w:id="1502"/>
      <w:bookmarkEnd w:id="1503"/>
      <w:bookmarkEnd w:id="1504"/>
      <w:bookmarkEnd w:id="1505"/>
      <w:bookmarkEnd w:id="1506"/>
      <w:bookmarkEnd w:id="1507"/>
    </w:p>
    <w:p w14:paraId="57C0418A">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因不可抗力导致合同无法履行连续超过84天或累计超过140天的，发包人和承包人均有权解除合同。合同解除后，由双方当事人按照第4.4款〔商定或确定〕商定或确定发包人应支付的款项，该款项包括：</w:t>
      </w:r>
    </w:p>
    <w:p w14:paraId="6504D519">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（1）合同解除前承包人已完成工作的价款；</w:t>
      </w:r>
    </w:p>
    <w:p w14:paraId="04BE7E91">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（2）承包人为工程订购的并已交付给承包人，或承包人有责任接受交付的材料、工程设备和其他物品的价款；</w:t>
      </w:r>
    </w:p>
    <w:p w14:paraId="44131CC2">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（3）发包人要求承包人退货或解除订货合同而产生的费用，或因不能退货或解除合同而产生的损失；</w:t>
      </w:r>
    </w:p>
    <w:p w14:paraId="49974D88">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（4）承包人撤离施工现场以及遣散承包人人员的费用；</w:t>
      </w:r>
    </w:p>
    <w:p w14:paraId="0C30BF1A">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（5）按照合同约定在合同解除前应支付给承包人的其他款项；</w:t>
      </w:r>
    </w:p>
    <w:p w14:paraId="54507722">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（6）扣减承包人按照合同约定应向发包人支付的款项；</w:t>
      </w:r>
    </w:p>
    <w:p w14:paraId="1256F003">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（7）双方商定或确定的其他款项。</w:t>
      </w:r>
    </w:p>
    <w:p w14:paraId="35E45FB9">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除专用合同条款另有约定外，合同解除后，发包人应在商定或确定上述款项后28天内完成上述款项的支付。</w:t>
      </w:r>
      <w:bookmarkStart w:id="1508" w:name="_Toc351203612"/>
      <w:bookmarkStart w:id="1509" w:name="_Toc296503120"/>
      <w:bookmarkStart w:id="1510" w:name="_Toc296346621"/>
      <w:bookmarkStart w:id="1511" w:name="_Toc337558828"/>
    </w:p>
    <w:p w14:paraId="5AA6DD64">
      <w:pPr>
        <w:spacing w:line="576" w:lineRule="exact"/>
        <w:jc w:val="both"/>
        <w:outlineLvl w:val="1"/>
        <w:rPr>
          <w:rFonts w:hint="eastAsia" w:ascii="仿宋_GB2312" w:hAnsi="仿宋_GB2312" w:eastAsia="仿宋_GB2312" w:cs="仿宋_GB2312"/>
          <w:color w:val="auto"/>
          <w:sz w:val="32"/>
          <w:szCs w:val="32"/>
          <w:highlight w:val="none"/>
        </w:rPr>
      </w:pPr>
      <w:bookmarkStart w:id="1512" w:name="_Toc5458"/>
      <w:bookmarkStart w:id="1513" w:name="_Toc4428"/>
      <w:bookmarkStart w:id="1514" w:name="_Toc13104"/>
      <w:bookmarkStart w:id="1515" w:name="_Toc6325"/>
      <w:bookmarkStart w:id="1516" w:name="_Toc26046"/>
      <w:bookmarkStart w:id="1517" w:name="_Toc669"/>
      <w:bookmarkStart w:id="1518" w:name="_Toc29720"/>
      <w:bookmarkStart w:id="1519" w:name="_Toc14548"/>
      <w:bookmarkStart w:id="1520" w:name="_Toc3024"/>
      <w:bookmarkStart w:id="1521" w:name="_Toc20411"/>
      <w:r>
        <w:rPr>
          <w:rFonts w:hint="eastAsia" w:ascii="仿宋_GB2312" w:hAnsi="仿宋_GB2312" w:eastAsia="仿宋_GB2312" w:cs="仿宋_GB2312"/>
          <w:color w:val="auto"/>
          <w:sz w:val="32"/>
          <w:szCs w:val="32"/>
          <w:highlight w:val="none"/>
        </w:rPr>
        <w:t>18. 保</w:t>
      </w:r>
      <w:bookmarkEnd w:id="1508"/>
      <w:r>
        <w:rPr>
          <w:rFonts w:hint="eastAsia" w:ascii="仿宋_GB2312" w:hAnsi="仿宋_GB2312" w:eastAsia="仿宋_GB2312" w:cs="仿宋_GB2312"/>
          <w:color w:val="auto"/>
          <w:sz w:val="32"/>
          <w:szCs w:val="32"/>
          <w:highlight w:val="none"/>
        </w:rPr>
        <w:t>险</w:t>
      </w:r>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Start w:id="1522" w:name="_Toc351203613"/>
      <w:bookmarkStart w:id="1523" w:name="_Toc337558829"/>
      <w:bookmarkStart w:id="1524" w:name="_Toc296346622"/>
      <w:bookmarkStart w:id="1525" w:name="_Toc296503121"/>
    </w:p>
    <w:p w14:paraId="7D82E2F5">
      <w:pPr>
        <w:snapToGrid/>
        <w:spacing w:before="0" w:after="0" w:line="576" w:lineRule="exact"/>
        <w:ind w:firstLine="640" w:firstLineChars="200"/>
        <w:jc w:val="both"/>
        <w:outlineLvl w:val="2"/>
        <w:rPr>
          <w:rFonts w:hint="eastAsia" w:ascii="仿宋_GB2312" w:hAnsi="仿宋_GB2312" w:eastAsia="仿宋_GB2312" w:cs="仿宋_GB2312"/>
          <w:b/>
          <w:color w:val="auto"/>
          <w:sz w:val="32"/>
          <w:szCs w:val="32"/>
          <w:highlight w:val="none"/>
        </w:rPr>
      </w:pPr>
      <w:bookmarkStart w:id="1526" w:name="_Toc11783"/>
      <w:bookmarkStart w:id="1527" w:name="_Toc26996"/>
      <w:bookmarkStart w:id="1528" w:name="_Toc12885"/>
      <w:bookmarkStart w:id="1529" w:name="_Toc5742"/>
      <w:bookmarkStart w:id="1530" w:name="_Toc17881"/>
      <w:bookmarkStart w:id="1531" w:name="_Toc6241"/>
      <w:bookmarkStart w:id="1532" w:name="_Toc6776"/>
      <w:bookmarkStart w:id="1533" w:name="_Toc3813"/>
      <w:r>
        <w:rPr>
          <w:rFonts w:hint="eastAsia" w:ascii="仿宋_GB2312" w:hAnsi="仿宋_GB2312" w:eastAsia="仿宋_GB2312" w:cs="仿宋_GB2312"/>
          <w:bCs w:val="0"/>
          <w:color w:val="auto"/>
          <w:sz w:val="32"/>
          <w:szCs w:val="32"/>
          <w:highlight w:val="none"/>
        </w:rPr>
        <w:t>18.1 工程保</w:t>
      </w:r>
      <w:bookmarkEnd w:id="1522"/>
      <w:r>
        <w:rPr>
          <w:rFonts w:hint="eastAsia" w:ascii="仿宋_GB2312" w:hAnsi="仿宋_GB2312" w:eastAsia="仿宋_GB2312" w:cs="仿宋_GB2312"/>
          <w:bCs w:val="0"/>
          <w:color w:val="auto"/>
          <w:sz w:val="32"/>
          <w:szCs w:val="32"/>
          <w:highlight w:val="none"/>
        </w:rPr>
        <w:t>险</w:t>
      </w:r>
      <w:bookmarkEnd w:id="1523"/>
      <w:bookmarkEnd w:id="1524"/>
      <w:bookmarkEnd w:id="1525"/>
      <w:bookmarkEnd w:id="1526"/>
      <w:bookmarkEnd w:id="1527"/>
      <w:bookmarkEnd w:id="1528"/>
      <w:bookmarkEnd w:id="1529"/>
      <w:bookmarkEnd w:id="1530"/>
      <w:bookmarkEnd w:id="1531"/>
      <w:bookmarkEnd w:id="1532"/>
      <w:bookmarkEnd w:id="1533"/>
    </w:p>
    <w:p w14:paraId="56045B44">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除专用合同条款另有约定外，发包人应投保建筑工程一切险或安装工程一切险；发包人委托承包人投保的，因投保产生的保险费和其他相关费用由发包人承担。</w:t>
      </w:r>
      <w:bookmarkStart w:id="1534" w:name="_Toc351203614"/>
      <w:bookmarkStart w:id="1535" w:name="_Toc296503122"/>
      <w:bookmarkStart w:id="1536" w:name="_Toc296346623"/>
      <w:bookmarkStart w:id="1537" w:name="_Toc337558830"/>
    </w:p>
    <w:p w14:paraId="10953910">
      <w:pPr>
        <w:snapToGrid/>
        <w:spacing w:before="0" w:after="0" w:line="576" w:lineRule="exact"/>
        <w:ind w:firstLine="640" w:firstLineChars="200"/>
        <w:jc w:val="both"/>
        <w:outlineLvl w:val="2"/>
        <w:rPr>
          <w:rFonts w:hint="eastAsia" w:ascii="仿宋_GB2312" w:hAnsi="仿宋_GB2312" w:eastAsia="仿宋_GB2312" w:cs="仿宋_GB2312"/>
          <w:b/>
          <w:color w:val="auto"/>
          <w:sz w:val="32"/>
          <w:szCs w:val="32"/>
          <w:highlight w:val="none"/>
        </w:rPr>
      </w:pPr>
      <w:bookmarkStart w:id="1538" w:name="_Toc31671"/>
      <w:bookmarkStart w:id="1539" w:name="_Toc21906"/>
      <w:bookmarkStart w:id="1540" w:name="_Toc15258"/>
      <w:bookmarkStart w:id="1541" w:name="_Toc6905"/>
      <w:bookmarkStart w:id="1542" w:name="_Toc17348"/>
      <w:bookmarkStart w:id="1543" w:name="_Toc12053"/>
      <w:bookmarkStart w:id="1544" w:name="_Toc29836"/>
      <w:bookmarkStart w:id="1545" w:name="_Toc9696"/>
      <w:r>
        <w:rPr>
          <w:rFonts w:hint="eastAsia" w:ascii="仿宋_GB2312" w:hAnsi="仿宋_GB2312" w:eastAsia="仿宋_GB2312" w:cs="仿宋_GB2312"/>
          <w:bCs w:val="0"/>
          <w:color w:val="auto"/>
          <w:sz w:val="32"/>
          <w:szCs w:val="32"/>
          <w:highlight w:val="none"/>
        </w:rPr>
        <w:t>18.2 工伤保</w:t>
      </w:r>
      <w:bookmarkEnd w:id="1534"/>
      <w:r>
        <w:rPr>
          <w:rFonts w:hint="eastAsia" w:ascii="仿宋_GB2312" w:hAnsi="仿宋_GB2312" w:eastAsia="仿宋_GB2312" w:cs="仿宋_GB2312"/>
          <w:bCs w:val="0"/>
          <w:color w:val="auto"/>
          <w:sz w:val="32"/>
          <w:szCs w:val="32"/>
          <w:highlight w:val="none"/>
        </w:rPr>
        <w:t>险</w:t>
      </w:r>
      <w:bookmarkEnd w:id="1535"/>
      <w:bookmarkEnd w:id="1536"/>
      <w:bookmarkEnd w:id="1537"/>
      <w:bookmarkEnd w:id="1538"/>
      <w:bookmarkEnd w:id="1539"/>
      <w:bookmarkEnd w:id="1540"/>
      <w:bookmarkEnd w:id="1541"/>
      <w:bookmarkEnd w:id="1542"/>
      <w:bookmarkEnd w:id="1543"/>
      <w:bookmarkEnd w:id="1544"/>
      <w:bookmarkEnd w:id="1545"/>
    </w:p>
    <w:p w14:paraId="29EC23A9">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18.2.1 发包人应依照法律规定参加工伤保险，并为在施工现场的全部员工办理工伤保险，缴纳工伤保险费，并要求监理人及由发包人为履行合同聘请的第三方依法参加工伤保险。</w:t>
      </w:r>
    </w:p>
    <w:p w14:paraId="474CBB04">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18.2.2 承包人应依照法律规定参加工伤保险，并为其履行合同的全部员工办理工伤保险，缴纳工伤保险费，并要求分包人及由承包人为履行合同聘请的第三方依法参加工伤保险。</w:t>
      </w:r>
      <w:bookmarkStart w:id="1546" w:name="_Toc351203615"/>
      <w:bookmarkStart w:id="1547" w:name="_Toc337558831"/>
      <w:bookmarkStart w:id="1548" w:name="_Toc296503125"/>
      <w:bookmarkStart w:id="1549" w:name="_Toc296346626"/>
    </w:p>
    <w:p w14:paraId="579390A3">
      <w:pPr>
        <w:snapToGrid/>
        <w:spacing w:before="0" w:after="0" w:line="576" w:lineRule="exact"/>
        <w:ind w:firstLine="640" w:firstLineChars="200"/>
        <w:jc w:val="both"/>
        <w:outlineLvl w:val="2"/>
        <w:rPr>
          <w:rFonts w:hint="eastAsia" w:ascii="仿宋_GB2312" w:hAnsi="仿宋_GB2312" w:eastAsia="仿宋_GB2312" w:cs="仿宋_GB2312"/>
          <w:b/>
          <w:color w:val="auto"/>
          <w:sz w:val="32"/>
          <w:szCs w:val="32"/>
          <w:highlight w:val="none"/>
        </w:rPr>
      </w:pPr>
      <w:bookmarkStart w:id="1550" w:name="_Toc27586"/>
      <w:bookmarkStart w:id="1551" w:name="_Toc9277"/>
      <w:bookmarkStart w:id="1552" w:name="_Toc16334"/>
      <w:bookmarkStart w:id="1553" w:name="_Toc28648"/>
      <w:bookmarkStart w:id="1554" w:name="_Toc23861"/>
      <w:bookmarkStart w:id="1555" w:name="_Toc23156"/>
      <w:bookmarkStart w:id="1556" w:name="_Toc21091"/>
      <w:bookmarkStart w:id="1557" w:name="_Toc13971"/>
      <w:r>
        <w:rPr>
          <w:rFonts w:hint="eastAsia" w:ascii="仿宋_GB2312" w:hAnsi="仿宋_GB2312" w:eastAsia="仿宋_GB2312" w:cs="仿宋_GB2312"/>
          <w:bCs w:val="0"/>
          <w:color w:val="auto"/>
          <w:sz w:val="32"/>
          <w:szCs w:val="32"/>
          <w:highlight w:val="none"/>
        </w:rPr>
        <w:t>18.3其他保</w:t>
      </w:r>
      <w:bookmarkEnd w:id="1546"/>
      <w:r>
        <w:rPr>
          <w:rFonts w:hint="eastAsia" w:ascii="仿宋_GB2312" w:hAnsi="仿宋_GB2312" w:eastAsia="仿宋_GB2312" w:cs="仿宋_GB2312"/>
          <w:bCs w:val="0"/>
          <w:color w:val="auto"/>
          <w:sz w:val="32"/>
          <w:szCs w:val="32"/>
          <w:highlight w:val="none"/>
        </w:rPr>
        <w:t>险</w:t>
      </w:r>
      <w:bookmarkEnd w:id="1547"/>
      <w:bookmarkEnd w:id="1548"/>
      <w:bookmarkEnd w:id="1549"/>
      <w:bookmarkEnd w:id="1550"/>
      <w:bookmarkEnd w:id="1551"/>
      <w:bookmarkEnd w:id="1552"/>
      <w:bookmarkEnd w:id="1553"/>
      <w:bookmarkEnd w:id="1554"/>
      <w:bookmarkEnd w:id="1555"/>
      <w:bookmarkEnd w:id="1556"/>
      <w:bookmarkEnd w:id="1557"/>
    </w:p>
    <w:p w14:paraId="435FADB2">
      <w:pPr>
        <w:snapToGrid/>
        <w:spacing w:line="576"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发包人和承包人可以为其施工现场的全部人员办理意外伤害保险并支付保险费，包括其员工及为履行合同聘请的第三方的人员，具体事项由合同当事人在专用合同条款约定。</w:t>
      </w:r>
    </w:p>
    <w:p w14:paraId="47CB072B">
      <w:pPr>
        <w:snapToGrid/>
        <w:spacing w:line="576"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除专用合同条款另有约定外，承包人应为其施工设备等办理财产保险。</w:t>
      </w:r>
      <w:bookmarkStart w:id="1558" w:name="_Toc351203616"/>
    </w:p>
    <w:p w14:paraId="34E2D7A5">
      <w:pPr>
        <w:snapToGrid/>
        <w:spacing w:before="0" w:after="0" w:line="576" w:lineRule="exact"/>
        <w:ind w:firstLine="640" w:firstLineChars="200"/>
        <w:jc w:val="both"/>
        <w:outlineLvl w:val="2"/>
        <w:rPr>
          <w:rFonts w:hint="eastAsia" w:ascii="仿宋_GB2312" w:hAnsi="仿宋_GB2312" w:eastAsia="仿宋_GB2312" w:cs="仿宋_GB2312"/>
          <w:b/>
          <w:color w:val="auto"/>
          <w:sz w:val="32"/>
          <w:szCs w:val="32"/>
          <w:highlight w:val="none"/>
        </w:rPr>
      </w:pPr>
      <w:bookmarkStart w:id="1559" w:name="_Toc2958"/>
      <w:bookmarkStart w:id="1560" w:name="_Toc12521"/>
      <w:bookmarkStart w:id="1561" w:name="_Toc3969"/>
      <w:bookmarkStart w:id="1562" w:name="_Toc25543"/>
      <w:bookmarkStart w:id="1563" w:name="_Toc1342"/>
      <w:bookmarkStart w:id="1564" w:name="_Toc980"/>
      <w:bookmarkStart w:id="1565" w:name="_Toc3947"/>
      <w:bookmarkStart w:id="1566" w:name="_Toc16421"/>
      <w:r>
        <w:rPr>
          <w:rFonts w:hint="eastAsia" w:ascii="仿宋_GB2312" w:hAnsi="仿宋_GB2312" w:eastAsia="仿宋_GB2312" w:cs="仿宋_GB2312"/>
          <w:bCs w:val="0"/>
          <w:color w:val="auto"/>
          <w:sz w:val="32"/>
          <w:szCs w:val="32"/>
          <w:highlight w:val="none"/>
        </w:rPr>
        <w:t>18.4持续保</w:t>
      </w:r>
      <w:bookmarkEnd w:id="1558"/>
      <w:r>
        <w:rPr>
          <w:rFonts w:hint="eastAsia" w:ascii="仿宋_GB2312" w:hAnsi="仿宋_GB2312" w:eastAsia="仿宋_GB2312" w:cs="仿宋_GB2312"/>
          <w:bCs w:val="0"/>
          <w:color w:val="auto"/>
          <w:sz w:val="32"/>
          <w:szCs w:val="32"/>
          <w:highlight w:val="none"/>
        </w:rPr>
        <w:t>险</w:t>
      </w:r>
      <w:bookmarkEnd w:id="1559"/>
      <w:bookmarkEnd w:id="1560"/>
      <w:bookmarkEnd w:id="1561"/>
      <w:bookmarkEnd w:id="1562"/>
      <w:bookmarkEnd w:id="1563"/>
      <w:bookmarkEnd w:id="1564"/>
      <w:bookmarkEnd w:id="1565"/>
      <w:bookmarkEnd w:id="1566"/>
    </w:p>
    <w:p w14:paraId="10620E9E">
      <w:pPr>
        <w:snapToGrid/>
        <w:spacing w:line="576"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合同当事人应与保险人保持联系，使保险人能够随时了解工程实施中的变动，并确保按保险合同条款要求持续保险。</w:t>
      </w:r>
      <w:bookmarkStart w:id="1567" w:name="_Toc351203617"/>
      <w:bookmarkStart w:id="1568" w:name="_Toc296346627"/>
      <w:bookmarkStart w:id="1569" w:name="_Toc337558832"/>
      <w:bookmarkStart w:id="1570" w:name="_Toc296503126"/>
    </w:p>
    <w:p w14:paraId="74B2F715">
      <w:pPr>
        <w:snapToGrid/>
        <w:spacing w:before="0" w:after="0" w:line="576" w:lineRule="exact"/>
        <w:ind w:firstLine="640" w:firstLineChars="200"/>
        <w:jc w:val="both"/>
        <w:outlineLvl w:val="2"/>
        <w:rPr>
          <w:rFonts w:hint="eastAsia" w:ascii="仿宋_GB2312" w:hAnsi="仿宋_GB2312" w:eastAsia="仿宋_GB2312" w:cs="仿宋_GB2312"/>
          <w:b/>
          <w:color w:val="auto"/>
          <w:sz w:val="32"/>
          <w:szCs w:val="32"/>
          <w:highlight w:val="none"/>
        </w:rPr>
      </w:pPr>
      <w:bookmarkStart w:id="1571" w:name="_Toc7772"/>
      <w:bookmarkStart w:id="1572" w:name="_Toc21768"/>
      <w:bookmarkStart w:id="1573" w:name="_Toc26898"/>
      <w:bookmarkStart w:id="1574" w:name="_Toc706"/>
      <w:bookmarkStart w:id="1575" w:name="_Toc5277"/>
      <w:bookmarkStart w:id="1576" w:name="_Toc3298"/>
      <w:bookmarkStart w:id="1577" w:name="_Toc8315"/>
      <w:bookmarkStart w:id="1578" w:name="_Toc10604"/>
      <w:r>
        <w:rPr>
          <w:rFonts w:hint="eastAsia" w:ascii="仿宋_GB2312" w:hAnsi="仿宋_GB2312" w:eastAsia="仿宋_GB2312" w:cs="仿宋_GB2312"/>
          <w:bCs w:val="0"/>
          <w:color w:val="auto"/>
          <w:sz w:val="32"/>
          <w:szCs w:val="32"/>
          <w:highlight w:val="none"/>
        </w:rPr>
        <w:t>18.5 保险凭</w:t>
      </w:r>
      <w:bookmarkEnd w:id="1567"/>
      <w:r>
        <w:rPr>
          <w:rFonts w:hint="eastAsia" w:ascii="仿宋_GB2312" w:hAnsi="仿宋_GB2312" w:eastAsia="仿宋_GB2312" w:cs="仿宋_GB2312"/>
          <w:bCs w:val="0"/>
          <w:color w:val="auto"/>
          <w:sz w:val="32"/>
          <w:szCs w:val="32"/>
          <w:highlight w:val="none"/>
        </w:rPr>
        <w:t>证</w:t>
      </w:r>
      <w:bookmarkEnd w:id="1568"/>
      <w:bookmarkEnd w:id="1569"/>
      <w:bookmarkEnd w:id="1570"/>
      <w:bookmarkEnd w:id="1571"/>
      <w:bookmarkEnd w:id="1572"/>
      <w:bookmarkEnd w:id="1573"/>
      <w:bookmarkEnd w:id="1574"/>
      <w:bookmarkEnd w:id="1575"/>
      <w:bookmarkEnd w:id="1576"/>
      <w:bookmarkEnd w:id="1577"/>
      <w:bookmarkEnd w:id="1578"/>
    </w:p>
    <w:p w14:paraId="2D0F2FDC">
      <w:pPr>
        <w:snapToGrid/>
        <w:spacing w:line="576"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合同当事人应及时向另一方当事人提交其已投保的各项保险的凭证和保险单复印件。</w:t>
      </w:r>
      <w:bookmarkStart w:id="1579" w:name="_Toc351203618"/>
      <w:bookmarkStart w:id="1580" w:name="_Toc296346628"/>
      <w:bookmarkStart w:id="1581" w:name="_Toc337558833"/>
      <w:bookmarkStart w:id="1582" w:name="_Toc296503127"/>
    </w:p>
    <w:p w14:paraId="37476509">
      <w:pPr>
        <w:snapToGrid/>
        <w:spacing w:before="0" w:after="0" w:line="576" w:lineRule="exact"/>
        <w:ind w:firstLine="640" w:firstLineChars="200"/>
        <w:jc w:val="both"/>
        <w:outlineLvl w:val="2"/>
        <w:rPr>
          <w:rFonts w:hint="eastAsia" w:ascii="仿宋_GB2312" w:hAnsi="仿宋_GB2312" w:eastAsia="仿宋_GB2312" w:cs="仿宋_GB2312"/>
          <w:b/>
          <w:color w:val="auto"/>
          <w:sz w:val="32"/>
          <w:szCs w:val="32"/>
          <w:highlight w:val="none"/>
        </w:rPr>
      </w:pPr>
      <w:bookmarkStart w:id="1583" w:name="_Toc31616"/>
      <w:bookmarkStart w:id="1584" w:name="_Toc27499"/>
      <w:bookmarkStart w:id="1585" w:name="_Toc20012"/>
      <w:bookmarkStart w:id="1586" w:name="_Toc11518"/>
      <w:bookmarkStart w:id="1587" w:name="_Toc15934"/>
      <w:bookmarkStart w:id="1588" w:name="_Toc13689"/>
      <w:bookmarkStart w:id="1589" w:name="_Toc5373"/>
      <w:bookmarkStart w:id="1590" w:name="_Toc10247"/>
      <w:r>
        <w:rPr>
          <w:rFonts w:hint="eastAsia" w:ascii="仿宋_GB2312" w:hAnsi="仿宋_GB2312" w:eastAsia="仿宋_GB2312" w:cs="仿宋_GB2312"/>
          <w:bCs w:val="0"/>
          <w:color w:val="auto"/>
          <w:sz w:val="32"/>
          <w:szCs w:val="32"/>
          <w:highlight w:val="none"/>
        </w:rPr>
        <w:t>18.6 未按约定投保的补</w:t>
      </w:r>
      <w:bookmarkEnd w:id="1579"/>
      <w:r>
        <w:rPr>
          <w:rFonts w:hint="eastAsia" w:ascii="仿宋_GB2312" w:hAnsi="仿宋_GB2312" w:eastAsia="仿宋_GB2312" w:cs="仿宋_GB2312"/>
          <w:bCs w:val="0"/>
          <w:color w:val="auto"/>
          <w:sz w:val="32"/>
          <w:szCs w:val="32"/>
          <w:highlight w:val="none"/>
        </w:rPr>
        <w:t>救</w:t>
      </w:r>
      <w:bookmarkEnd w:id="1580"/>
      <w:bookmarkEnd w:id="1581"/>
      <w:bookmarkEnd w:id="1582"/>
      <w:bookmarkEnd w:id="1583"/>
      <w:bookmarkEnd w:id="1584"/>
      <w:bookmarkEnd w:id="1585"/>
      <w:bookmarkEnd w:id="1586"/>
      <w:bookmarkEnd w:id="1587"/>
      <w:bookmarkEnd w:id="1588"/>
      <w:bookmarkEnd w:id="1589"/>
      <w:bookmarkEnd w:id="1590"/>
    </w:p>
    <w:p w14:paraId="1C03EFD2">
      <w:pPr>
        <w:snapToGrid/>
        <w:spacing w:line="576"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18.6.1发包人未按合同约定办理保险，或未能使保险持续有效的，则承包人可代为办理，所需费用由发包人承担。发包人未按合同约定办理保险，导致未能得到足额赔偿的，由发包人负责补足。</w:t>
      </w:r>
    </w:p>
    <w:p w14:paraId="3C1A59BB">
      <w:pPr>
        <w:snapToGrid/>
        <w:spacing w:line="576"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18.6.2承包人未按合同约定办理保险，或未能使保险持续有效的，则发包人可代为办理，所需费用由承包人承担。承包人未按合同约定办理保险，导致未能得到足额赔偿的，由承包人负责补足。</w:t>
      </w:r>
      <w:bookmarkStart w:id="1591" w:name="_Toc351203619"/>
      <w:bookmarkStart w:id="1592" w:name="_Toc337558834"/>
    </w:p>
    <w:p w14:paraId="703F6788">
      <w:pPr>
        <w:snapToGrid/>
        <w:spacing w:before="0" w:after="0" w:line="576" w:lineRule="exact"/>
        <w:ind w:firstLine="640" w:firstLineChars="200"/>
        <w:jc w:val="both"/>
        <w:outlineLvl w:val="2"/>
        <w:rPr>
          <w:rFonts w:hint="eastAsia" w:ascii="仿宋_GB2312" w:hAnsi="仿宋_GB2312" w:eastAsia="仿宋_GB2312" w:cs="仿宋_GB2312"/>
          <w:b/>
          <w:color w:val="auto"/>
          <w:sz w:val="32"/>
          <w:szCs w:val="32"/>
          <w:highlight w:val="none"/>
        </w:rPr>
      </w:pPr>
      <w:bookmarkStart w:id="1593" w:name="_Toc32185"/>
      <w:bookmarkStart w:id="1594" w:name="_Toc10296"/>
      <w:bookmarkStart w:id="1595" w:name="_Toc18055"/>
      <w:bookmarkStart w:id="1596" w:name="_Toc12119"/>
      <w:bookmarkStart w:id="1597" w:name="_Toc8225"/>
      <w:bookmarkStart w:id="1598" w:name="_Toc18394"/>
      <w:bookmarkStart w:id="1599" w:name="_Toc6973"/>
      <w:bookmarkStart w:id="1600" w:name="_Toc28101"/>
      <w:r>
        <w:rPr>
          <w:rFonts w:hint="eastAsia" w:ascii="仿宋_GB2312" w:hAnsi="仿宋_GB2312" w:eastAsia="仿宋_GB2312" w:cs="仿宋_GB2312"/>
          <w:bCs w:val="0"/>
          <w:color w:val="auto"/>
          <w:sz w:val="32"/>
          <w:szCs w:val="32"/>
          <w:highlight w:val="none"/>
        </w:rPr>
        <w:t>18.7 通知义</w:t>
      </w:r>
      <w:bookmarkEnd w:id="1591"/>
      <w:r>
        <w:rPr>
          <w:rFonts w:hint="eastAsia" w:ascii="仿宋_GB2312" w:hAnsi="仿宋_GB2312" w:eastAsia="仿宋_GB2312" w:cs="仿宋_GB2312"/>
          <w:bCs w:val="0"/>
          <w:color w:val="auto"/>
          <w:sz w:val="32"/>
          <w:szCs w:val="32"/>
          <w:highlight w:val="none"/>
        </w:rPr>
        <w:t>务</w:t>
      </w:r>
      <w:bookmarkEnd w:id="1592"/>
      <w:bookmarkEnd w:id="1593"/>
      <w:bookmarkEnd w:id="1594"/>
      <w:bookmarkEnd w:id="1595"/>
      <w:bookmarkEnd w:id="1596"/>
      <w:bookmarkEnd w:id="1597"/>
      <w:bookmarkEnd w:id="1598"/>
      <w:bookmarkEnd w:id="1599"/>
      <w:bookmarkEnd w:id="1600"/>
    </w:p>
    <w:p w14:paraId="300A18C1">
      <w:pPr>
        <w:snapToGrid/>
        <w:spacing w:line="576"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除专用合同条款另有约定外，发包人变更除工伤保险之外的保险合同时，应事先征得承包人同意，并通知监理人；承包人变更除工伤保险之外的保险合同时，应事先征得发包人同意，并通知监理人。</w:t>
      </w:r>
    </w:p>
    <w:p w14:paraId="13BB5008">
      <w:pPr>
        <w:snapToGrid/>
        <w:spacing w:line="576"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保险事故发生时，投保人应按照保险合同规定的条件和期限及时向保险人报告。发包人和承包人应当在知道保险事故发生后及时通知对方。</w:t>
      </w:r>
      <w:bookmarkStart w:id="1601" w:name="_Toc351203620"/>
      <w:bookmarkStart w:id="1602" w:name="_Toc337558835"/>
      <w:bookmarkStart w:id="1603" w:name="_Toc296346641"/>
      <w:bookmarkStart w:id="1604" w:name="_Toc296503140"/>
    </w:p>
    <w:p w14:paraId="57401915">
      <w:pPr>
        <w:spacing w:line="576" w:lineRule="exact"/>
        <w:jc w:val="both"/>
        <w:outlineLvl w:val="1"/>
        <w:rPr>
          <w:rFonts w:hint="eastAsia" w:ascii="仿宋_GB2312" w:hAnsi="仿宋_GB2312" w:eastAsia="仿宋_GB2312" w:cs="仿宋_GB2312"/>
          <w:color w:val="auto"/>
          <w:sz w:val="32"/>
          <w:szCs w:val="32"/>
          <w:highlight w:val="none"/>
        </w:rPr>
      </w:pPr>
      <w:bookmarkStart w:id="1605" w:name="_Toc13424"/>
      <w:bookmarkStart w:id="1606" w:name="_Toc1056"/>
      <w:bookmarkStart w:id="1607" w:name="_Toc2985"/>
      <w:bookmarkStart w:id="1608" w:name="_Toc8647"/>
      <w:bookmarkStart w:id="1609" w:name="_Toc32561"/>
      <w:bookmarkStart w:id="1610" w:name="_Toc11174"/>
      <w:bookmarkStart w:id="1611" w:name="_Toc10893"/>
      <w:bookmarkStart w:id="1612" w:name="_Toc31423"/>
      <w:bookmarkStart w:id="1613" w:name="_Toc20493"/>
      <w:bookmarkStart w:id="1614" w:name="_Toc31827"/>
      <w:r>
        <w:rPr>
          <w:rFonts w:hint="eastAsia" w:ascii="仿宋_GB2312" w:hAnsi="仿宋_GB2312" w:eastAsia="仿宋_GB2312" w:cs="仿宋_GB2312"/>
          <w:color w:val="auto"/>
          <w:sz w:val="32"/>
          <w:szCs w:val="32"/>
          <w:highlight w:val="none"/>
        </w:rPr>
        <w:t>19. 索</w:t>
      </w:r>
      <w:bookmarkEnd w:id="1601"/>
      <w:r>
        <w:rPr>
          <w:rFonts w:hint="eastAsia" w:ascii="仿宋_GB2312" w:hAnsi="仿宋_GB2312" w:eastAsia="仿宋_GB2312" w:cs="仿宋_GB2312"/>
          <w:color w:val="auto"/>
          <w:sz w:val="32"/>
          <w:szCs w:val="32"/>
          <w:highlight w:val="none"/>
        </w:rPr>
        <w:t>赔</w:t>
      </w:r>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Start w:id="1615" w:name="_Toc351203621"/>
      <w:bookmarkStart w:id="1616" w:name="_Toc296503141"/>
      <w:bookmarkStart w:id="1617" w:name="_Toc337558836"/>
      <w:bookmarkStart w:id="1618" w:name="_Toc296346642"/>
    </w:p>
    <w:p w14:paraId="7BAC6168">
      <w:pPr>
        <w:snapToGrid/>
        <w:spacing w:before="0" w:after="0" w:line="576" w:lineRule="exact"/>
        <w:ind w:firstLine="640" w:firstLineChars="200"/>
        <w:jc w:val="both"/>
        <w:outlineLvl w:val="2"/>
        <w:rPr>
          <w:rFonts w:hint="eastAsia" w:ascii="仿宋_GB2312" w:hAnsi="仿宋_GB2312" w:eastAsia="仿宋_GB2312" w:cs="仿宋_GB2312"/>
          <w:b/>
          <w:color w:val="auto"/>
          <w:sz w:val="32"/>
          <w:szCs w:val="32"/>
          <w:highlight w:val="none"/>
        </w:rPr>
      </w:pPr>
      <w:bookmarkStart w:id="1619" w:name="_Toc15141"/>
      <w:bookmarkStart w:id="1620" w:name="_Toc3419"/>
      <w:bookmarkStart w:id="1621" w:name="_Toc14769"/>
      <w:bookmarkStart w:id="1622" w:name="_Toc30055"/>
      <w:bookmarkStart w:id="1623" w:name="_Toc18202"/>
      <w:bookmarkStart w:id="1624" w:name="_Toc13145"/>
      <w:bookmarkStart w:id="1625" w:name="_Toc1189"/>
      <w:bookmarkStart w:id="1626" w:name="_Toc13786"/>
      <w:r>
        <w:rPr>
          <w:rFonts w:hint="eastAsia" w:ascii="仿宋_GB2312" w:hAnsi="仿宋_GB2312" w:eastAsia="仿宋_GB2312" w:cs="仿宋_GB2312"/>
          <w:bCs w:val="0"/>
          <w:color w:val="auto"/>
          <w:sz w:val="32"/>
          <w:szCs w:val="32"/>
          <w:highlight w:val="none"/>
        </w:rPr>
        <w:t>19.1承包人的索</w:t>
      </w:r>
      <w:bookmarkEnd w:id="1615"/>
      <w:r>
        <w:rPr>
          <w:rFonts w:hint="eastAsia" w:ascii="仿宋_GB2312" w:hAnsi="仿宋_GB2312" w:eastAsia="仿宋_GB2312" w:cs="仿宋_GB2312"/>
          <w:bCs w:val="0"/>
          <w:color w:val="auto"/>
          <w:sz w:val="32"/>
          <w:szCs w:val="32"/>
          <w:highlight w:val="none"/>
        </w:rPr>
        <w:t>赔</w:t>
      </w:r>
      <w:bookmarkEnd w:id="1616"/>
      <w:bookmarkEnd w:id="1617"/>
      <w:bookmarkEnd w:id="1618"/>
      <w:bookmarkEnd w:id="1619"/>
      <w:bookmarkEnd w:id="1620"/>
      <w:bookmarkEnd w:id="1621"/>
      <w:bookmarkEnd w:id="1622"/>
      <w:bookmarkEnd w:id="1623"/>
      <w:bookmarkEnd w:id="1624"/>
      <w:bookmarkEnd w:id="1625"/>
      <w:bookmarkEnd w:id="1626"/>
    </w:p>
    <w:p w14:paraId="3C8425F3">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根据合同约定，承包人认为有权得到追加付款和（或）延长工期的，应按以下程序向发包人提出索赔：</w:t>
      </w:r>
    </w:p>
    <w:p w14:paraId="77E1328B">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（1）承包人应在知道或应当知道索赔事件发生后28天内，向监理人递交索赔意向通知书，并说明发生索赔事件的事由；承包人未在前述28天内发出索赔意向通知书的，丧失要求追加付款和（或）延长工期的权利；</w:t>
      </w:r>
    </w:p>
    <w:p w14:paraId="738AB89D">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（2）承包人应在发出索赔意向通知书后28天内，向监理人正式递交索赔报告；索赔报告应详细说明索赔理由以及要求追加的付款金额和（或）延长的工期，并附必要的记录和证明材料；</w:t>
      </w:r>
    </w:p>
    <w:p w14:paraId="2DC4CBA1">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（3）索赔事件具有持续影响的，承包人应按合理时间间隔继续递交延续索赔通知，说明持续影响的实际情况和记录，列出累计的追加付款金额和（或）工期延长天数；</w:t>
      </w:r>
    </w:p>
    <w:p w14:paraId="73002D60">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（4）在索赔事件影响结束后28天内，承包人应向监理人递交最终索赔报告，说明最终要求索赔的追加付款金额和（或）延长的工期，并附必要的记录和证明材料。</w:t>
      </w:r>
      <w:bookmarkStart w:id="1627" w:name="_Toc351203622"/>
      <w:bookmarkStart w:id="1628" w:name="_Toc337558837"/>
      <w:bookmarkStart w:id="1629" w:name="_Toc296503142"/>
      <w:bookmarkStart w:id="1630" w:name="_Toc296346643"/>
    </w:p>
    <w:p w14:paraId="175D847C">
      <w:pPr>
        <w:snapToGrid/>
        <w:spacing w:before="0" w:after="0" w:line="576" w:lineRule="exact"/>
        <w:ind w:firstLine="640" w:firstLineChars="200"/>
        <w:jc w:val="both"/>
        <w:outlineLvl w:val="2"/>
        <w:rPr>
          <w:rFonts w:hint="eastAsia" w:ascii="仿宋_GB2312" w:hAnsi="仿宋_GB2312" w:eastAsia="仿宋_GB2312" w:cs="仿宋_GB2312"/>
          <w:b/>
          <w:color w:val="auto"/>
          <w:sz w:val="32"/>
          <w:szCs w:val="32"/>
          <w:highlight w:val="none"/>
        </w:rPr>
      </w:pPr>
      <w:bookmarkStart w:id="1631" w:name="_Toc22377"/>
      <w:bookmarkStart w:id="1632" w:name="_Toc20768"/>
      <w:bookmarkStart w:id="1633" w:name="_Toc31497"/>
      <w:bookmarkStart w:id="1634" w:name="_Toc19427"/>
      <w:bookmarkStart w:id="1635" w:name="_Toc22149"/>
      <w:bookmarkStart w:id="1636" w:name="_Toc641"/>
      <w:bookmarkStart w:id="1637" w:name="_Toc5075"/>
      <w:bookmarkStart w:id="1638" w:name="_Toc19329"/>
      <w:r>
        <w:rPr>
          <w:rFonts w:hint="eastAsia" w:ascii="仿宋_GB2312" w:hAnsi="仿宋_GB2312" w:eastAsia="仿宋_GB2312" w:cs="仿宋_GB2312"/>
          <w:bCs w:val="0"/>
          <w:color w:val="auto"/>
          <w:sz w:val="32"/>
          <w:szCs w:val="32"/>
          <w:highlight w:val="none"/>
        </w:rPr>
        <w:t>19.2 对承包人索赔的处</w:t>
      </w:r>
      <w:bookmarkEnd w:id="1627"/>
      <w:r>
        <w:rPr>
          <w:rFonts w:hint="eastAsia" w:ascii="仿宋_GB2312" w:hAnsi="仿宋_GB2312" w:eastAsia="仿宋_GB2312" w:cs="仿宋_GB2312"/>
          <w:bCs w:val="0"/>
          <w:color w:val="auto"/>
          <w:sz w:val="32"/>
          <w:szCs w:val="32"/>
          <w:highlight w:val="none"/>
        </w:rPr>
        <w:t>理</w:t>
      </w:r>
      <w:bookmarkEnd w:id="1628"/>
      <w:bookmarkEnd w:id="1629"/>
      <w:bookmarkEnd w:id="1630"/>
      <w:bookmarkEnd w:id="1631"/>
      <w:bookmarkEnd w:id="1632"/>
      <w:bookmarkEnd w:id="1633"/>
      <w:bookmarkEnd w:id="1634"/>
      <w:bookmarkEnd w:id="1635"/>
      <w:bookmarkEnd w:id="1636"/>
      <w:bookmarkEnd w:id="1637"/>
      <w:bookmarkEnd w:id="1638"/>
    </w:p>
    <w:p w14:paraId="667366B4">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对承包人索赔的处理如下：</w:t>
      </w:r>
    </w:p>
    <w:p w14:paraId="0D242EC2">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（1）监理人应在收到索赔报告后14天内完成审查并报送发包人。监理人对索赔报告存在异议的，有权要求承包人提交全部原始记录副本；</w:t>
      </w:r>
    </w:p>
    <w:p w14:paraId="3D7ECD31">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（2）发包人应在监理人收到索赔报告或有关索赔的进一步证明材料后的28天内，由监理人向承包人出具经发包人签认的索赔处理结果。发包人逾期答复的，则视为认可承包人的索赔要求；</w:t>
      </w:r>
    </w:p>
    <w:p w14:paraId="75AF3927">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（3）承包人接受索赔处理结果的，索赔款项在当期进度款中进行支付；承包人不接受索赔处理结果的，按照第20条〔争议解决〕约定处理。</w:t>
      </w:r>
      <w:bookmarkStart w:id="1639" w:name="_Toc351203623"/>
      <w:bookmarkStart w:id="1640" w:name="_Toc296346644"/>
      <w:bookmarkStart w:id="1641" w:name="_Toc337558838"/>
      <w:bookmarkStart w:id="1642" w:name="_Toc296503143"/>
    </w:p>
    <w:p w14:paraId="0AE357CD">
      <w:pPr>
        <w:snapToGrid/>
        <w:spacing w:before="0" w:after="0" w:line="576" w:lineRule="exact"/>
        <w:ind w:firstLine="640" w:firstLineChars="200"/>
        <w:jc w:val="both"/>
        <w:outlineLvl w:val="2"/>
        <w:rPr>
          <w:rFonts w:hint="eastAsia" w:ascii="仿宋_GB2312" w:hAnsi="仿宋_GB2312" w:eastAsia="仿宋_GB2312" w:cs="仿宋_GB2312"/>
          <w:b/>
          <w:color w:val="auto"/>
          <w:sz w:val="32"/>
          <w:szCs w:val="32"/>
          <w:highlight w:val="none"/>
        </w:rPr>
      </w:pPr>
      <w:bookmarkStart w:id="1643" w:name="_Toc29715"/>
      <w:bookmarkStart w:id="1644" w:name="_Toc12815"/>
      <w:bookmarkStart w:id="1645" w:name="_Toc19304"/>
      <w:bookmarkStart w:id="1646" w:name="_Toc19530"/>
      <w:bookmarkStart w:id="1647" w:name="_Toc26238"/>
      <w:bookmarkStart w:id="1648" w:name="_Toc12764"/>
      <w:bookmarkStart w:id="1649" w:name="_Toc22338"/>
      <w:bookmarkStart w:id="1650" w:name="_Toc4213"/>
      <w:r>
        <w:rPr>
          <w:rFonts w:hint="eastAsia" w:ascii="仿宋_GB2312" w:hAnsi="仿宋_GB2312" w:eastAsia="仿宋_GB2312" w:cs="仿宋_GB2312"/>
          <w:bCs w:val="0"/>
          <w:color w:val="auto"/>
          <w:sz w:val="32"/>
          <w:szCs w:val="32"/>
          <w:highlight w:val="none"/>
        </w:rPr>
        <w:t>19.3发包人的索</w:t>
      </w:r>
      <w:bookmarkEnd w:id="1639"/>
      <w:r>
        <w:rPr>
          <w:rFonts w:hint="eastAsia" w:ascii="仿宋_GB2312" w:hAnsi="仿宋_GB2312" w:eastAsia="仿宋_GB2312" w:cs="仿宋_GB2312"/>
          <w:bCs w:val="0"/>
          <w:color w:val="auto"/>
          <w:sz w:val="32"/>
          <w:szCs w:val="32"/>
          <w:highlight w:val="none"/>
        </w:rPr>
        <w:t>赔</w:t>
      </w:r>
      <w:bookmarkEnd w:id="1640"/>
      <w:bookmarkEnd w:id="1641"/>
      <w:bookmarkEnd w:id="1642"/>
      <w:bookmarkEnd w:id="1643"/>
      <w:bookmarkEnd w:id="1644"/>
      <w:bookmarkEnd w:id="1645"/>
      <w:bookmarkEnd w:id="1646"/>
      <w:bookmarkEnd w:id="1647"/>
      <w:bookmarkEnd w:id="1648"/>
      <w:bookmarkEnd w:id="1649"/>
      <w:bookmarkEnd w:id="1650"/>
    </w:p>
    <w:p w14:paraId="71CC6997">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根据合同约定，发包人认为有权得到赔付金额和（或）延长缺陷责任期的，监理人应向承包人发出通知并附有详细的证明。</w:t>
      </w:r>
    </w:p>
    <w:p w14:paraId="5900952E">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发包人应在知道或应当知道索赔事件发生后28天内通过监理人向承包人提出索赔意向通知书，发包人未在前述28天内发出索赔意向通知书的，丧失要求赔付金额和（或）延长缺陷责任期的权利。发包人应在发出索赔意向通知书后28天内，通过监理人向承包人正式递交索赔报告。</w:t>
      </w:r>
      <w:bookmarkStart w:id="1651" w:name="_Toc351203624"/>
      <w:bookmarkStart w:id="1652" w:name="_Toc296346645"/>
      <w:bookmarkStart w:id="1653" w:name="_Toc337558839"/>
      <w:bookmarkStart w:id="1654" w:name="_Toc296503144"/>
    </w:p>
    <w:p w14:paraId="005E88F7">
      <w:pPr>
        <w:snapToGrid/>
        <w:spacing w:before="0" w:after="0" w:line="576" w:lineRule="exact"/>
        <w:ind w:firstLine="640" w:firstLineChars="200"/>
        <w:jc w:val="both"/>
        <w:outlineLvl w:val="2"/>
        <w:rPr>
          <w:rFonts w:hint="eastAsia" w:ascii="仿宋_GB2312" w:hAnsi="仿宋_GB2312" w:eastAsia="仿宋_GB2312" w:cs="仿宋_GB2312"/>
          <w:b/>
          <w:color w:val="auto"/>
          <w:sz w:val="32"/>
          <w:szCs w:val="32"/>
          <w:highlight w:val="none"/>
        </w:rPr>
      </w:pPr>
      <w:bookmarkStart w:id="1655" w:name="_Toc31495"/>
      <w:bookmarkStart w:id="1656" w:name="_Toc25518"/>
      <w:bookmarkStart w:id="1657" w:name="_Toc22400"/>
      <w:bookmarkStart w:id="1658" w:name="_Toc4706"/>
      <w:bookmarkStart w:id="1659" w:name="_Toc31201"/>
      <w:bookmarkStart w:id="1660" w:name="_Toc26581"/>
      <w:bookmarkStart w:id="1661" w:name="_Toc16861"/>
      <w:bookmarkStart w:id="1662" w:name="_Toc17904"/>
      <w:r>
        <w:rPr>
          <w:rFonts w:hint="eastAsia" w:ascii="仿宋_GB2312" w:hAnsi="仿宋_GB2312" w:eastAsia="仿宋_GB2312" w:cs="仿宋_GB2312"/>
          <w:bCs w:val="0"/>
          <w:color w:val="auto"/>
          <w:sz w:val="32"/>
          <w:szCs w:val="32"/>
          <w:highlight w:val="none"/>
        </w:rPr>
        <w:t>19.4 对发包人索赔的处</w:t>
      </w:r>
      <w:bookmarkEnd w:id="1651"/>
      <w:r>
        <w:rPr>
          <w:rFonts w:hint="eastAsia" w:ascii="仿宋_GB2312" w:hAnsi="仿宋_GB2312" w:eastAsia="仿宋_GB2312" w:cs="仿宋_GB2312"/>
          <w:bCs w:val="0"/>
          <w:color w:val="auto"/>
          <w:sz w:val="32"/>
          <w:szCs w:val="32"/>
          <w:highlight w:val="none"/>
        </w:rPr>
        <w:t>理</w:t>
      </w:r>
      <w:bookmarkEnd w:id="1652"/>
      <w:bookmarkEnd w:id="1653"/>
      <w:bookmarkEnd w:id="1654"/>
      <w:bookmarkEnd w:id="1655"/>
      <w:bookmarkEnd w:id="1656"/>
      <w:bookmarkEnd w:id="1657"/>
      <w:bookmarkEnd w:id="1658"/>
      <w:bookmarkEnd w:id="1659"/>
      <w:bookmarkEnd w:id="1660"/>
      <w:bookmarkEnd w:id="1661"/>
      <w:bookmarkEnd w:id="1662"/>
    </w:p>
    <w:p w14:paraId="1F3417C1">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对发包人索赔的处理如下：</w:t>
      </w:r>
    </w:p>
    <w:p w14:paraId="00396AC8">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（1）承包人收到发包人提交的索赔报告后，应及时审查索赔报告的内容、查验发包人证明材料；</w:t>
      </w:r>
    </w:p>
    <w:p w14:paraId="7A40AEBF">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（2）承包人应在收到索赔报告或有关索赔的进一步证明材料后28天内，将索赔处理结果答复发包人。如果承包人未在上述期限内作出答复的，则视为对发包人索赔要求的认可；</w:t>
      </w:r>
    </w:p>
    <w:p w14:paraId="0C53EA84">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（3）承包人接受索赔处理结果的，发包人可从应支付给承包人的合同价款中扣除赔付的金额或延长缺陷责任期；发包人不接受索赔处理结果的，按第20条〔争议解决〕约定处理。</w:t>
      </w:r>
      <w:bookmarkStart w:id="1663" w:name="_Toc351203625"/>
    </w:p>
    <w:p w14:paraId="26326FBA">
      <w:pPr>
        <w:snapToGrid/>
        <w:spacing w:before="0" w:after="0" w:line="576" w:lineRule="exact"/>
        <w:ind w:firstLine="640" w:firstLineChars="200"/>
        <w:jc w:val="both"/>
        <w:outlineLvl w:val="2"/>
        <w:rPr>
          <w:rFonts w:hint="eastAsia" w:ascii="仿宋_GB2312" w:hAnsi="仿宋_GB2312" w:eastAsia="仿宋_GB2312" w:cs="仿宋_GB2312"/>
          <w:b/>
          <w:color w:val="auto"/>
          <w:sz w:val="32"/>
          <w:szCs w:val="32"/>
          <w:highlight w:val="none"/>
        </w:rPr>
      </w:pPr>
      <w:bookmarkStart w:id="1664" w:name="_Toc25133"/>
      <w:bookmarkStart w:id="1665" w:name="_Toc9980"/>
      <w:bookmarkStart w:id="1666" w:name="_Toc8883"/>
      <w:bookmarkStart w:id="1667" w:name="_Toc25492"/>
      <w:bookmarkStart w:id="1668" w:name="_Toc27982"/>
      <w:bookmarkStart w:id="1669" w:name="_Toc17113"/>
      <w:bookmarkStart w:id="1670" w:name="_Toc20652"/>
      <w:bookmarkStart w:id="1671" w:name="_Toc12429"/>
      <w:r>
        <w:rPr>
          <w:rFonts w:hint="eastAsia" w:ascii="仿宋_GB2312" w:hAnsi="仿宋_GB2312" w:eastAsia="仿宋_GB2312" w:cs="仿宋_GB2312"/>
          <w:bCs w:val="0"/>
          <w:color w:val="auto"/>
          <w:sz w:val="32"/>
          <w:szCs w:val="32"/>
          <w:highlight w:val="none"/>
        </w:rPr>
        <w:t>19.5 提出索赔的期</w:t>
      </w:r>
      <w:bookmarkEnd w:id="1663"/>
      <w:r>
        <w:rPr>
          <w:rFonts w:hint="eastAsia" w:ascii="仿宋_GB2312" w:hAnsi="仿宋_GB2312" w:eastAsia="仿宋_GB2312" w:cs="仿宋_GB2312"/>
          <w:bCs w:val="0"/>
          <w:color w:val="auto"/>
          <w:sz w:val="32"/>
          <w:szCs w:val="32"/>
          <w:highlight w:val="none"/>
        </w:rPr>
        <w:t>限</w:t>
      </w:r>
      <w:bookmarkEnd w:id="1664"/>
      <w:bookmarkEnd w:id="1665"/>
      <w:bookmarkEnd w:id="1666"/>
      <w:bookmarkEnd w:id="1667"/>
      <w:bookmarkEnd w:id="1668"/>
      <w:bookmarkEnd w:id="1669"/>
      <w:bookmarkEnd w:id="1670"/>
      <w:bookmarkEnd w:id="1671"/>
    </w:p>
    <w:p w14:paraId="28D22664">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（1）承包人按第14.2款〔竣工结算审核〕约定接收竣工付款证书后，应被视为已无权再提出在工程接收证书颁发前所发生的任何索赔。</w:t>
      </w:r>
    </w:p>
    <w:p w14:paraId="1126ED08">
      <w:pPr>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（2）承包人按第14.4款〔最终结清〕提交的最终结清申请单中，只限于提出工程接收证书颁发后发生的索赔。提出索赔的期限自接受最终结清证书时终止。</w:t>
      </w:r>
      <w:bookmarkStart w:id="1672" w:name="_Toc351203626"/>
    </w:p>
    <w:p w14:paraId="572833E0">
      <w:pPr>
        <w:spacing w:line="576" w:lineRule="exact"/>
        <w:jc w:val="both"/>
        <w:outlineLvl w:val="1"/>
        <w:rPr>
          <w:rFonts w:hint="eastAsia" w:ascii="仿宋_GB2312" w:hAnsi="仿宋_GB2312" w:eastAsia="仿宋_GB2312" w:cs="仿宋_GB2312"/>
          <w:color w:val="auto"/>
          <w:sz w:val="32"/>
          <w:szCs w:val="32"/>
          <w:highlight w:val="none"/>
        </w:rPr>
      </w:pPr>
      <w:bookmarkStart w:id="1673" w:name="_Toc6591"/>
      <w:bookmarkStart w:id="1674" w:name="_Toc8672"/>
      <w:bookmarkStart w:id="1675" w:name="_Toc10694"/>
      <w:bookmarkStart w:id="1676" w:name="_Toc28670"/>
      <w:bookmarkStart w:id="1677" w:name="_Toc25609"/>
      <w:bookmarkStart w:id="1678" w:name="_Toc14413"/>
      <w:bookmarkStart w:id="1679" w:name="_Toc13482"/>
      <w:bookmarkStart w:id="1680" w:name="_Toc14871"/>
      <w:bookmarkStart w:id="1681" w:name="_Toc29725"/>
      <w:bookmarkStart w:id="1682" w:name="_Toc25775"/>
      <w:r>
        <w:rPr>
          <w:rFonts w:hint="eastAsia" w:ascii="仿宋_GB2312" w:hAnsi="仿宋_GB2312" w:eastAsia="仿宋_GB2312" w:cs="仿宋_GB2312"/>
          <w:color w:val="auto"/>
          <w:sz w:val="32"/>
          <w:szCs w:val="32"/>
          <w:highlight w:val="none"/>
        </w:rPr>
        <w:t>2</w:t>
      </w:r>
      <w:bookmarkStart w:id="1683" w:name="_Toc337558840"/>
      <w:bookmarkStart w:id="1684" w:name="_Toc296503146"/>
      <w:bookmarkStart w:id="1685" w:name="_Toc296346647"/>
      <w:r>
        <w:rPr>
          <w:rFonts w:hint="eastAsia" w:ascii="仿宋_GB2312" w:hAnsi="仿宋_GB2312" w:eastAsia="仿宋_GB2312" w:cs="仿宋_GB2312"/>
          <w:color w:val="auto"/>
          <w:sz w:val="32"/>
          <w:szCs w:val="32"/>
          <w:highlight w:val="none"/>
        </w:rPr>
        <w:t>0. 争议解</w:t>
      </w:r>
      <w:bookmarkEnd w:id="1672"/>
      <w:r>
        <w:rPr>
          <w:rFonts w:hint="eastAsia" w:ascii="仿宋_GB2312" w:hAnsi="仿宋_GB2312" w:eastAsia="仿宋_GB2312" w:cs="仿宋_GB2312"/>
          <w:color w:val="auto"/>
          <w:sz w:val="32"/>
          <w:szCs w:val="32"/>
          <w:highlight w:val="none"/>
        </w:rPr>
        <w:t>决</w:t>
      </w:r>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Start w:id="1686" w:name="_Toc351203627"/>
      <w:bookmarkStart w:id="1687" w:name="_Toc296346648"/>
      <w:bookmarkStart w:id="1688" w:name="_Toc296503147"/>
      <w:bookmarkStart w:id="1689" w:name="_Toc337558841"/>
    </w:p>
    <w:p w14:paraId="0A442D67">
      <w:pPr>
        <w:snapToGrid/>
        <w:spacing w:before="0" w:after="0" w:line="576" w:lineRule="exact"/>
        <w:ind w:firstLine="640" w:firstLineChars="200"/>
        <w:jc w:val="both"/>
        <w:outlineLvl w:val="2"/>
        <w:rPr>
          <w:rFonts w:hint="eastAsia" w:ascii="仿宋_GB2312" w:hAnsi="仿宋_GB2312" w:eastAsia="仿宋_GB2312" w:cs="仿宋_GB2312"/>
          <w:b/>
          <w:color w:val="auto"/>
          <w:sz w:val="32"/>
          <w:szCs w:val="32"/>
          <w:highlight w:val="none"/>
        </w:rPr>
      </w:pPr>
      <w:bookmarkStart w:id="1690" w:name="_Toc30222"/>
      <w:bookmarkStart w:id="1691" w:name="_Toc20853"/>
      <w:bookmarkStart w:id="1692" w:name="_Toc26687"/>
      <w:bookmarkStart w:id="1693" w:name="_Toc11976"/>
      <w:bookmarkStart w:id="1694" w:name="_Toc10291"/>
      <w:bookmarkStart w:id="1695" w:name="_Toc22568"/>
      <w:bookmarkStart w:id="1696" w:name="_Toc15960"/>
      <w:bookmarkStart w:id="1697" w:name="_Toc15830"/>
      <w:r>
        <w:rPr>
          <w:rFonts w:hint="eastAsia" w:ascii="仿宋_GB2312" w:hAnsi="仿宋_GB2312" w:eastAsia="仿宋_GB2312" w:cs="仿宋_GB2312"/>
          <w:bCs w:val="0"/>
          <w:color w:val="auto"/>
          <w:sz w:val="32"/>
          <w:szCs w:val="32"/>
          <w:highlight w:val="none"/>
        </w:rPr>
        <w:t>20.1和</w:t>
      </w:r>
      <w:bookmarkEnd w:id="1686"/>
      <w:r>
        <w:rPr>
          <w:rFonts w:hint="eastAsia" w:ascii="仿宋_GB2312" w:hAnsi="仿宋_GB2312" w:eastAsia="仿宋_GB2312" w:cs="仿宋_GB2312"/>
          <w:bCs w:val="0"/>
          <w:color w:val="auto"/>
          <w:sz w:val="32"/>
          <w:szCs w:val="32"/>
          <w:highlight w:val="none"/>
        </w:rPr>
        <w:t>解</w:t>
      </w:r>
      <w:bookmarkEnd w:id="1687"/>
      <w:bookmarkEnd w:id="1688"/>
      <w:bookmarkEnd w:id="1689"/>
      <w:bookmarkEnd w:id="1690"/>
      <w:bookmarkEnd w:id="1691"/>
      <w:bookmarkEnd w:id="1692"/>
      <w:bookmarkEnd w:id="1693"/>
      <w:bookmarkEnd w:id="1694"/>
      <w:bookmarkEnd w:id="1695"/>
      <w:bookmarkEnd w:id="1696"/>
      <w:bookmarkEnd w:id="1697"/>
    </w:p>
    <w:p w14:paraId="695F71D7">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合同当事人可以就争议自行和解，自行和解达成协议的经双方签字并盖章后作为合同补充文件，双方均应遵照执行。</w:t>
      </w:r>
      <w:bookmarkStart w:id="1698" w:name="_Toc351203628"/>
    </w:p>
    <w:p w14:paraId="779B8713">
      <w:pPr>
        <w:snapToGrid/>
        <w:spacing w:before="0" w:after="0" w:line="576" w:lineRule="exact"/>
        <w:ind w:firstLine="640" w:firstLineChars="200"/>
        <w:jc w:val="both"/>
        <w:outlineLvl w:val="2"/>
        <w:rPr>
          <w:rFonts w:hint="eastAsia" w:ascii="仿宋_GB2312" w:hAnsi="仿宋_GB2312" w:eastAsia="仿宋_GB2312" w:cs="仿宋_GB2312"/>
          <w:b/>
          <w:color w:val="auto"/>
          <w:sz w:val="32"/>
          <w:szCs w:val="32"/>
          <w:highlight w:val="none"/>
        </w:rPr>
      </w:pPr>
      <w:bookmarkStart w:id="1699" w:name="_Toc7971"/>
      <w:bookmarkStart w:id="1700" w:name="_Toc21265"/>
      <w:bookmarkStart w:id="1701" w:name="_Toc24545"/>
      <w:bookmarkStart w:id="1702" w:name="_Toc10328"/>
      <w:bookmarkStart w:id="1703" w:name="_Toc4622"/>
      <w:bookmarkStart w:id="1704" w:name="_Toc22500"/>
      <w:bookmarkStart w:id="1705" w:name="_Toc14387"/>
      <w:bookmarkStart w:id="1706" w:name="_Toc28110"/>
      <w:r>
        <w:rPr>
          <w:rFonts w:hint="eastAsia" w:ascii="仿宋_GB2312" w:hAnsi="仿宋_GB2312" w:eastAsia="仿宋_GB2312" w:cs="仿宋_GB2312"/>
          <w:bCs w:val="0"/>
          <w:color w:val="auto"/>
          <w:sz w:val="32"/>
          <w:szCs w:val="32"/>
          <w:highlight w:val="none"/>
        </w:rPr>
        <w:t>2</w:t>
      </w:r>
      <w:bookmarkStart w:id="1707" w:name="_Toc296503148"/>
      <w:bookmarkStart w:id="1708" w:name="_Toc337558842"/>
      <w:bookmarkStart w:id="1709" w:name="_Toc296346649"/>
      <w:r>
        <w:rPr>
          <w:rFonts w:hint="eastAsia" w:ascii="仿宋_GB2312" w:hAnsi="仿宋_GB2312" w:eastAsia="仿宋_GB2312" w:cs="仿宋_GB2312"/>
          <w:bCs w:val="0"/>
          <w:color w:val="auto"/>
          <w:sz w:val="32"/>
          <w:szCs w:val="32"/>
          <w:highlight w:val="none"/>
        </w:rPr>
        <w:t>0.2调</w:t>
      </w:r>
      <w:bookmarkEnd w:id="1698"/>
      <w:r>
        <w:rPr>
          <w:rFonts w:hint="eastAsia" w:ascii="仿宋_GB2312" w:hAnsi="仿宋_GB2312" w:eastAsia="仿宋_GB2312" w:cs="仿宋_GB2312"/>
          <w:bCs w:val="0"/>
          <w:color w:val="auto"/>
          <w:sz w:val="32"/>
          <w:szCs w:val="32"/>
          <w:highlight w:val="none"/>
        </w:rPr>
        <w:t>解</w:t>
      </w:r>
      <w:bookmarkEnd w:id="1699"/>
      <w:bookmarkEnd w:id="1700"/>
      <w:bookmarkEnd w:id="1701"/>
      <w:bookmarkEnd w:id="1702"/>
      <w:bookmarkEnd w:id="1703"/>
      <w:bookmarkEnd w:id="1704"/>
      <w:bookmarkEnd w:id="1705"/>
      <w:bookmarkEnd w:id="1706"/>
      <w:bookmarkEnd w:id="1707"/>
      <w:bookmarkEnd w:id="1708"/>
      <w:bookmarkEnd w:id="1709"/>
    </w:p>
    <w:p w14:paraId="0373C0B1">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合同当事人可以就争议请求建设行政主管部门、行业协会或其他第三方进行调解，调解达成协议的，经双方签字并盖章后作为合同补充文件，双方均应遵照执行。</w:t>
      </w:r>
      <w:bookmarkStart w:id="1710" w:name="_Toc351203629"/>
      <w:bookmarkStart w:id="1711" w:name="_Toc296346650"/>
      <w:bookmarkStart w:id="1712" w:name="_Toc296503149"/>
      <w:bookmarkStart w:id="1713" w:name="_Toc337558843"/>
    </w:p>
    <w:p w14:paraId="76ADB88D">
      <w:pPr>
        <w:snapToGrid/>
        <w:spacing w:before="0" w:after="0" w:line="576" w:lineRule="exact"/>
        <w:ind w:firstLine="640" w:firstLineChars="200"/>
        <w:jc w:val="both"/>
        <w:outlineLvl w:val="2"/>
        <w:rPr>
          <w:rFonts w:hint="eastAsia" w:ascii="仿宋_GB2312" w:hAnsi="仿宋_GB2312" w:eastAsia="仿宋_GB2312" w:cs="仿宋_GB2312"/>
          <w:b/>
          <w:color w:val="auto"/>
          <w:sz w:val="32"/>
          <w:szCs w:val="32"/>
          <w:highlight w:val="none"/>
        </w:rPr>
      </w:pPr>
      <w:bookmarkStart w:id="1714" w:name="_Toc10522"/>
      <w:bookmarkStart w:id="1715" w:name="_Toc3795"/>
      <w:bookmarkStart w:id="1716" w:name="_Toc14012"/>
      <w:bookmarkStart w:id="1717" w:name="_Toc8026"/>
      <w:bookmarkStart w:id="1718" w:name="_Toc17776"/>
      <w:bookmarkStart w:id="1719" w:name="_Toc27464"/>
      <w:bookmarkStart w:id="1720" w:name="_Toc28459"/>
      <w:bookmarkStart w:id="1721" w:name="_Toc23765"/>
      <w:r>
        <w:rPr>
          <w:rFonts w:hint="eastAsia" w:ascii="仿宋_GB2312" w:hAnsi="仿宋_GB2312" w:eastAsia="仿宋_GB2312" w:cs="仿宋_GB2312"/>
          <w:bCs w:val="0"/>
          <w:color w:val="auto"/>
          <w:sz w:val="32"/>
          <w:szCs w:val="32"/>
          <w:highlight w:val="none"/>
        </w:rPr>
        <w:t>20.3争议评</w:t>
      </w:r>
      <w:bookmarkEnd w:id="1710"/>
      <w:r>
        <w:rPr>
          <w:rFonts w:hint="eastAsia" w:ascii="仿宋_GB2312" w:hAnsi="仿宋_GB2312" w:eastAsia="仿宋_GB2312" w:cs="仿宋_GB2312"/>
          <w:bCs w:val="0"/>
          <w:color w:val="auto"/>
          <w:sz w:val="32"/>
          <w:szCs w:val="32"/>
          <w:highlight w:val="none"/>
        </w:rPr>
        <w:t>审</w:t>
      </w:r>
      <w:bookmarkEnd w:id="1711"/>
      <w:bookmarkEnd w:id="1712"/>
      <w:bookmarkEnd w:id="1713"/>
      <w:bookmarkEnd w:id="1714"/>
      <w:bookmarkEnd w:id="1715"/>
      <w:bookmarkEnd w:id="1716"/>
      <w:bookmarkEnd w:id="1717"/>
      <w:bookmarkEnd w:id="1718"/>
      <w:bookmarkEnd w:id="1719"/>
      <w:bookmarkEnd w:id="1720"/>
      <w:bookmarkEnd w:id="1721"/>
    </w:p>
    <w:p w14:paraId="48F79E85">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 xml:space="preserve">合同当事人在专用合同条款中约定采取争议评审方式解决争议以及评审规则，并按下列约定执行： </w:t>
      </w:r>
    </w:p>
    <w:p w14:paraId="4C38E6DA">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20.3.1 争议评审小组的确定</w:t>
      </w:r>
    </w:p>
    <w:p w14:paraId="594ABE06">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合同当事人可以共同选择一名或三名争议评审员，组成争议评审小组。除专用合同条款另有约定外，合同当事人应当自合同签订后28天内，或者争议发生后14天内，选定争议评审员。</w:t>
      </w:r>
    </w:p>
    <w:p w14:paraId="3165FE37">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 xml:space="preserve">选择一名争议评审员的，由合同当事人共同确定；选择三名争议评审员的，各自选定一名，第三名成员为首席争议评审员，由合同当事人共同确定或由合同当事人委托已选定的争议评审员共同确定，或由专用合同条款约定的评审机构指定第三名首席争议评审员。 </w:t>
      </w:r>
    </w:p>
    <w:p w14:paraId="19E4166D">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除专用合同条款另有约定外，评审员报酬由发包人和承包人各承担一半。</w:t>
      </w:r>
    </w:p>
    <w:p w14:paraId="61071490">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20.3.2 争议评审小组的决定</w:t>
      </w:r>
    </w:p>
    <w:p w14:paraId="685E003A">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合同当事人可在任何时间将与合同有关的任何争议共同提请争议评审小组进行评审。争议评审小组应秉持客观、公正原则，充分听取合同当事人的意见，依据相关法律、规范、标准、案例经验及商业惯例等，自收到争议评审申请报告后14天内作出书面决定，并说明理由。合同当事人可以在专用合同条款中对</w:t>
      </w:r>
      <w:r>
        <w:rPr>
          <w:rFonts w:hint="eastAsia" w:ascii="仿宋_GB2312" w:hAnsi="仿宋_GB2312" w:eastAsia="仿宋_GB2312" w:cs="仿宋_GB2312"/>
          <w:color w:val="auto"/>
          <w:kern w:val="0"/>
          <w:sz w:val="32"/>
          <w:szCs w:val="32"/>
          <w:highlight w:val="none"/>
          <w:lang w:eastAsia="zh-CN"/>
        </w:rPr>
        <w:t>本</w:t>
      </w:r>
      <w:r>
        <w:rPr>
          <w:rFonts w:hint="eastAsia" w:ascii="仿宋_GB2312" w:hAnsi="仿宋_GB2312" w:eastAsia="仿宋_GB2312" w:cs="仿宋_GB2312"/>
          <w:color w:val="auto"/>
          <w:kern w:val="0"/>
          <w:sz w:val="32"/>
          <w:szCs w:val="32"/>
          <w:highlight w:val="none"/>
        </w:rPr>
        <w:t>事项另行约定。</w:t>
      </w:r>
    </w:p>
    <w:p w14:paraId="01160E3B">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20.3.3 争议评审小组决定的效力</w:t>
      </w:r>
    </w:p>
    <w:p w14:paraId="3A43850D">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争议评审小组作出的书面决定经合同当事人签字确认后，对双方具有约束力，双方应遵照执行。</w:t>
      </w:r>
    </w:p>
    <w:p w14:paraId="62FF736F">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任何一方当事人不接受争议评审小组决定或不履行争议评审小组决定的，双方可选择采用其他争议解决方式。</w:t>
      </w:r>
      <w:bookmarkStart w:id="1722" w:name="_Toc351203630"/>
      <w:bookmarkStart w:id="1723" w:name="_Toc296346651"/>
      <w:bookmarkStart w:id="1724" w:name="_Toc296503150"/>
      <w:bookmarkStart w:id="1725" w:name="_Toc337558844"/>
    </w:p>
    <w:p w14:paraId="39183A30">
      <w:pPr>
        <w:spacing w:line="576" w:lineRule="exact"/>
        <w:ind w:firstLine="640" w:firstLineChars="200"/>
        <w:jc w:val="both"/>
        <w:outlineLvl w:val="2"/>
        <w:rPr>
          <w:rFonts w:hint="eastAsia" w:ascii="仿宋_GB2312" w:hAnsi="仿宋_GB2312" w:eastAsia="仿宋_GB2312" w:cs="仿宋_GB2312"/>
          <w:color w:val="auto"/>
          <w:sz w:val="32"/>
          <w:szCs w:val="32"/>
          <w:highlight w:val="none"/>
        </w:rPr>
      </w:pPr>
      <w:bookmarkStart w:id="1726" w:name="_Toc30068"/>
      <w:bookmarkStart w:id="1727" w:name="_Toc29617"/>
      <w:bookmarkStart w:id="1728" w:name="_Toc201"/>
      <w:bookmarkStart w:id="1729" w:name="_Toc11054"/>
      <w:bookmarkStart w:id="1730" w:name="_Toc27222"/>
      <w:bookmarkStart w:id="1731" w:name="_Toc12003"/>
      <w:bookmarkStart w:id="1732" w:name="_Toc7034"/>
      <w:bookmarkStart w:id="1733" w:name="_Toc5345"/>
      <w:r>
        <w:rPr>
          <w:rFonts w:hint="eastAsia" w:ascii="仿宋_GB2312" w:hAnsi="仿宋_GB2312" w:eastAsia="仿宋_GB2312" w:cs="仿宋_GB2312"/>
          <w:color w:val="auto"/>
          <w:sz w:val="32"/>
          <w:szCs w:val="32"/>
          <w:highlight w:val="none"/>
        </w:rPr>
        <w:t>20.4仲裁或诉</w:t>
      </w:r>
      <w:bookmarkEnd w:id="1722"/>
      <w:r>
        <w:rPr>
          <w:rFonts w:hint="eastAsia" w:ascii="仿宋_GB2312" w:hAnsi="仿宋_GB2312" w:eastAsia="仿宋_GB2312" w:cs="仿宋_GB2312"/>
          <w:color w:val="auto"/>
          <w:sz w:val="32"/>
          <w:szCs w:val="32"/>
          <w:highlight w:val="none"/>
        </w:rPr>
        <w:t>讼</w:t>
      </w:r>
      <w:bookmarkEnd w:id="1723"/>
      <w:bookmarkEnd w:id="1724"/>
      <w:bookmarkEnd w:id="1725"/>
      <w:bookmarkEnd w:id="1726"/>
      <w:bookmarkEnd w:id="1727"/>
      <w:bookmarkEnd w:id="1728"/>
      <w:bookmarkEnd w:id="1729"/>
      <w:bookmarkEnd w:id="1730"/>
      <w:bookmarkEnd w:id="1731"/>
      <w:bookmarkEnd w:id="1732"/>
      <w:bookmarkEnd w:id="1733"/>
    </w:p>
    <w:p w14:paraId="280AEFED">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因合同及合同有关事项产生的争议，合同当事人可以在专用合同条款中约定以下一种方式解决争议：</w:t>
      </w:r>
    </w:p>
    <w:p w14:paraId="4206BC1A">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（1）向约定的仲裁委员会申请仲裁；</w:t>
      </w:r>
    </w:p>
    <w:p w14:paraId="6BEE59F4">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（2）向有管辖权的人民法院起诉。</w:t>
      </w:r>
      <w:bookmarkStart w:id="1734" w:name="_Toc351203631"/>
      <w:bookmarkStart w:id="1735" w:name="_Toc296346653"/>
      <w:bookmarkStart w:id="1736" w:name="_Toc337558845"/>
      <w:bookmarkStart w:id="1737" w:name="_Toc296503152"/>
    </w:p>
    <w:p w14:paraId="4E6891B9">
      <w:pPr>
        <w:spacing w:line="576" w:lineRule="exact"/>
        <w:ind w:firstLine="640" w:firstLineChars="200"/>
        <w:jc w:val="both"/>
        <w:outlineLvl w:val="2"/>
        <w:rPr>
          <w:rFonts w:hint="eastAsia" w:ascii="仿宋_GB2312" w:hAnsi="仿宋_GB2312" w:eastAsia="仿宋_GB2312" w:cs="仿宋_GB2312"/>
          <w:color w:val="auto"/>
          <w:sz w:val="32"/>
          <w:szCs w:val="32"/>
          <w:highlight w:val="none"/>
        </w:rPr>
      </w:pPr>
      <w:bookmarkStart w:id="1738" w:name="_Toc32018"/>
      <w:bookmarkStart w:id="1739" w:name="_Toc22976"/>
      <w:bookmarkStart w:id="1740" w:name="_Toc11522"/>
      <w:bookmarkStart w:id="1741" w:name="_Toc6328"/>
      <w:bookmarkStart w:id="1742" w:name="_Toc20981"/>
      <w:bookmarkStart w:id="1743" w:name="_Toc17991"/>
      <w:bookmarkStart w:id="1744" w:name="_Toc12594"/>
      <w:bookmarkStart w:id="1745" w:name="_Toc32378"/>
      <w:r>
        <w:rPr>
          <w:rFonts w:hint="eastAsia" w:ascii="仿宋_GB2312" w:hAnsi="仿宋_GB2312" w:eastAsia="仿宋_GB2312" w:cs="仿宋_GB2312"/>
          <w:color w:val="auto"/>
          <w:sz w:val="32"/>
          <w:szCs w:val="32"/>
          <w:highlight w:val="none"/>
        </w:rPr>
        <w:t>20.5争议解决条款效</w:t>
      </w:r>
      <w:bookmarkEnd w:id="1734"/>
      <w:r>
        <w:rPr>
          <w:rFonts w:hint="eastAsia" w:ascii="仿宋_GB2312" w:hAnsi="仿宋_GB2312" w:eastAsia="仿宋_GB2312" w:cs="仿宋_GB2312"/>
          <w:color w:val="auto"/>
          <w:sz w:val="32"/>
          <w:szCs w:val="32"/>
          <w:highlight w:val="none"/>
        </w:rPr>
        <w:t>力</w:t>
      </w:r>
      <w:bookmarkEnd w:id="1735"/>
      <w:bookmarkEnd w:id="1736"/>
      <w:bookmarkEnd w:id="1737"/>
      <w:bookmarkEnd w:id="1738"/>
      <w:bookmarkEnd w:id="1739"/>
      <w:bookmarkEnd w:id="1740"/>
      <w:bookmarkEnd w:id="1741"/>
      <w:bookmarkEnd w:id="1742"/>
      <w:bookmarkEnd w:id="1743"/>
      <w:bookmarkEnd w:id="1744"/>
      <w:bookmarkEnd w:id="1745"/>
    </w:p>
    <w:p w14:paraId="7C7C0BAD">
      <w:pPr>
        <w:autoSpaceDE w:val="0"/>
        <w:autoSpaceDN w:val="0"/>
        <w:adjustRightInd/>
        <w:snapToGrid/>
        <w:spacing w:line="576" w:lineRule="exact"/>
        <w:ind w:firstLine="640" w:firstLineChars="200"/>
        <w:jc w:val="both"/>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32"/>
          <w:szCs w:val="32"/>
          <w:highlight w:val="none"/>
        </w:rPr>
        <w:t xml:space="preserve">合同有关争议解决的条款独立存在，合同的变更、解除、终止、无效或者被撤销均不影响其效力。 </w:t>
      </w:r>
      <w:bookmarkStart w:id="1746" w:name="_Toc351203632"/>
    </w:p>
    <w:p w14:paraId="71EF6EC6">
      <w:pPr>
        <w:snapToGrid w:val="0"/>
        <w:spacing w:line="360" w:lineRule="auto"/>
        <w:jc w:val="both"/>
        <w:rPr>
          <w:rFonts w:hint="eastAsia" w:ascii="仿宋_GB2312" w:hAnsi="仿宋_GB2312" w:eastAsia="仿宋_GB2312" w:cs="仿宋_GB2312"/>
          <w:b/>
          <w:bCs/>
          <w:color w:val="auto"/>
          <w:sz w:val="44"/>
          <w:szCs w:val="44"/>
          <w:highlight w:val="none"/>
        </w:rPr>
      </w:pPr>
      <w:r>
        <w:rPr>
          <w:rFonts w:hint="eastAsia" w:ascii="仿宋" w:hAnsi="仿宋" w:eastAsia="仿宋" w:cs="仿宋"/>
          <w:color w:val="auto"/>
          <w:sz w:val="28"/>
          <w:szCs w:val="28"/>
          <w:highlight w:val="none"/>
        </w:rPr>
        <w:br w:type="page"/>
      </w:r>
      <w:bookmarkStart w:id="1747" w:name="_Toc10348"/>
    </w:p>
    <w:p w14:paraId="54C76203">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0"/>
        <w:rPr>
          <w:rFonts w:hint="eastAsia" w:ascii="方正小标宋简体" w:hAnsi="方正小标宋简体" w:eastAsia="方正小标宋简体" w:cs="方正小标宋简体"/>
          <w:b w:val="0"/>
          <w:bCs w:val="0"/>
          <w:color w:val="auto"/>
          <w:sz w:val="44"/>
          <w:szCs w:val="44"/>
          <w:highlight w:val="none"/>
        </w:rPr>
      </w:pPr>
      <w:bookmarkStart w:id="1748" w:name="_Toc18192"/>
      <w:bookmarkStart w:id="1749" w:name="_Toc22447"/>
      <w:bookmarkStart w:id="1750" w:name="_Toc13706"/>
      <w:bookmarkStart w:id="1751" w:name="_Toc15598"/>
      <w:bookmarkStart w:id="1752" w:name="_Toc29236"/>
      <w:bookmarkStart w:id="1753" w:name="_Toc20161"/>
      <w:bookmarkStart w:id="1754" w:name="_Toc24491"/>
      <w:bookmarkStart w:id="1755" w:name="_Toc31549"/>
      <w:bookmarkStart w:id="1756" w:name="_Toc18522"/>
      <w:r>
        <w:rPr>
          <w:rFonts w:hint="eastAsia" w:ascii="方正小标宋简体" w:hAnsi="方正小标宋简体" w:eastAsia="方正小标宋简体" w:cs="方正小标宋简体"/>
          <w:b w:val="0"/>
          <w:bCs w:val="0"/>
          <w:color w:val="auto"/>
          <w:sz w:val="44"/>
          <w:szCs w:val="44"/>
          <w:highlight w:val="none"/>
        </w:rPr>
        <w:t>第三部分 专用合同条</w:t>
      </w:r>
      <w:bookmarkEnd w:id="1746"/>
      <w:r>
        <w:rPr>
          <w:rFonts w:hint="eastAsia" w:ascii="方正小标宋简体" w:hAnsi="方正小标宋简体" w:eastAsia="方正小标宋简体" w:cs="方正小标宋简体"/>
          <w:b w:val="0"/>
          <w:bCs w:val="0"/>
          <w:color w:val="auto"/>
          <w:sz w:val="44"/>
          <w:szCs w:val="44"/>
          <w:highlight w:val="none"/>
        </w:rPr>
        <w:t>款</w:t>
      </w:r>
      <w:bookmarkEnd w:id="1747"/>
      <w:bookmarkEnd w:id="1748"/>
      <w:bookmarkEnd w:id="1749"/>
      <w:bookmarkEnd w:id="1750"/>
      <w:bookmarkEnd w:id="1751"/>
      <w:bookmarkEnd w:id="1752"/>
      <w:bookmarkEnd w:id="1753"/>
      <w:bookmarkEnd w:id="1754"/>
      <w:bookmarkEnd w:id="1755"/>
      <w:bookmarkEnd w:id="1756"/>
      <w:bookmarkStart w:id="1757" w:name="_Toc351203633"/>
    </w:p>
    <w:p w14:paraId="12D2D125">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highlight w:val="none"/>
        </w:rPr>
      </w:pPr>
      <w:bookmarkStart w:id="1758" w:name="_Toc296891196"/>
      <w:bookmarkStart w:id="1759" w:name="_Toc30875"/>
      <w:bookmarkStart w:id="1760" w:name="_Toc296347155"/>
      <w:bookmarkStart w:id="1761" w:name="_Toc296503156"/>
      <w:bookmarkStart w:id="1762" w:name="_Toc297120456"/>
      <w:bookmarkStart w:id="1763" w:name="_Toc292559866"/>
      <w:bookmarkStart w:id="1764" w:name="_Toc297048342"/>
      <w:bookmarkStart w:id="1765" w:name="_Toc296944495"/>
      <w:bookmarkStart w:id="1766" w:name="_Toc296890984"/>
      <w:bookmarkStart w:id="1767" w:name="_Toc292559361"/>
      <w:bookmarkStart w:id="1768" w:name="_Toc31025"/>
      <w:bookmarkStart w:id="1769" w:name="_Toc296346657"/>
      <w:r>
        <w:rPr>
          <w:rFonts w:hint="eastAsia" w:ascii="仿宋_GB2312" w:hAnsi="仿宋_GB2312" w:eastAsia="仿宋_GB2312" w:cs="仿宋_GB2312"/>
          <w:color w:val="auto"/>
          <w:sz w:val="32"/>
          <w:szCs w:val="32"/>
          <w:highlight w:val="none"/>
        </w:rPr>
        <w:t>说明：本专用合同条款是对“通用合同条款”的补充、细化和约定，应对照通用合同条款中同一编号的条款一起阅读和理解。如果本“专用合同条款”与“通用合同条款”不一致时，以本“专用合同条款”的约定为准。</w:t>
      </w:r>
    </w:p>
    <w:p w14:paraId="4B64ED10">
      <w:pPr>
        <w:pageBreakBefore w:val="0"/>
        <w:widowControl/>
        <w:kinsoku/>
        <w:wordWrap/>
        <w:overflowPunct/>
        <w:topLinePunct w:val="0"/>
        <w:bidi w:val="0"/>
        <w:adjustRightInd w:val="0"/>
        <w:snapToGrid w:val="0"/>
        <w:spacing w:line="560" w:lineRule="exact"/>
        <w:ind w:firstLine="640" w:firstLineChars="200"/>
        <w:jc w:val="both"/>
        <w:outlineLvl w:val="9"/>
        <w:rPr>
          <w:rFonts w:hint="eastAsia" w:ascii="黑体" w:hAnsi="黑体" w:eastAsia="黑体" w:cs="黑体"/>
          <w:b w:val="0"/>
          <w:bCs/>
          <w:color w:val="auto"/>
          <w:sz w:val="32"/>
          <w:szCs w:val="32"/>
          <w:highlight w:val="none"/>
        </w:rPr>
      </w:pPr>
      <w:bookmarkStart w:id="1770" w:name="_Toc21395"/>
      <w:bookmarkStart w:id="1771" w:name="_Toc7276"/>
      <w:bookmarkStart w:id="1772" w:name="_Toc532"/>
      <w:bookmarkStart w:id="1773" w:name="_Toc30913"/>
      <w:bookmarkStart w:id="1774" w:name="_Toc27762"/>
      <w:bookmarkStart w:id="1775" w:name="_Toc28765"/>
      <w:bookmarkStart w:id="1776" w:name="_Toc28922"/>
      <w:bookmarkStart w:id="1777" w:name="_Toc27655"/>
      <w:r>
        <w:rPr>
          <w:rFonts w:hint="eastAsia" w:ascii="黑体" w:hAnsi="黑体" w:eastAsia="黑体" w:cs="黑体"/>
          <w:b w:val="0"/>
          <w:bCs/>
          <w:color w:val="auto"/>
          <w:sz w:val="32"/>
          <w:szCs w:val="32"/>
          <w:highlight w:val="none"/>
        </w:rPr>
        <w:t>1. 一般约</w:t>
      </w:r>
      <w:bookmarkEnd w:id="1757"/>
      <w:r>
        <w:rPr>
          <w:rFonts w:hint="eastAsia" w:ascii="黑体" w:hAnsi="黑体" w:eastAsia="黑体" w:cs="黑体"/>
          <w:b w:val="0"/>
          <w:bCs/>
          <w:color w:val="auto"/>
          <w:sz w:val="32"/>
          <w:szCs w:val="32"/>
          <w:highlight w:val="none"/>
        </w:rPr>
        <w:t>定</w:t>
      </w:r>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p>
    <w:p w14:paraId="7FDC27DF">
      <w:pPr>
        <w:pageBreakBefore w:val="0"/>
        <w:kinsoku/>
        <w:wordWrap/>
        <w:overflowPunct/>
        <w:topLinePunct w:val="0"/>
        <w:bidi w:val="0"/>
        <w:adjustRightInd w:val="0"/>
        <w:snapToGrid w:val="0"/>
        <w:spacing w:line="560" w:lineRule="exact"/>
        <w:ind w:firstLine="640" w:firstLineChars="200"/>
        <w:jc w:val="both"/>
        <w:outlineLvl w:val="9"/>
        <w:rPr>
          <w:rFonts w:hint="eastAsia" w:ascii="仿宋_GB2312" w:hAnsi="仿宋_GB2312" w:eastAsia="仿宋_GB2312" w:cs="仿宋_GB2312"/>
          <w:color w:val="auto"/>
          <w:sz w:val="32"/>
          <w:szCs w:val="32"/>
          <w:highlight w:val="none"/>
        </w:rPr>
      </w:pPr>
      <w:bookmarkStart w:id="1778" w:name="_Toc23425"/>
      <w:bookmarkStart w:id="1779" w:name="_Toc9581"/>
      <w:bookmarkStart w:id="1780" w:name="_Toc1161"/>
      <w:bookmarkStart w:id="1781" w:name="_Toc30501"/>
      <w:bookmarkStart w:id="1782" w:name="_Toc1201"/>
      <w:bookmarkStart w:id="1783" w:name="_Toc4545"/>
      <w:bookmarkStart w:id="1784" w:name="_Toc22446"/>
      <w:bookmarkStart w:id="1785" w:name="_Toc25597"/>
      <w:r>
        <w:rPr>
          <w:rFonts w:hint="eastAsia" w:ascii="仿宋_GB2312" w:hAnsi="仿宋_GB2312" w:eastAsia="仿宋_GB2312" w:cs="仿宋_GB2312"/>
          <w:color w:val="auto"/>
          <w:sz w:val="32"/>
          <w:szCs w:val="32"/>
          <w:highlight w:val="none"/>
        </w:rPr>
        <w:t>1.1 词语定义</w:t>
      </w:r>
      <w:bookmarkEnd w:id="1778"/>
      <w:bookmarkEnd w:id="1779"/>
      <w:bookmarkEnd w:id="1780"/>
      <w:bookmarkEnd w:id="1781"/>
      <w:bookmarkEnd w:id="1782"/>
      <w:bookmarkEnd w:id="1783"/>
      <w:bookmarkEnd w:id="1784"/>
      <w:bookmarkEnd w:id="1785"/>
    </w:p>
    <w:p w14:paraId="5652B02D">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1.1.1合同</w:t>
      </w:r>
    </w:p>
    <w:p w14:paraId="25CB5D5D">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rPr>
        <w:t>1.1.1.10其他合同文件包括：</w:t>
      </w:r>
      <w:r>
        <w:rPr>
          <w:rFonts w:hint="eastAsia" w:ascii="仿宋_GB2312" w:hAnsi="仿宋_GB2312" w:eastAsia="仿宋_GB2312" w:cs="仿宋_GB2312"/>
          <w:color w:val="auto"/>
          <w:sz w:val="32"/>
          <w:szCs w:val="32"/>
          <w:highlight w:val="none"/>
          <w:u w:val="none"/>
        </w:rPr>
        <w:t>合同履行期间双方确认的对合同有约束力的会议纪要、签证及设计变更等相关资料。合同附件、招标文件、投标文件、合同履行过程中双方以书面形式签署的补充协议和修正文本均为本合同的组成部分。</w:t>
      </w:r>
    </w:p>
    <w:p w14:paraId="07DF70EA">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1.1.2 合同当事人及其他相关方</w:t>
      </w:r>
    </w:p>
    <w:p w14:paraId="7FC26981">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1.1.2.4监理人：</w:t>
      </w:r>
      <w:r>
        <w:rPr>
          <w:rFonts w:hint="eastAsia" w:ascii="仿宋_GB2312" w:hAnsi="仿宋_GB2312" w:eastAsia="仿宋_GB2312" w:cs="仿宋_GB2312"/>
          <w:color w:val="auto"/>
          <w:sz w:val="32"/>
          <w:szCs w:val="32"/>
          <w:highlight w:val="none"/>
          <w:u w:val="none"/>
          <w:lang w:val="en-US" w:eastAsia="zh-CN"/>
        </w:rPr>
        <w:t>具体详见附件15</w:t>
      </w:r>
      <w:r>
        <w:rPr>
          <w:rFonts w:hint="eastAsia" w:ascii="仿宋_GB2312" w:hAnsi="仿宋_GB2312" w:eastAsia="仿宋_GB2312" w:cs="仿宋_GB2312"/>
          <w:color w:val="auto"/>
          <w:sz w:val="32"/>
          <w:szCs w:val="32"/>
          <w:highlight w:val="none"/>
          <w:u w:val="none"/>
        </w:rPr>
        <w:t>。</w:t>
      </w:r>
    </w:p>
    <w:p w14:paraId="57B61E54">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1.1.2.5 设计人：</w:t>
      </w:r>
      <w:r>
        <w:rPr>
          <w:rFonts w:hint="eastAsia" w:ascii="仿宋_GB2312" w:hAnsi="仿宋_GB2312" w:eastAsia="仿宋_GB2312" w:cs="仿宋_GB2312"/>
          <w:color w:val="auto"/>
          <w:sz w:val="32"/>
          <w:szCs w:val="32"/>
          <w:highlight w:val="none"/>
          <w:u w:val="none"/>
          <w:lang w:val="en-US" w:eastAsia="zh-CN"/>
        </w:rPr>
        <w:t>具体详见附件15</w:t>
      </w:r>
      <w:r>
        <w:rPr>
          <w:rFonts w:hint="eastAsia" w:ascii="仿宋_GB2312" w:hAnsi="仿宋_GB2312" w:eastAsia="仿宋_GB2312" w:cs="仿宋_GB2312"/>
          <w:color w:val="auto"/>
          <w:sz w:val="32"/>
          <w:szCs w:val="32"/>
          <w:highlight w:val="none"/>
          <w:u w:val="none"/>
        </w:rPr>
        <w:t>。</w:t>
      </w:r>
    </w:p>
    <w:p w14:paraId="62799E98">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1.1.3 工程和设备</w:t>
      </w:r>
    </w:p>
    <w:p w14:paraId="519BA6DD">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1.1.3.7 作为施工现场组成部分的其他场所包括：</w:t>
      </w:r>
      <w:r>
        <w:rPr>
          <w:rFonts w:hint="eastAsia" w:ascii="仿宋_GB2312" w:hAnsi="仿宋_GB2312" w:eastAsia="仿宋_GB2312" w:cs="仿宋_GB2312"/>
          <w:color w:val="auto"/>
          <w:sz w:val="32"/>
          <w:szCs w:val="32"/>
          <w:highlight w:val="none"/>
          <w:u w:val="none"/>
          <w:lang w:val="en-US" w:eastAsia="zh-CN"/>
        </w:rPr>
        <w:t>现场临时办公及施工场地等</w:t>
      </w:r>
      <w:r>
        <w:rPr>
          <w:rFonts w:hint="eastAsia" w:ascii="仿宋_GB2312" w:hAnsi="仿宋_GB2312" w:eastAsia="仿宋_GB2312" w:cs="仿宋_GB2312"/>
          <w:color w:val="auto"/>
          <w:sz w:val="32"/>
          <w:szCs w:val="32"/>
          <w:highlight w:val="none"/>
          <w:u w:val="none"/>
        </w:rPr>
        <w:t>。</w:t>
      </w:r>
    </w:p>
    <w:p w14:paraId="13A4F886">
      <w:pPr>
        <w:pageBreakBefore w:val="0"/>
        <w:shd w:val="clear" w:color="auto" w:fill="auto"/>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rPr>
        <w:t>1.1.3.9 永久占地包括：本项目施工红线区域范围内用地。</w:t>
      </w:r>
    </w:p>
    <w:p w14:paraId="13F19850">
      <w:pPr>
        <w:pageBreakBefore w:val="0"/>
        <w:shd w:val="clear" w:color="auto" w:fill="auto"/>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kern w:val="0"/>
          <w:sz w:val="32"/>
          <w:szCs w:val="32"/>
          <w:highlight w:val="none"/>
          <w:u w:val="none"/>
        </w:rPr>
        <w:t>1.1.3.10 临时占地包括：</w:t>
      </w:r>
      <w:r>
        <w:rPr>
          <w:rFonts w:hint="eastAsia" w:ascii="仿宋_GB2312" w:hAnsi="仿宋_GB2312" w:eastAsia="仿宋_GB2312" w:cs="仿宋_GB2312"/>
          <w:color w:val="auto"/>
          <w:sz w:val="32"/>
          <w:szCs w:val="32"/>
          <w:highlight w:val="none"/>
          <w:u w:val="none"/>
        </w:rPr>
        <w:t>指为实施本合同工程所需要的施工红线区域外的一切临时占用的土地，包括工程施工所用的便道、便桥和现场的临时出入通道，以及生产（办公）、生活等临时设施用地。由承包人根据江东新区规划或管理局统一安排、现场勘查情况、项目特点及发包人要求自行考虑并承担相关费用。生产</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rPr>
        <w:t>办公</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rPr>
        <w:t>、生活设施所占地的土地收益金、青苗补偿、附着物补偿及测绘评估等所有费用由承包人承担。</w:t>
      </w:r>
    </w:p>
    <w:p w14:paraId="1FD49D99">
      <w:pPr>
        <w:pageBreakBefore w:val="0"/>
        <w:shd w:val="clear" w:color="auto" w:fill="auto"/>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所有涉及临时用地、临时用路的清表、修建、维护、拆除、复垦、协调、土地收益金、补偿、垃圾消纳等费用由承包人承担。</w:t>
      </w:r>
    </w:p>
    <w:p w14:paraId="44055E76">
      <w:pPr>
        <w:pageBreakBefore w:val="0"/>
        <w:shd w:val="clear" w:color="auto" w:fill="auto"/>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u w:val="none"/>
        </w:rPr>
        <w:t>因临时占地及施工等各种因素引起的扰民、民扰等造成工程无法施工且造成经济损失的，该费用已包含在</w:t>
      </w:r>
      <w:r>
        <w:rPr>
          <w:rFonts w:hint="eastAsia" w:ascii="仿宋_GB2312" w:hAnsi="仿宋_GB2312" w:eastAsia="仿宋_GB2312" w:cs="仿宋_GB2312"/>
          <w:color w:val="auto"/>
          <w:sz w:val="32"/>
          <w:szCs w:val="32"/>
          <w:highlight w:val="none"/>
          <w:u w:val="none"/>
          <w:lang w:eastAsia="zh-CN"/>
        </w:rPr>
        <w:t>合同价款中的各分部分项或措施项目清单综合单价</w:t>
      </w:r>
      <w:r>
        <w:rPr>
          <w:rFonts w:hint="eastAsia" w:ascii="仿宋_GB2312" w:hAnsi="仿宋_GB2312" w:eastAsia="仿宋_GB2312" w:cs="仿宋_GB2312"/>
          <w:color w:val="auto"/>
          <w:sz w:val="32"/>
          <w:szCs w:val="32"/>
          <w:highlight w:val="none"/>
          <w:u w:val="none"/>
        </w:rPr>
        <w:t>中，发包人不再另行支付</w:t>
      </w:r>
      <w:r>
        <w:rPr>
          <w:rFonts w:hint="eastAsia" w:ascii="仿宋_GB2312" w:hAnsi="仿宋_GB2312" w:eastAsia="仿宋_GB2312" w:cs="仿宋_GB2312"/>
          <w:color w:val="auto"/>
          <w:kern w:val="0"/>
          <w:sz w:val="32"/>
          <w:szCs w:val="32"/>
          <w:highlight w:val="none"/>
        </w:rPr>
        <w:t>。</w:t>
      </w:r>
    </w:p>
    <w:p w14:paraId="72029F48">
      <w:pPr>
        <w:pageBreakBefore w:val="0"/>
        <w:kinsoku/>
        <w:wordWrap/>
        <w:overflowPunct/>
        <w:topLinePunct w:val="0"/>
        <w:bidi w:val="0"/>
        <w:adjustRightInd w:val="0"/>
        <w:snapToGrid w:val="0"/>
        <w:spacing w:line="560" w:lineRule="exact"/>
        <w:ind w:firstLine="640" w:firstLineChars="200"/>
        <w:jc w:val="both"/>
        <w:outlineLvl w:val="9"/>
        <w:rPr>
          <w:rFonts w:hint="eastAsia" w:ascii="仿宋_GB2312" w:hAnsi="仿宋_GB2312" w:eastAsia="仿宋_GB2312" w:cs="仿宋_GB2312"/>
          <w:color w:val="auto"/>
          <w:sz w:val="32"/>
          <w:szCs w:val="32"/>
          <w:highlight w:val="none"/>
        </w:rPr>
      </w:pPr>
      <w:bookmarkStart w:id="1786" w:name="_Toc16700"/>
      <w:bookmarkStart w:id="1787" w:name="_Toc17818"/>
      <w:bookmarkStart w:id="1788" w:name="_Toc18127"/>
      <w:bookmarkStart w:id="1789" w:name="_Toc11159"/>
      <w:bookmarkStart w:id="1790" w:name="_Toc18640"/>
      <w:bookmarkStart w:id="1791" w:name="_Toc27965"/>
      <w:bookmarkStart w:id="1792" w:name="_Toc19926"/>
      <w:bookmarkStart w:id="1793" w:name="_Toc12408"/>
      <w:r>
        <w:rPr>
          <w:rFonts w:hint="eastAsia" w:ascii="仿宋_GB2312" w:hAnsi="仿宋_GB2312" w:eastAsia="仿宋_GB2312" w:cs="仿宋_GB2312"/>
          <w:color w:val="auto"/>
          <w:sz w:val="32"/>
          <w:szCs w:val="32"/>
          <w:highlight w:val="none"/>
        </w:rPr>
        <w:t>1.3法律</w:t>
      </w:r>
      <w:bookmarkEnd w:id="1786"/>
      <w:bookmarkEnd w:id="1787"/>
      <w:bookmarkEnd w:id="1788"/>
      <w:bookmarkEnd w:id="1789"/>
      <w:bookmarkEnd w:id="1790"/>
      <w:bookmarkEnd w:id="1791"/>
      <w:bookmarkEnd w:id="1792"/>
      <w:bookmarkEnd w:id="1793"/>
      <w:r>
        <w:rPr>
          <w:rFonts w:hint="eastAsia" w:ascii="仿宋_GB2312" w:hAnsi="仿宋_GB2312" w:eastAsia="仿宋_GB2312" w:cs="仿宋_GB2312"/>
          <w:color w:val="auto"/>
          <w:sz w:val="32"/>
          <w:szCs w:val="32"/>
          <w:highlight w:val="none"/>
        </w:rPr>
        <w:t xml:space="preserve"> </w:t>
      </w:r>
    </w:p>
    <w:p w14:paraId="27EEE116">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适用于合同的其他规范性文件：</w:t>
      </w:r>
      <w:r>
        <w:rPr>
          <w:rFonts w:hint="eastAsia" w:ascii="仿宋_GB2312" w:hAnsi="仿宋_GB2312" w:eastAsia="仿宋_GB2312" w:cs="仿宋_GB2312"/>
          <w:color w:val="auto"/>
          <w:sz w:val="32"/>
          <w:szCs w:val="32"/>
          <w:highlight w:val="none"/>
          <w:u w:val="none"/>
        </w:rPr>
        <w:t>本合同文件除了适用国家现行的法律和行政法规外，还适用海南省、海口市地方规章、规定，包括但不限于《中华人民共和国民法典</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rPr>
        <w:t>中华人民共和国建筑法</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rPr>
        <w:t>建设工程质量管理条例</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rPr>
        <w:t>、海南省建设工程计价依据等</w:t>
      </w:r>
      <w:r>
        <w:rPr>
          <w:rFonts w:hint="eastAsia" w:ascii="仿宋_GB2312" w:hAnsi="仿宋_GB2312" w:eastAsia="仿宋_GB2312" w:cs="仿宋_GB2312"/>
          <w:color w:val="auto"/>
          <w:sz w:val="32"/>
          <w:szCs w:val="32"/>
          <w:highlight w:val="none"/>
        </w:rPr>
        <w:t>。</w:t>
      </w:r>
    </w:p>
    <w:p w14:paraId="5344810A">
      <w:pPr>
        <w:pageBreakBefore w:val="0"/>
        <w:kinsoku/>
        <w:wordWrap/>
        <w:overflowPunct/>
        <w:topLinePunct w:val="0"/>
        <w:bidi w:val="0"/>
        <w:adjustRightInd w:val="0"/>
        <w:snapToGrid w:val="0"/>
        <w:spacing w:line="560" w:lineRule="exact"/>
        <w:ind w:firstLine="640" w:firstLineChars="200"/>
        <w:jc w:val="both"/>
        <w:outlineLvl w:val="9"/>
        <w:rPr>
          <w:rFonts w:hint="eastAsia" w:ascii="仿宋_GB2312" w:hAnsi="仿宋_GB2312" w:eastAsia="仿宋_GB2312" w:cs="仿宋_GB2312"/>
          <w:color w:val="auto"/>
          <w:sz w:val="32"/>
          <w:szCs w:val="32"/>
          <w:highlight w:val="none"/>
        </w:rPr>
      </w:pPr>
      <w:bookmarkStart w:id="1794" w:name="_Toc702"/>
      <w:bookmarkStart w:id="1795" w:name="_Toc972"/>
      <w:bookmarkStart w:id="1796" w:name="_Toc9996"/>
      <w:bookmarkStart w:id="1797" w:name="_Toc23098"/>
      <w:bookmarkStart w:id="1798" w:name="_Toc16650"/>
      <w:bookmarkStart w:id="1799" w:name="_Toc11074"/>
      <w:bookmarkStart w:id="1800" w:name="_Toc6384"/>
      <w:bookmarkStart w:id="1801" w:name="_Toc12679"/>
      <w:r>
        <w:rPr>
          <w:rFonts w:hint="eastAsia" w:ascii="仿宋_GB2312" w:hAnsi="仿宋_GB2312" w:eastAsia="仿宋_GB2312" w:cs="仿宋_GB2312"/>
          <w:color w:val="auto"/>
          <w:sz w:val="32"/>
          <w:szCs w:val="32"/>
          <w:highlight w:val="none"/>
        </w:rPr>
        <w:t>1.4 标准和规范</w:t>
      </w:r>
      <w:bookmarkEnd w:id="1794"/>
      <w:bookmarkEnd w:id="1795"/>
      <w:bookmarkEnd w:id="1796"/>
      <w:bookmarkEnd w:id="1797"/>
      <w:bookmarkEnd w:id="1798"/>
      <w:bookmarkEnd w:id="1799"/>
      <w:bookmarkEnd w:id="1800"/>
      <w:bookmarkEnd w:id="1801"/>
    </w:p>
    <w:p w14:paraId="7BB50C33">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1.4.1适用于工程的标准规范包括：《建设工程质量管理条例</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rPr>
        <w:t>建筑工程施工质量验收统一标准》（GB50300-2013）等现行的国家及行业主管部门颁布的标准、规范和工程所在地的地方性标准及相应的规范和规程。若本工程规范与国家标准及规范有所出入，则以较高标准为准本工程合同价款中已包含接受国家标准规范、行业标准和地方标准中执行最高要求的费用。发包人还将在签订合同时及建设过程中陆续制订项目的有关管理规定，作为合同附件，承包人必须严格执行项目管理各项规定，做到规范化管理。</w:t>
      </w:r>
    </w:p>
    <w:p w14:paraId="4727A17E">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kern w:val="0"/>
          <w:sz w:val="32"/>
          <w:szCs w:val="32"/>
          <w:highlight w:val="none"/>
        </w:rPr>
        <w:t>1.4.2 发包人提供国外标准、规范的名称：</w:t>
      </w:r>
      <w:r>
        <w:rPr>
          <w:rFonts w:hint="eastAsia" w:ascii="仿宋_GB2312" w:hAnsi="仿宋_GB2312" w:eastAsia="仿宋_GB2312" w:cs="仿宋_GB2312"/>
          <w:color w:val="auto"/>
          <w:kern w:val="0"/>
          <w:sz w:val="32"/>
          <w:szCs w:val="32"/>
          <w:highlight w:val="none"/>
          <w:u w:val="single"/>
        </w:rPr>
        <w:t>/</w:t>
      </w:r>
      <w:r>
        <w:rPr>
          <w:rFonts w:hint="eastAsia" w:ascii="仿宋_GB2312" w:hAnsi="仿宋_GB2312" w:eastAsia="仿宋_GB2312" w:cs="仿宋_GB2312"/>
          <w:color w:val="auto"/>
          <w:kern w:val="0"/>
          <w:sz w:val="32"/>
          <w:szCs w:val="32"/>
          <w:highlight w:val="none"/>
        </w:rPr>
        <w:t>；</w:t>
      </w:r>
    </w:p>
    <w:p w14:paraId="57B25598">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发包人提供国外标准、规范的份数：</w:t>
      </w:r>
      <w:r>
        <w:rPr>
          <w:rFonts w:hint="eastAsia" w:ascii="仿宋_GB2312" w:hAnsi="仿宋_GB2312" w:eastAsia="仿宋_GB2312" w:cs="仿宋_GB2312"/>
          <w:color w:val="auto"/>
          <w:kern w:val="0"/>
          <w:sz w:val="32"/>
          <w:szCs w:val="32"/>
          <w:highlight w:val="none"/>
          <w:u w:val="single"/>
        </w:rPr>
        <w:t>/</w:t>
      </w:r>
      <w:r>
        <w:rPr>
          <w:rFonts w:hint="eastAsia" w:ascii="仿宋_GB2312" w:hAnsi="仿宋_GB2312" w:eastAsia="仿宋_GB2312" w:cs="仿宋_GB2312"/>
          <w:color w:val="auto"/>
          <w:kern w:val="0"/>
          <w:sz w:val="32"/>
          <w:szCs w:val="32"/>
          <w:highlight w:val="none"/>
        </w:rPr>
        <w:t>；</w:t>
      </w:r>
    </w:p>
    <w:p w14:paraId="1948435E">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kern w:val="0"/>
          <w:sz w:val="32"/>
          <w:szCs w:val="32"/>
          <w:highlight w:val="none"/>
        </w:rPr>
        <w:t>发包人提供国外标准、规范的名称：</w:t>
      </w:r>
      <w:r>
        <w:rPr>
          <w:rFonts w:hint="eastAsia" w:ascii="仿宋_GB2312" w:hAnsi="仿宋_GB2312" w:eastAsia="仿宋_GB2312" w:cs="仿宋_GB2312"/>
          <w:color w:val="auto"/>
          <w:kern w:val="0"/>
          <w:sz w:val="32"/>
          <w:szCs w:val="32"/>
          <w:highlight w:val="none"/>
          <w:u w:val="single"/>
        </w:rPr>
        <w:t>/</w:t>
      </w:r>
      <w:r>
        <w:rPr>
          <w:rFonts w:hint="eastAsia" w:ascii="仿宋_GB2312" w:hAnsi="仿宋_GB2312" w:eastAsia="仿宋_GB2312" w:cs="仿宋_GB2312"/>
          <w:color w:val="auto"/>
          <w:kern w:val="0"/>
          <w:sz w:val="32"/>
          <w:szCs w:val="32"/>
          <w:highlight w:val="none"/>
        </w:rPr>
        <w:t>。</w:t>
      </w:r>
    </w:p>
    <w:p w14:paraId="53E46110">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1.4.3发包人对工程的技术标准和功能要求的特殊要求：当现行国家、行业或地方标准不一致时，应按对工程的技术标准、功能要求高的执行。承包人在签订合同前已充分预见前述技术标准和功能要求的复杂程度，</w:t>
      </w:r>
      <w:r>
        <w:rPr>
          <w:rFonts w:hint="eastAsia" w:ascii="仿宋_GB2312" w:hAnsi="仿宋_GB2312" w:eastAsia="仿宋_GB2312" w:cs="仿宋_GB2312"/>
          <w:color w:val="auto"/>
          <w:sz w:val="32"/>
          <w:szCs w:val="32"/>
          <w:highlight w:val="none"/>
          <w:u w:val="none"/>
          <w:lang w:eastAsia="zh-CN"/>
        </w:rPr>
        <w:t>合同价款中的各分部分项或措施项目清单综合单价</w:t>
      </w:r>
      <w:r>
        <w:rPr>
          <w:rFonts w:hint="eastAsia" w:ascii="仿宋_GB2312" w:hAnsi="仿宋_GB2312" w:eastAsia="仿宋_GB2312" w:cs="仿宋_GB2312"/>
          <w:color w:val="auto"/>
          <w:sz w:val="32"/>
          <w:szCs w:val="32"/>
          <w:highlight w:val="none"/>
          <w:u w:val="none"/>
        </w:rPr>
        <w:t>中已包含由此产生的费用。</w:t>
      </w:r>
    </w:p>
    <w:p w14:paraId="3819A24E">
      <w:pPr>
        <w:pageBreakBefore w:val="0"/>
        <w:kinsoku/>
        <w:wordWrap/>
        <w:overflowPunct/>
        <w:topLinePunct w:val="0"/>
        <w:bidi w:val="0"/>
        <w:adjustRightInd w:val="0"/>
        <w:snapToGrid w:val="0"/>
        <w:spacing w:line="560" w:lineRule="exact"/>
        <w:ind w:firstLine="640" w:firstLineChars="200"/>
        <w:jc w:val="both"/>
        <w:outlineLvl w:val="9"/>
        <w:rPr>
          <w:rFonts w:hint="eastAsia" w:ascii="仿宋_GB2312" w:hAnsi="仿宋_GB2312" w:eastAsia="仿宋_GB2312" w:cs="仿宋_GB2312"/>
          <w:color w:val="auto"/>
          <w:sz w:val="32"/>
          <w:szCs w:val="32"/>
          <w:highlight w:val="none"/>
        </w:rPr>
      </w:pPr>
      <w:bookmarkStart w:id="1802" w:name="_Toc14737"/>
      <w:bookmarkStart w:id="1803" w:name="_Toc21914"/>
      <w:bookmarkStart w:id="1804" w:name="_Toc2881"/>
      <w:bookmarkStart w:id="1805" w:name="_Toc5547"/>
      <w:bookmarkStart w:id="1806" w:name="_Toc15649"/>
      <w:bookmarkStart w:id="1807" w:name="_Toc10230"/>
      <w:bookmarkStart w:id="1808" w:name="_Toc17844"/>
      <w:bookmarkStart w:id="1809" w:name="_Toc2037"/>
      <w:r>
        <w:rPr>
          <w:rFonts w:hint="eastAsia" w:ascii="仿宋_GB2312" w:hAnsi="仿宋_GB2312" w:eastAsia="仿宋_GB2312" w:cs="仿宋_GB2312"/>
          <w:color w:val="auto"/>
          <w:sz w:val="32"/>
          <w:szCs w:val="32"/>
          <w:highlight w:val="none"/>
        </w:rPr>
        <w:t>1.5 合同文件的优先顺序</w:t>
      </w:r>
      <w:bookmarkEnd w:id="1802"/>
      <w:bookmarkEnd w:id="1803"/>
      <w:bookmarkEnd w:id="1804"/>
      <w:bookmarkEnd w:id="1805"/>
      <w:bookmarkEnd w:id="1806"/>
      <w:bookmarkEnd w:id="1807"/>
      <w:bookmarkEnd w:id="1808"/>
      <w:bookmarkEnd w:id="1809"/>
    </w:p>
    <w:p w14:paraId="38A3ECC3">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合同文件组成及优先顺序为：</w:t>
      </w:r>
      <w:r>
        <w:rPr>
          <w:rFonts w:hint="eastAsia" w:ascii="仿宋_GB2312" w:hAnsi="仿宋_GB2312" w:eastAsia="仿宋_GB2312" w:cs="仿宋_GB2312"/>
          <w:color w:val="auto"/>
          <w:sz w:val="32"/>
          <w:szCs w:val="32"/>
          <w:highlight w:val="none"/>
          <w:lang w:val="en-US" w:eastAsia="zh-CN"/>
        </w:rPr>
        <w:t>按</w:t>
      </w:r>
      <w:r>
        <w:rPr>
          <w:rFonts w:hint="eastAsia" w:ascii="仿宋_GB2312" w:hAnsi="仿宋_GB2312" w:eastAsia="仿宋_GB2312" w:cs="仿宋_GB2312"/>
          <w:color w:val="auto"/>
          <w:sz w:val="32"/>
          <w:szCs w:val="32"/>
          <w:highlight w:val="none"/>
        </w:rPr>
        <w:t>本合同第一部分第七条的约定</w:t>
      </w:r>
      <w:r>
        <w:rPr>
          <w:rFonts w:hint="eastAsia" w:ascii="仿宋_GB2312" w:hAnsi="仿宋_GB2312" w:eastAsia="仿宋_GB2312" w:cs="仿宋_GB2312"/>
          <w:color w:val="auto"/>
          <w:sz w:val="32"/>
          <w:szCs w:val="32"/>
          <w:highlight w:val="none"/>
          <w:lang w:val="en-US" w:eastAsia="zh-CN"/>
        </w:rPr>
        <w:t>执行</w:t>
      </w:r>
      <w:r>
        <w:rPr>
          <w:rFonts w:hint="eastAsia" w:ascii="仿宋_GB2312" w:hAnsi="仿宋_GB2312" w:eastAsia="仿宋_GB2312" w:cs="仿宋_GB2312"/>
          <w:color w:val="auto"/>
          <w:sz w:val="32"/>
          <w:szCs w:val="32"/>
          <w:highlight w:val="none"/>
          <w:u w:val="none"/>
          <w:lang w:eastAsia="zh-CN"/>
        </w:rPr>
        <w:t>。</w:t>
      </w:r>
    </w:p>
    <w:p w14:paraId="104CB40E">
      <w:pPr>
        <w:pageBreakBefore w:val="0"/>
        <w:kinsoku/>
        <w:wordWrap/>
        <w:overflowPunct/>
        <w:topLinePunct w:val="0"/>
        <w:bidi w:val="0"/>
        <w:adjustRightInd w:val="0"/>
        <w:snapToGrid w:val="0"/>
        <w:spacing w:line="560" w:lineRule="exact"/>
        <w:ind w:firstLine="640" w:firstLineChars="200"/>
        <w:jc w:val="both"/>
        <w:outlineLvl w:val="9"/>
        <w:rPr>
          <w:rFonts w:hint="eastAsia" w:ascii="仿宋_GB2312" w:hAnsi="仿宋_GB2312" w:eastAsia="仿宋_GB2312" w:cs="仿宋_GB2312"/>
          <w:color w:val="auto"/>
          <w:sz w:val="32"/>
          <w:szCs w:val="32"/>
          <w:highlight w:val="none"/>
        </w:rPr>
      </w:pPr>
      <w:bookmarkStart w:id="1810" w:name="_Toc17455"/>
      <w:bookmarkStart w:id="1811" w:name="_Toc17979"/>
      <w:bookmarkStart w:id="1812" w:name="_Toc9988"/>
      <w:bookmarkStart w:id="1813" w:name="_Toc5124"/>
      <w:bookmarkStart w:id="1814" w:name="_Toc19898"/>
      <w:bookmarkStart w:id="1815" w:name="_Toc21598"/>
      <w:bookmarkStart w:id="1816" w:name="_Toc1626"/>
      <w:bookmarkStart w:id="1817" w:name="_Toc25218"/>
      <w:r>
        <w:rPr>
          <w:rFonts w:hint="eastAsia" w:ascii="仿宋_GB2312" w:hAnsi="仿宋_GB2312" w:eastAsia="仿宋_GB2312" w:cs="仿宋_GB2312"/>
          <w:color w:val="auto"/>
          <w:sz w:val="32"/>
          <w:szCs w:val="32"/>
          <w:highlight w:val="none"/>
        </w:rPr>
        <w:t>1.6 图纸和承包人文件</w:t>
      </w:r>
      <w:bookmarkEnd w:id="1810"/>
      <w:bookmarkEnd w:id="1811"/>
      <w:bookmarkEnd w:id="1812"/>
      <w:bookmarkEnd w:id="1813"/>
      <w:bookmarkEnd w:id="1814"/>
      <w:bookmarkEnd w:id="1815"/>
      <w:bookmarkEnd w:id="1816"/>
      <w:bookmarkEnd w:id="1817"/>
      <w:r>
        <w:rPr>
          <w:rFonts w:hint="eastAsia" w:ascii="仿宋_GB2312" w:hAnsi="仿宋_GB2312" w:eastAsia="仿宋_GB2312" w:cs="仿宋_GB2312"/>
          <w:color w:val="auto"/>
          <w:sz w:val="32"/>
          <w:szCs w:val="32"/>
          <w:highlight w:val="none"/>
        </w:rPr>
        <w:tab/>
      </w:r>
    </w:p>
    <w:p w14:paraId="24308DE0">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1.6.1 图纸的提供</w:t>
      </w:r>
    </w:p>
    <w:p w14:paraId="0373E76C">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发包人向承包人提供图纸的期限：</w:t>
      </w:r>
      <w:r>
        <w:rPr>
          <w:rFonts w:hint="eastAsia" w:ascii="仿宋_GB2312" w:hAnsi="仿宋_GB2312" w:eastAsia="仿宋_GB2312" w:cs="仿宋_GB2312"/>
          <w:color w:val="auto"/>
          <w:sz w:val="32"/>
          <w:szCs w:val="32"/>
          <w:highlight w:val="none"/>
          <w:u w:val="none"/>
        </w:rPr>
        <w:t xml:space="preserve">合同生效后 7 日内由发包人陆续向承包人提供 </w:t>
      </w:r>
      <w:r>
        <w:rPr>
          <w:rFonts w:hint="eastAsia" w:ascii="仿宋_GB2312" w:hAnsi="仿宋_GB2312" w:eastAsia="仿宋_GB2312" w:cs="仿宋_GB2312"/>
          <w:color w:val="auto"/>
          <w:sz w:val="32"/>
          <w:szCs w:val="32"/>
          <w:highlight w:val="none"/>
        </w:rPr>
        <w:t>；</w:t>
      </w:r>
    </w:p>
    <w:p w14:paraId="1F5A914E">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发包人向承包人提供图纸的数量：</w:t>
      </w:r>
      <w:r>
        <w:rPr>
          <w:rFonts w:hint="eastAsia" w:ascii="仿宋_GB2312" w:hAnsi="仿宋_GB2312" w:eastAsia="仿宋_GB2312" w:cs="仿宋_GB2312"/>
          <w:color w:val="auto"/>
          <w:sz w:val="32"/>
          <w:szCs w:val="32"/>
          <w:highlight w:val="none"/>
          <w:u w:val="none"/>
        </w:rPr>
        <w:t>一式贰套，承包人确定增加图纸套数的，发包人应当予以同意，所需费用由承包人自行承担</w:t>
      </w:r>
      <w:r>
        <w:rPr>
          <w:rFonts w:hint="eastAsia" w:ascii="仿宋_GB2312" w:hAnsi="仿宋_GB2312" w:eastAsia="仿宋_GB2312" w:cs="仿宋_GB2312"/>
          <w:color w:val="auto"/>
          <w:sz w:val="32"/>
          <w:szCs w:val="32"/>
          <w:highlight w:val="none"/>
        </w:rPr>
        <w:t>；</w:t>
      </w:r>
    </w:p>
    <w:p w14:paraId="69EE63FD">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发包人向承包人提供图纸的内容：</w:t>
      </w:r>
      <w:r>
        <w:rPr>
          <w:rFonts w:hint="eastAsia" w:ascii="仿宋_GB2312" w:hAnsi="仿宋_GB2312" w:eastAsia="仿宋_GB2312" w:cs="仿宋_GB2312"/>
          <w:color w:val="auto"/>
          <w:sz w:val="32"/>
          <w:szCs w:val="32"/>
          <w:highlight w:val="none"/>
          <w:u w:val="none"/>
        </w:rPr>
        <w:t>经</w:t>
      </w:r>
      <w:r>
        <w:rPr>
          <w:rFonts w:hint="eastAsia" w:ascii="仿宋_GB2312" w:hAnsi="仿宋_GB2312" w:eastAsia="仿宋_GB2312" w:cs="仿宋_GB2312"/>
          <w:sz w:val="32"/>
          <w:szCs w:val="32"/>
          <w:u w:val="none"/>
        </w:rPr>
        <w:t>发包人认可</w:t>
      </w:r>
      <w:r>
        <w:rPr>
          <w:rFonts w:hint="eastAsia" w:ascii="仿宋_GB2312" w:hAnsi="仿宋_GB2312" w:eastAsia="仿宋_GB2312" w:cs="仿宋_GB2312"/>
          <w:sz w:val="32"/>
          <w:szCs w:val="32"/>
          <w:u w:val="none"/>
          <w:lang w:val="en-US" w:eastAsia="zh-CN"/>
        </w:rPr>
        <w:t>且</w:t>
      </w:r>
      <w:r>
        <w:rPr>
          <w:rFonts w:hint="eastAsia" w:ascii="仿宋_GB2312" w:hAnsi="仿宋_GB2312" w:eastAsia="仿宋_GB2312" w:cs="仿宋_GB2312"/>
          <w:color w:val="auto"/>
          <w:sz w:val="32"/>
          <w:szCs w:val="32"/>
          <w:highlight w:val="none"/>
          <w:u w:val="none"/>
        </w:rPr>
        <w:t>技术审查合格的施工图</w:t>
      </w:r>
      <w:r>
        <w:rPr>
          <w:rFonts w:hint="eastAsia" w:ascii="仿宋_GB2312" w:hAnsi="仿宋_GB2312" w:eastAsia="仿宋_GB2312" w:cs="仿宋_GB2312"/>
          <w:color w:val="auto"/>
          <w:sz w:val="32"/>
          <w:szCs w:val="32"/>
          <w:highlight w:val="none"/>
        </w:rPr>
        <w:t>。</w:t>
      </w:r>
    </w:p>
    <w:p w14:paraId="20F0E816">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u w:val="none"/>
        </w:rPr>
        <w:t>任何一方发现了图纸中存在的明显错误或疏忽，应及时通知另一方。当承包人在查阅合同文件或在本合同工程实施过程中，发现有关的工程设计、技术规范、图纸或其他资料中的任何差错、遗漏或缺陷后，应及时通知监理人</w:t>
      </w:r>
      <w:r>
        <w:rPr>
          <w:rFonts w:hint="eastAsia" w:ascii="仿宋_GB2312" w:hAnsi="仿宋_GB2312" w:eastAsia="仿宋_GB2312" w:cs="仿宋_GB2312"/>
          <w:color w:val="auto"/>
          <w:sz w:val="32"/>
          <w:szCs w:val="32"/>
          <w:highlight w:val="none"/>
          <w:u w:val="none"/>
          <w:lang w:val="en-US" w:eastAsia="zh-CN"/>
        </w:rPr>
        <w:t>和发包人</w:t>
      </w:r>
      <w:r>
        <w:rPr>
          <w:rFonts w:hint="eastAsia" w:ascii="仿宋_GB2312" w:hAnsi="仿宋_GB2312" w:eastAsia="仿宋_GB2312" w:cs="仿宋_GB2312"/>
          <w:color w:val="auto"/>
          <w:sz w:val="32"/>
          <w:szCs w:val="32"/>
          <w:highlight w:val="none"/>
          <w:u w:val="none"/>
        </w:rPr>
        <w:t>。监理人接到该通知后，应立即通知发包人，征求发包人意见后3天内</w:t>
      </w:r>
      <w:r>
        <w:rPr>
          <w:rFonts w:hint="eastAsia" w:ascii="仿宋_GB2312" w:hAnsi="仿宋_GB2312" w:eastAsia="仿宋_GB2312" w:cs="仿宋_GB2312"/>
          <w:color w:val="auto"/>
          <w:sz w:val="32"/>
          <w:szCs w:val="32"/>
          <w:highlight w:val="none"/>
          <w:u w:val="none"/>
          <w:lang w:eastAsia="zh-CN"/>
        </w:rPr>
        <w:t>作出决定</w:t>
      </w:r>
      <w:r>
        <w:rPr>
          <w:rFonts w:hint="eastAsia" w:ascii="仿宋_GB2312" w:hAnsi="仿宋_GB2312" w:eastAsia="仿宋_GB2312" w:cs="仿宋_GB2312"/>
          <w:color w:val="auto"/>
          <w:sz w:val="32"/>
          <w:szCs w:val="32"/>
          <w:highlight w:val="none"/>
          <w:u w:val="none"/>
        </w:rPr>
        <w:t>，并将决定及时</w:t>
      </w:r>
      <w:r>
        <w:rPr>
          <w:rFonts w:hint="eastAsia" w:ascii="仿宋_GB2312" w:hAnsi="仿宋_GB2312" w:eastAsia="仿宋_GB2312" w:cs="仿宋_GB2312"/>
          <w:color w:val="auto"/>
          <w:sz w:val="32"/>
          <w:szCs w:val="32"/>
          <w:highlight w:val="none"/>
          <w:u w:val="none"/>
          <w:lang w:val="en-US" w:eastAsia="zh-CN"/>
        </w:rPr>
        <w:t>书面</w:t>
      </w:r>
      <w:r>
        <w:rPr>
          <w:rFonts w:hint="eastAsia" w:ascii="仿宋_GB2312" w:hAnsi="仿宋_GB2312" w:eastAsia="仿宋_GB2312" w:cs="仿宋_GB2312"/>
          <w:color w:val="auto"/>
          <w:sz w:val="32"/>
          <w:szCs w:val="32"/>
          <w:highlight w:val="none"/>
          <w:u w:val="none"/>
        </w:rPr>
        <w:t>通知承包人和发包人</w:t>
      </w:r>
      <w:r>
        <w:rPr>
          <w:rFonts w:hint="eastAsia" w:ascii="仿宋_GB2312" w:hAnsi="仿宋_GB2312" w:eastAsia="仿宋_GB2312" w:cs="仿宋_GB2312"/>
          <w:color w:val="auto"/>
          <w:sz w:val="32"/>
          <w:szCs w:val="32"/>
          <w:highlight w:val="none"/>
        </w:rPr>
        <w:t>。</w:t>
      </w:r>
    </w:p>
    <w:p w14:paraId="71307ACC">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1.6.4 承包人文件</w:t>
      </w:r>
    </w:p>
    <w:p w14:paraId="6B712AD0">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需要由承包人提供的文件，包括：</w:t>
      </w:r>
      <w:r>
        <w:rPr>
          <w:rFonts w:hint="eastAsia" w:ascii="仿宋_GB2312" w:hAnsi="仿宋_GB2312" w:eastAsia="仿宋_GB2312" w:cs="仿宋_GB2312"/>
          <w:color w:val="auto"/>
          <w:sz w:val="32"/>
          <w:szCs w:val="32"/>
          <w:highlight w:val="none"/>
          <w:u w:val="none"/>
        </w:rPr>
        <w:t>施工组织设计、施工进度计划表、施工措施、施工安全用电方案、项目的分部分项划分表、施工场地总平面布置图及安全消防设施的布置、建筑垃圾的处理方向及污水排放口设置、安全文明施工方案、</w:t>
      </w:r>
      <w:r>
        <w:rPr>
          <w:rFonts w:hint="eastAsia" w:ascii="仿宋_GB2312" w:hAnsi="仿宋_GB2312" w:eastAsia="仿宋_GB2312" w:cs="仿宋_GB2312"/>
          <w:sz w:val="32"/>
          <w:szCs w:val="32"/>
          <w:u w:val="none"/>
        </w:rPr>
        <w:t>安全文明施工资金投入计划、</w:t>
      </w:r>
      <w:r>
        <w:rPr>
          <w:rFonts w:hint="eastAsia" w:ascii="仿宋_GB2312" w:hAnsi="仿宋_GB2312" w:eastAsia="仿宋_GB2312" w:cs="仿宋_GB2312"/>
          <w:color w:val="auto"/>
          <w:sz w:val="32"/>
          <w:szCs w:val="32"/>
          <w:highlight w:val="none"/>
          <w:u w:val="none"/>
        </w:rPr>
        <w:t>工程施工节点工期计划表、工程项目管理人员构成表、必要的加工图和大样图、重难点专项施工方案，</w:t>
      </w:r>
      <w:r>
        <w:rPr>
          <w:rFonts w:hint="eastAsia" w:ascii="仿宋_GB2312" w:hAnsi="仿宋_GB2312" w:eastAsia="仿宋_GB2312" w:cs="仿宋_GB2312"/>
          <w:color w:val="auto"/>
          <w:sz w:val="32"/>
          <w:szCs w:val="32"/>
          <w:highlight w:val="none"/>
          <w:u w:val="none"/>
          <w:lang w:eastAsia="zh-CN"/>
        </w:rPr>
        <w:t>其他如</w:t>
      </w:r>
      <w:r>
        <w:rPr>
          <w:rFonts w:hint="eastAsia" w:ascii="仿宋_GB2312" w:hAnsi="仿宋_GB2312" w:eastAsia="仿宋_GB2312" w:cs="仿宋_GB2312"/>
          <w:color w:val="auto"/>
          <w:sz w:val="32"/>
          <w:szCs w:val="32"/>
          <w:highlight w:val="none"/>
          <w:u w:val="none"/>
        </w:rPr>
        <w:t>材料和设备采购计划等由发包人和承包人在项目履行过程中根据项目实际情况另行确定；</w:t>
      </w:r>
    </w:p>
    <w:p w14:paraId="69AD3CCA">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承包人提供的文件的期限为：</w:t>
      </w:r>
      <w:r>
        <w:rPr>
          <w:rFonts w:hint="eastAsia" w:ascii="仿宋_GB2312" w:hAnsi="仿宋_GB2312" w:eastAsia="仿宋_GB2312" w:cs="仿宋_GB2312"/>
          <w:color w:val="auto"/>
          <w:sz w:val="32"/>
          <w:szCs w:val="32"/>
          <w:highlight w:val="none"/>
          <w:u w:val="none"/>
        </w:rPr>
        <w:t>承包人应在本合同生效后7天内按照合同约定的数量向发包人、监理人提供项目总体实施计划、项目设计实施计划、施工组织设计。承包人应在专项施工前5天按照合同约定的数量向发包人、监理人提供专项施工方案等文件。承包人应在每月25日前按照合同约定的数量向发包人、监理人提供当月工程统计报表、次月计划报表等文件。承包人应在检验检测后5天内向发包人、监理人提供承包范围内各种检验检测报告书、备案审查意见书等文件</w:t>
      </w:r>
      <w:r>
        <w:rPr>
          <w:rFonts w:hint="eastAsia" w:ascii="仿宋_GB2312" w:hAnsi="仿宋_GB2312" w:eastAsia="仿宋_GB2312" w:cs="仿宋_GB2312"/>
          <w:color w:val="auto"/>
          <w:sz w:val="32"/>
          <w:szCs w:val="32"/>
          <w:highlight w:val="none"/>
        </w:rPr>
        <w:t>；</w:t>
      </w:r>
    </w:p>
    <w:p w14:paraId="0929B0DC">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承包人提供的文件的数量为：</w:t>
      </w:r>
      <w:r>
        <w:rPr>
          <w:rFonts w:hint="eastAsia" w:ascii="仿宋_GB2312" w:hAnsi="仿宋_GB2312" w:eastAsia="仿宋_GB2312" w:cs="仿宋_GB2312"/>
          <w:color w:val="auto"/>
          <w:sz w:val="32"/>
          <w:szCs w:val="32"/>
          <w:highlight w:val="none"/>
          <w:u w:val="none"/>
          <w:lang w:val="en-US" w:eastAsia="zh-CN"/>
        </w:rPr>
        <w:t>一式</w:t>
      </w:r>
      <w:r>
        <w:rPr>
          <w:rFonts w:hint="eastAsia" w:ascii="仿宋_GB2312" w:hAnsi="仿宋_GB2312" w:eastAsia="仿宋_GB2312" w:cs="仿宋_GB2312"/>
          <w:color w:val="auto"/>
          <w:sz w:val="32"/>
          <w:szCs w:val="32"/>
          <w:highlight w:val="none"/>
          <w:u w:val="none"/>
        </w:rPr>
        <w:t>肆套</w:t>
      </w:r>
      <w:r>
        <w:rPr>
          <w:rFonts w:hint="eastAsia" w:ascii="仿宋_GB2312" w:hAnsi="仿宋_GB2312" w:eastAsia="仿宋_GB2312" w:cs="仿宋_GB2312"/>
          <w:color w:val="auto"/>
          <w:sz w:val="32"/>
          <w:szCs w:val="32"/>
          <w:highlight w:val="none"/>
        </w:rPr>
        <w:t>；</w:t>
      </w:r>
    </w:p>
    <w:p w14:paraId="6E72E125">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承包人提供的文件的形式为：</w:t>
      </w:r>
      <w:r>
        <w:rPr>
          <w:rFonts w:hint="eastAsia" w:ascii="仿宋_GB2312" w:hAnsi="仿宋_GB2312" w:eastAsia="仿宋_GB2312" w:cs="仿宋_GB2312"/>
          <w:color w:val="auto"/>
          <w:sz w:val="32"/>
          <w:szCs w:val="32"/>
          <w:highlight w:val="none"/>
          <w:u w:val="none"/>
        </w:rPr>
        <w:t>纸质版（项目经理签字+盖章）和电子版（与纸质版完全相同）</w:t>
      </w:r>
      <w:r>
        <w:rPr>
          <w:rFonts w:hint="eastAsia" w:ascii="仿宋_GB2312" w:hAnsi="仿宋_GB2312" w:eastAsia="仿宋_GB2312" w:cs="仿宋_GB2312"/>
          <w:color w:val="auto"/>
          <w:sz w:val="32"/>
          <w:szCs w:val="32"/>
          <w:highlight w:val="none"/>
        </w:rPr>
        <w:t>；</w:t>
      </w:r>
    </w:p>
    <w:p w14:paraId="7E2D692A">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发包人审批承包人文件的期限：</w:t>
      </w:r>
      <w:r>
        <w:rPr>
          <w:rFonts w:hint="eastAsia" w:ascii="仿宋_GB2312" w:hAnsi="仿宋_GB2312" w:eastAsia="仿宋_GB2312" w:cs="仿宋_GB2312"/>
          <w:color w:val="auto"/>
          <w:sz w:val="32"/>
          <w:szCs w:val="32"/>
          <w:highlight w:val="none"/>
          <w:u w:val="single"/>
        </w:rPr>
        <w:t>/</w:t>
      </w:r>
      <w:r>
        <w:rPr>
          <w:rFonts w:hint="eastAsia" w:ascii="仿宋_GB2312" w:hAnsi="仿宋_GB2312" w:eastAsia="仿宋_GB2312" w:cs="仿宋_GB2312"/>
          <w:color w:val="auto"/>
          <w:sz w:val="32"/>
          <w:szCs w:val="32"/>
          <w:highlight w:val="none"/>
        </w:rPr>
        <w:t>。</w:t>
      </w:r>
    </w:p>
    <w:p w14:paraId="2F79F411">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1.6.5 现场图纸准备</w:t>
      </w:r>
    </w:p>
    <w:p w14:paraId="0682C01C">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rPr>
        <w:t>关于现场图纸准备的约定</w:t>
      </w:r>
      <w:r>
        <w:rPr>
          <w:rFonts w:hint="eastAsia" w:ascii="仿宋_GB2312" w:hAnsi="仿宋_GB2312" w:eastAsia="仿宋_GB2312" w:cs="仿宋_GB2312"/>
          <w:color w:val="auto"/>
          <w:sz w:val="32"/>
          <w:szCs w:val="32"/>
          <w:highlight w:val="none"/>
          <w:u w:val="none"/>
        </w:rPr>
        <w:t>：承包人应在施工现场另外保存一套完整的图纸和承包人文件，供发包人、监理人及有关人员进行工程检查时使用，承包人履行图纸保密义务，不得将图纸及相关文档内容泄露给无关的第三方或将图纸及相关文档用于非发包人同意的本工程以外</w:t>
      </w:r>
      <w:r>
        <w:rPr>
          <w:rFonts w:hint="eastAsia" w:ascii="仿宋_GB2312" w:hAnsi="仿宋_GB2312" w:eastAsia="仿宋_GB2312" w:cs="仿宋_GB2312"/>
          <w:color w:val="auto"/>
          <w:sz w:val="32"/>
          <w:szCs w:val="32"/>
          <w:highlight w:val="none"/>
          <w:u w:val="none"/>
          <w:lang w:eastAsia="zh-CN"/>
        </w:rPr>
        <w:t>的其他</w:t>
      </w:r>
      <w:r>
        <w:rPr>
          <w:rFonts w:hint="eastAsia" w:ascii="仿宋_GB2312" w:hAnsi="仿宋_GB2312" w:eastAsia="仿宋_GB2312" w:cs="仿宋_GB2312"/>
          <w:color w:val="auto"/>
          <w:sz w:val="32"/>
          <w:szCs w:val="32"/>
          <w:highlight w:val="none"/>
          <w:u w:val="none"/>
        </w:rPr>
        <w:t>工程。</w:t>
      </w:r>
    </w:p>
    <w:p w14:paraId="6C826B2F">
      <w:pPr>
        <w:pageBreakBefore w:val="0"/>
        <w:kinsoku/>
        <w:wordWrap/>
        <w:overflowPunct/>
        <w:topLinePunct w:val="0"/>
        <w:bidi w:val="0"/>
        <w:adjustRightInd w:val="0"/>
        <w:snapToGrid w:val="0"/>
        <w:spacing w:line="560" w:lineRule="exact"/>
        <w:ind w:firstLine="640" w:firstLineChars="200"/>
        <w:jc w:val="both"/>
        <w:outlineLvl w:val="9"/>
        <w:rPr>
          <w:rFonts w:hint="eastAsia" w:ascii="仿宋_GB2312" w:hAnsi="仿宋_GB2312" w:eastAsia="仿宋_GB2312" w:cs="仿宋_GB2312"/>
          <w:color w:val="auto"/>
          <w:sz w:val="32"/>
          <w:szCs w:val="32"/>
          <w:highlight w:val="none"/>
        </w:rPr>
      </w:pPr>
      <w:bookmarkStart w:id="1818" w:name="_Toc8466"/>
      <w:bookmarkStart w:id="1819" w:name="_Toc17189"/>
      <w:bookmarkStart w:id="1820" w:name="_Toc16794"/>
      <w:bookmarkStart w:id="1821" w:name="_Toc13164"/>
      <w:bookmarkStart w:id="1822" w:name="_Toc28835"/>
      <w:bookmarkStart w:id="1823" w:name="_Toc4656"/>
      <w:bookmarkStart w:id="1824" w:name="_Toc24291"/>
      <w:bookmarkStart w:id="1825" w:name="_Toc7612"/>
      <w:r>
        <w:rPr>
          <w:rFonts w:hint="eastAsia" w:ascii="仿宋_GB2312" w:hAnsi="仿宋_GB2312" w:eastAsia="仿宋_GB2312" w:cs="仿宋_GB2312"/>
          <w:color w:val="auto"/>
          <w:sz w:val="32"/>
          <w:szCs w:val="32"/>
          <w:highlight w:val="none"/>
        </w:rPr>
        <w:t>1.7 联络</w:t>
      </w:r>
      <w:bookmarkEnd w:id="1818"/>
      <w:bookmarkEnd w:id="1819"/>
      <w:bookmarkEnd w:id="1820"/>
      <w:bookmarkEnd w:id="1821"/>
      <w:bookmarkEnd w:id="1822"/>
      <w:bookmarkEnd w:id="1823"/>
      <w:bookmarkEnd w:id="1824"/>
      <w:bookmarkEnd w:id="1825"/>
    </w:p>
    <w:p w14:paraId="541B2F32">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rPr>
        <w:t>1.7.1发包人和承包人应当在</w:t>
      </w:r>
      <w:r>
        <w:rPr>
          <w:rFonts w:hint="eastAsia" w:ascii="仿宋_GB2312" w:hAnsi="仿宋_GB2312" w:eastAsia="仿宋_GB2312" w:cs="仿宋_GB2312"/>
          <w:color w:val="auto"/>
          <w:sz w:val="32"/>
          <w:szCs w:val="32"/>
          <w:highlight w:val="none"/>
          <w:u w:val="none"/>
        </w:rPr>
        <w:t xml:space="preserve">5 </w:t>
      </w:r>
      <w:r>
        <w:rPr>
          <w:rFonts w:hint="eastAsia" w:ascii="仿宋_GB2312" w:hAnsi="仿宋_GB2312" w:eastAsia="仿宋_GB2312" w:cs="仿宋_GB2312"/>
          <w:color w:val="auto"/>
          <w:kern w:val="0"/>
          <w:sz w:val="32"/>
          <w:szCs w:val="32"/>
          <w:highlight w:val="none"/>
          <w:u w:val="none"/>
        </w:rPr>
        <w:t>天内将与合同有关的通知、批准、证明、证书、指示、指令、要求、请求、同意、意见、确定和决定等书面函件送达对方当事人。</w:t>
      </w:r>
    </w:p>
    <w:p w14:paraId="189A2437">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rPr>
        <w:t>1.7.2 发包人接收文件的地点：具体详见附件1</w:t>
      </w:r>
      <w:r>
        <w:rPr>
          <w:rFonts w:hint="eastAsia" w:ascii="仿宋_GB2312" w:hAnsi="仿宋_GB2312" w:eastAsia="仿宋_GB2312" w:cs="仿宋_GB2312"/>
          <w:color w:val="auto"/>
          <w:kern w:val="0"/>
          <w:sz w:val="32"/>
          <w:szCs w:val="32"/>
          <w:highlight w:val="none"/>
          <w:u w:val="none"/>
          <w:lang w:val="en-US" w:eastAsia="zh-CN"/>
        </w:rPr>
        <w:t>5</w:t>
      </w:r>
      <w:r>
        <w:rPr>
          <w:rFonts w:hint="eastAsia" w:ascii="仿宋_GB2312" w:hAnsi="仿宋_GB2312" w:eastAsia="仿宋_GB2312" w:cs="仿宋_GB2312"/>
          <w:color w:val="auto"/>
          <w:kern w:val="0"/>
          <w:sz w:val="32"/>
          <w:szCs w:val="32"/>
          <w:highlight w:val="none"/>
          <w:u w:val="none"/>
        </w:rPr>
        <w:t>；</w:t>
      </w:r>
    </w:p>
    <w:p w14:paraId="17FE7C6B">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lang w:eastAsia="zh-CN"/>
        </w:rPr>
      </w:pPr>
      <w:r>
        <w:rPr>
          <w:rFonts w:hint="eastAsia" w:ascii="仿宋_GB2312" w:hAnsi="仿宋_GB2312" w:eastAsia="仿宋_GB2312" w:cs="仿宋_GB2312"/>
          <w:color w:val="auto"/>
          <w:kern w:val="0"/>
          <w:sz w:val="32"/>
          <w:szCs w:val="32"/>
          <w:highlight w:val="none"/>
          <w:u w:val="none"/>
        </w:rPr>
        <w:t>发包人指定的接收人为：具体详见附件1</w:t>
      </w:r>
      <w:r>
        <w:rPr>
          <w:rFonts w:hint="eastAsia" w:ascii="仿宋_GB2312" w:hAnsi="仿宋_GB2312" w:eastAsia="仿宋_GB2312" w:cs="仿宋_GB2312"/>
          <w:color w:val="auto"/>
          <w:kern w:val="0"/>
          <w:sz w:val="32"/>
          <w:szCs w:val="32"/>
          <w:highlight w:val="none"/>
          <w:u w:val="none"/>
          <w:lang w:val="en-US" w:eastAsia="zh-CN"/>
        </w:rPr>
        <w:t>5</w:t>
      </w:r>
      <w:r>
        <w:rPr>
          <w:rFonts w:hint="eastAsia" w:ascii="仿宋_GB2312" w:hAnsi="仿宋_GB2312" w:eastAsia="仿宋_GB2312" w:cs="仿宋_GB2312"/>
          <w:color w:val="auto"/>
          <w:kern w:val="0"/>
          <w:sz w:val="32"/>
          <w:szCs w:val="32"/>
          <w:highlight w:val="none"/>
          <w:u w:val="none"/>
          <w:lang w:eastAsia="zh-CN"/>
        </w:rPr>
        <w:t>；</w:t>
      </w:r>
    </w:p>
    <w:p w14:paraId="2D299CE1">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rPr>
        <w:t>承包人接收文件的地点：具体详见附件1</w:t>
      </w:r>
      <w:r>
        <w:rPr>
          <w:rFonts w:hint="eastAsia" w:ascii="仿宋_GB2312" w:hAnsi="仿宋_GB2312" w:eastAsia="仿宋_GB2312" w:cs="仿宋_GB2312"/>
          <w:color w:val="auto"/>
          <w:kern w:val="0"/>
          <w:sz w:val="32"/>
          <w:szCs w:val="32"/>
          <w:highlight w:val="none"/>
          <w:u w:val="none"/>
          <w:lang w:val="en-US" w:eastAsia="zh-CN"/>
        </w:rPr>
        <w:t>5</w:t>
      </w:r>
      <w:r>
        <w:rPr>
          <w:rFonts w:hint="eastAsia" w:ascii="仿宋_GB2312" w:hAnsi="仿宋_GB2312" w:eastAsia="仿宋_GB2312" w:cs="仿宋_GB2312"/>
          <w:color w:val="auto"/>
          <w:kern w:val="0"/>
          <w:sz w:val="32"/>
          <w:szCs w:val="32"/>
          <w:highlight w:val="none"/>
          <w:u w:val="none"/>
        </w:rPr>
        <w:t>；</w:t>
      </w:r>
    </w:p>
    <w:p w14:paraId="7763284F">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rPr>
        <w:t>承包人指定的接收人为：具体详见附件1</w:t>
      </w:r>
      <w:r>
        <w:rPr>
          <w:rFonts w:hint="eastAsia" w:ascii="仿宋_GB2312" w:hAnsi="仿宋_GB2312" w:eastAsia="仿宋_GB2312" w:cs="仿宋_GB2312"/>
          <w:color w:val="auto"/>
          <w:kern w:val="0"/>
          <w:sz w:val="32"/>
          <w:szCs w:val="32"/>
          <w:highlight w:val="none"/>
          <w:u w:val="none"/>
          <w:lang w:val="en-US" w:eastAsia="zh-CN"/>
        </w:rPr>
        <w:t>5</w:t>
      </w:r>
      <w:r>
        <w:rPr>
          <w:rFonts w:hint="eastAsia" w:ascii="仿宋_GB2312" w:hAnsi="仿宋_GB2312" w:eastAsia="仿宋_GB2312" w:cs="仿宋_GB2312"/>
          <w:color w:val="auto"/>
          <w:kern w:val="0"/>
          <w:sz w:val="32"/>
          <w:szCs w:val="32"/>
          <w:highlight w:val="none"/>
          <w:u w:val="none"/>
        </w:rPr>
        <w:t>。</w:t>
      </w:r>
    </w:p>
    <w:p w14:paraId="1351480B">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rPr>
        <w:t>监理人接收文件的地点：具体详见附件1</w:t>
      </w:r>
      <w:r>
        <w:rPr>
          <w:rFonts w:hint="eastAsia" w:ascii="仿宋_GB2312" w:hAnsi="仿宋_GB2312" w:eastAsia="仿宋_GB2312" w:cs="仿宋_GB2312"/>
          <w:color w:val="auto"/>
          <w:kern w:val="0"/>
          <w:sz w:val="32"/>
          <w:szCs w:val="32"/>
          <w:highlight w:val="none"/>
          <w:u w:val="none"/>
          <w:lang w:val="en-US" w:eastAsia="zh-CN"/>
        </w:rPr>
        <w:t>5</w:t>
      </w:r>
      <w:r>
        <w:rPr>
          <w:rFonts w:hint="eastAsia" w:ascii="仿宋_GB2312" w:hAnsi="仿宋_GB2312" w:eastAsia="仿宋_GB2312" w:cs="仿宋_GB2312"/>
          <w:color w:val="auto"/>
          <w:kern w:val="0"/>
          <w:sz w:val="32"/>
          <w:szCs w:val="32"/>
          <w:highlight w:val="none"/>
          <w:u w:val="none"/>
        </w:rPr>
        <w:t>；</w:t>
      </w:r>
    </w:p>
    <w:p w14:paraId="3AD94A93">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rPr>
        <w:t>监理人指定的接收人为：具体详见附件1</w:t>
      </w:r>
      <w:r>
        <w:rPr>
          <w:rFonts w:hint="eastAsia" w:ascii="仿宋_GB2312" w:hAnsi="仿宋_GB2312" w:eastAsia="仿宋_GB2312" w:cs="仿宋_GB2312"/>
          <w:color w:val="auto"/>
          <w:kern w:val="0"/>
          <w:sz w:val="32"/>
          <w:szCs w:val="32"/>
          <w:highlight w:val="none"/>
          <w:u w:val="none"/>
          <w:lang w:val="en-US" w:eastAsia="zh-CN"/>
        </w:rPr>
        <w:t>5</w:t>
      </w:r>
      <w:r>
        <w:rPr>
          <w:rFonts w:hint="eastAsia" w:ascii="仿宋_GB2312" w:hAnsi="仿宋_GB2312" w:eastAsia="仿宋_GB2312" w:cs="仿宋_GB2312"/>
          <w:color w:val="auto"/>
          <w:kern w:val="0"/>
          <w:sz w:val="32"/>
          <w:szCs w:val="32"/>
          <w:highlight w:val="none"/>
          <w:u w:val="none"/>
        </w:rPr>
        <w:t>。</w:t>
      </w:r>
    </w:p>
    <w:p w14:paraId="7410AB4E">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1.7.4双方共同确认以下联系人、电话和地址（具体详见附件1</w:t>
      </w:r>
      <w:r>
        <w:rPr>
          <w:rFonts w:hint="eastAsia" w:ascii="仿宋_GB2312" w:hAnsi="仿宋_GB2312" w:eastAsia="仿宋_GB2312" w:cs="仿宋_GB2312"/>
          <w:color w:val="auto"/>
          <w:kern w:val="0"/>
          <w:sz w:val="32"/>
          <w:szCs w:val="32"/>
          <w:highlight w:val="none"/>
          <w:lang w:val="en-US" w:eastAsia="zh-CN"/>
        </w:rPr>
        <w:t>6</w:t>
      </w:r>
      <w:r>
        <w:rPr>
          <w:rFonts w:hint="eastAsia" w:ascii="仿宋_GB2312" w:hAnsi="仿宋_GB2312" w:eastAsia="仿宋_GB2312" w:cs="仿宋_GB2312"/>
          <w:color w:val="auto"/>
          <w:kern w:val="0"/>
          <w:sz w:val="32"/>
          <w:szCs w:val="32"/>
          <w:highlight w:val="none"/>
        </w:rPr>
        <w:t>）可被用于各方之间书面材料、文件、图纸等送达之联络信息，也可</w:t>
      </w:r>
      <w:r>
        <w:rPr>
          <w:rFonts w:hint="eastAsia" w:ascii="仿宋_GB2312" w:hAnsi="仿宋_GB2312" w:eastAsia="仿宋_GB2312" w:cs="仿宋_GB2312"/>
          <w:color w:val="auto"/>
          <w:kern w:val="0"/>
          <w:sz w:val="32"/>
          <w:szCs w:val="32"/>
          <w:highlight w:val="none"/>
          <w:lang w:eastAsia="zh-CN"/>
        </w:rPr>
        <w:t>用</w:t>
      </w:r>
      <w:r>
        <w:rPr>
          <w:rFonts w:hint="eastAsia" w:ascii="仿宋_GB2312" w:hAnsi="仿宋_GB2312" w:eastAsia="仿宋_GB2312" w:cs="仿宋_GB2312"/>
          <w:color w:val="auto"/>
          <w:kern w:val="0"/>
          <w:sz w:val="32"/>
          <w:szCs w:val="32"/>
          <w:highlight w:val="none"/>
        </w:rPr>
        <w:t>于政府部门、人民法院等材料送达之联络信息。若采取邮寄送达的，有且仅能使用邮政快递EMS的方式进行，送达时间及相关信息以邮政快递EMS载明的信息为准。若采取专人送达的，以签收时间为准。</w:t>
      </w:r>
    </w:p>
    <w:p w14:paraId="4BEF8998">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1.7.5任何一方变更本合同所示的联络信息，应提前5日书面通知对方，否则对方有权依据本合同载明的联络信息进行邮寄，且视为送达。</w:t>
      </w:r>
    </w:p>
    <w:p w14:paraId="57CDD87C">
      <w:pPr>
        <w:pageBreakBefore w:val="0"/>
        <w:kinsoku/>
        <w:wordWrap/>
        <w:overflowPunct/>
        <w:topLinePunct w:val="0"/>
        <w:bidi w:val="0"/>
        <w:adjustRightInd w:val="0"/>
        <w:snapToGrid w:val="0"/>
        <w:spacing w:line="560" w:lineRule="exact"/>
        <w:ind w:firstLine="640" w:firstLineChars="200"/>
        <w:jc w:val="both"/>
        <w:outlineLvl w:val="9"/>
        <w:rPr>
          <w:rFonts w:hint="eastAsia" w:ascii="仿宋_GB2312" w:hAnsi="仿宋_GB2312" w:eastAsia="仿宋_GB2312" w:cs="仿宋_GB2312"/>
          <w:color w:val="auto"/>
          <w:sz w:val="32"/>
          <w:szCs w:val="32"/>
          <w:highlight w:val="none"/>
        </w:rPr>
      </w:pPr>
      <w:bookmarkStart w:id="1826" w:name="_Toc11738"/>
      <w:bookmarkStart w:id="1827" w:name="_Toc11666"/>
      <w:bookmarkStart w:id="1828" w:name="_Toc26937"/>
      <w:bookmarkStart w:id="1829" w:name="_Toc1964"/>
      <w:bookmarkStart w:id="1830" w:name="_Toc10445"/>
      <w:bookmarkStart w:id="1831" w:name="_Toc17535"/>
      <w:bookmarkStart w:id="1832" w:name="_Toc10213"/>
      <w:bookmarkStart w:id="1833" w:name="_Toc19308"/>
      <w:r>
        <w:rPr>
          <w:rFonts w:hint="eastAsia" w:ascii="仿宋_GB2312" w:hAnsi="仿宋_GB2312" w:eastAsia="仿宋_GB2312" w:cs="仿宋_GB2312"/>
          <w:color w:val="auto"/>
          <w:sz w:val="32"/>
          <w:szCs w:val="32"/>
          <w:highlight w:val="none"/>
        </w:rPr>
        <w:t>1.10 交通运输</w:t>
      </w:r>
      <w:bookmarkEnd w:id="1826"/>
      <w:bookmarkEnd w:id="1827"/>
      <w:bookmarkEnd w:id="1828"/>
      <w:bookmarkEnd w:id="1829"/>
      <w:bookmarkEnd w:id="1830"/>
      <w:bookmarkEnd w:id="1831"/>
      <w:bookmarkEnd w:id="1832"/>
      <w:bookmarkEnd w:id="1833"/>
    </w:p>
    <w:p w14:paraId="4105C622">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bookmarkStart w:id="1834" w:name="_Toc312677986"/>
      <w:bookmarkStart w:id="1835" w:name="_Toc318581155"/>
      <w:bookmarkStart w:id="1836" w:name="_Toc304295521"/>
      <w:bookmarkStart w:id="1837" w:name="_Toc300934943"/>
      <w:bookmarkStart w:id="1838" w:name="_Toc303539100"/>
      <w:r>
        <w:rPr>
          <w:rFonts w:hint="eastAsia" w:ascii="仿宋_GB2312" w:hAnsi="仿宋_GB2312" w:eastAsia="仿宋_GB2312" w:cs="仿宋_GB2312"/>
          <w:color w:val="auto"/>
          <w:sz w:val="32"/>
          <w:szCs w:val="32"/>
          <w:highlight w:val="none"/>
        </w:rPr>
        <w:t>1.10.1 出入现场的权利</w:t>
      </w:r>
    </w:p>
    <w:p w14:paraId="4078791A">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关于出入现场的权利的约定：承包人应在签订本合同前查勘施工现场，并根据工程规模及技术参数合理预见工程施工所需的进出施工现场的方式、路径等，因承包人未合理预见所增加的费用和（或）延误的工期由承包人承担。发包人和监理人有权无偿使用承包人修建的临时道路和交通设施，不需要交纳任何费用。承包人应根据合同工程的施工需要，负责办理取得出入施工场地的专用和临时道路的通行权，以及取得为工程建设所需修建场外设施的权利。发包人协助承包人办理上述手续，不另行支付费用。施工所需的场内、场外临时道路和交通设施的修建、维护、养护和管理</w:t>
      </w:r>
      <w:r>
        <w:rPr>
          <w:rFonts w:hint="eastAsia" w:ascii="仿宋_GB2312" w:hAnsi="仿宋_GB2312" w:eastAsia="仿宋_GB2312" w:cs="仿宋_GB2312"/>
          <w:color w:val="auto"/>
          <w:sz w:val="32"/>
          <w:szCs w:val="32"/>
          <w:highlight w:val="none"/>
          <w:u w:val="none"/>
          <w:lang w:val="en-US" w:eastAsia="zh-CN"/>
        </w:rPr>
        <w:t>均由</w:t>
      </w:r>
      <w:r>
        <w:rPr>
          <w:rFonts w:hint="eastAsia" w:ascii="仿宋_GB2312" w:hAnsi="仿宋_GB2312" w:eastAsia="仿宋_GB2312" w:cs="仿宋_GB2312"/>
          <w:color w:val="auto"/>
          <w:sz w:val="32"/>
          <w:szCs w:val="32"/>
          <w:highlight w:val="none"/>
          <w:u w:val="none"/>
        </w:rPr>
        <w:t>承包人</w:t>
      </w:r>
      <w:r>
        <w:rPr>
          <w:rFonts w:hint="eastAsia" w:ascii="仿宋_GB2312" w:hAnsi="仿宋_GB2312" w:eastAsia="仿宋_GB2312" w:cs="仿宋_GB2312"/>
          <w:color w:val="auto"/>
          <w:sz w:val="32"/>
          <w:szCs w:val="32"/>
          <w:highlight w:val="none"/>
          <w:u w:val="none"/>
          <w:lang w:val="en-US" w:eastAsia="zh-CN"/>
        </w:rPr>
        <w:t>负责实施</w:t>
      </w:r>
      <w:r>
        <w:rPr>
          <w:rFonts w:hint="eastAsia" w:ascii="仿宋_GB2312" w:hAnsi="仿宋_GB2312" w:eastAsia="仿宋_GB2312" w:cs="仿宋_GB2312"/>
          <w:color w:val="auto"/>
          <w:sz w:val="32"/>
          <w:szCs w:val="32"/>
          <w:highlight w:val="none"/>
          <w:u w:val="none"/>
        </w:rPr>
        <w:t>，相关费用已包含在</w:t>
      </w:r>
      <w:r>
        <w:rPr>
          <w:rFonts w:hint="eastAsia" w:ascii="仿宋_GB2312" w:hAnsi="仿宋_GB2312" w:eastAsia="仿宋_GB2312" w:cs="仿宋_GB2312"/>
          <w:color w:val="auto"/>
          <w:sz w:val="32"/>
          <w:szCs w:val="32"/>
          <w:highlight w:val="none"/>
          <w:u w:val="none"/>
          <w:lang w:eastAsia="zh-CN"/>
        </w:rPr>
        <w:t>合同价款中的各分部分项或措施项目清单综合单价</w:t>
      </w:r>
      <w:r>
        <w:rPr>
          <w:rFonts w:hint="eastAsia" w:ascii="仿宋_GB2312" w:hAnsi="仿宋_GB2312" w:eastAsia="仿宋_GB2312" w:cs="仿宋_GB2312"/>
          <w:color w:val="auto"/>
          <w:sz w:val="32"/>
          <w:szCs w:val="32"/>
          <w:highlight w:val="none"/>
          <w:u w:val="none"/>
        </w:rPr>
        <w:t>中，发包人不另行支付费用。</w:t>
      </w:r>
      <w:bookmarkEnd w:id="1834"/>
      <w:bookmarkEnd w:id="1835"/>
      <w:bookmarkEnd w:id="1836"/>
      <w:bookmarkEnd w:id="1837"/>
      <w:bookmarkEnd w:id="1838"/>
    </w:p>
    <w:p w14:paraId="78328554">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bookmarkStart w:id="1839" w:name="_Toc300934944"/>
      <w:bookmarkStart w:id="1840" w:name="_Toc312677987"/>
      <w:bookmarkStart w:id="1841" w:name="_Toc304295522"/>
      <w:bookmarkStart w:id="1842" w:name="_Toc303539101"/>
      <w:bookmarkStart w:id="1843" w:name="_Toc318581156"/>
      <w:r>
        <w:rPr>
          <w:rFonts w:hint="eastAsia" w:ascii="仿宋_GB2312" w:hAnsi="仿宋_GB2312" w:eastAsia="仿宋_GB2312" w:cs="仿宋_GB2312"/>
          <w:color w:val="auto"/>
          <w:sz w:val="32"/>
          <w:szCs w:val="32"/>
          <w:highlight w:val="none"/>
          <w:u w:val="none"/>
        </w:rPr>
        <w:t>1.10.3 场内交通</w:t>
      </w:r>
    </w:p>
    <w:p w14:paraId="2A61884D">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rPr>
        <w:t>关于场外交通和场内交通的边界的约定：</w:t>
      </w:r>
      <w:r>
        <w:rPr>
          <w:rFonts w:hint="eastAsia" w:ascii="仿宋_GB2312" w:hAnsi="仿宋_GB2312" w:eastAsia="仿宋_GB2312" w:cs="仿宋_GB2312"/>
          <w:color w:val="auto"/>
          <w:sz w:val="32"/>
          <w:szCs w:val="32"/>
          <w:highlight w:val="none"/>
          <w:u w:val="none"/>
        </w:rPr>
        <w:t>图纸会审时由发包人及承包人按红线及政府规定或要求约定。</w:t>
      </w:r>
    </w:p>
    <w:p w14:paraId="00444363">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关于发包人向承包人免费提供满足工程施工需要的场内道路和交通设施的约定：由承包人负责，相关费用已包含在实体项目综合单价中，发包人不另行支付</w:t>
      </w:r>
      <w:bookmarkEnd w:id="1839"/>
      <w:bookmarkEnd w:id="1840"/>
      <w:bookmarkEnd w:id="1841"/>
      <w:bookmarkEnd w:id="1842"/>
      <w:bookmarkEnd w:id="1843"/>
      <w:bookmarkStart w:id="1844" w:name="_Toc318581157"/>
      <w:r>
        <w:rPr>
          <w:rFonts w:hint="eastAsia" w:ascii="仿宋_GB2312" w:hAnsi="仿宋_GB2312" w:eastAsia="仿宋_GB2312" w:cs="仿宋_GB2312"/>
          <w:color w:val="auto"/>
          <w:sz w:val="32"/>
          <w:szCs w:val="32"/>
          <w:highlight w:val="none"/>
          <w:u w:val="none"/>
        </w:rPr>
        <w:t>费用。</w:t>
      </w:r>
    </w:p>
    <w:p w14:paraId="734441D2">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1.10.4超大件和超重件的运输</w:t>
      </w:r>
    </w:p>
    <w:p w14:paraId="2C976226">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运输超大件或超重件所需的道路和桥梁临时加固改造费用和其他有关费用由承包人承担。</w:t>
      </w:r>
      <w:bookmarkEnd w:id="1844"/>
    </w:p>
    <w:p w14:paraId="4CE84F85">
      <w:pPr>
        <w:pageBreakBefore w:val="0"/>
        <w:kinsoku/>
        <w:wordWrap/>
        <w:overflowPunct/>
        <w:topLinePunct w:val="0"/>
        <w:bidi w:val="0"/>
        <w:adjustRightInd w:val="0"/>
        <w:snapToGrid w:val="0"/>
        <w:spacing w:line="560" w:lineRule="exact"/>
        <w:ind w:firstLine="640" w:firstLineChars="200"/>
        <w:jc w:val="both"/>
        <w:outlineLvl w:val="9"/>
        <w:rPr>
          <w:rFonts w:hint="eastAsia" w:ascii="仿宋_GB2312" w:hAnsi="仿宋_GB2312" w:eastAsia="仿宋_GB2312" w:cs="仿宋_GB2312"/>
          <w:color w:val="auto"/>
          <w:sz w:val="32"/>
          <w:szCs w:val="32"/>
          <w:highlight w:val="none"/>
          <w:u w:val="none"/>
        </w:rPr>
      </w:pPr>
      <w:bookmarkStart w:id="1845" w:name="_Toc28797"/>
      <w:bookmarkStart w:id="1846" w:name="_Toc27563"/>
      <w:bookmarkStart w:id="1847" w:name="_Toc22385"/>
      <w:bookmarkStart w:id="1848" w:name="_Toc25837"/>
      <w:bookmarkStart w:id="1849" w:name="_Toc4279"/>
      <w:bookmarkStart w:id="1850" w:name="_Toc23151"/>
      <w:bookmarkStart w:id="1851" w:name="_Toc15728"/>
      <w:bookmarkStart w:id="1852" w:name="_Toc17263"/>
      <w:r>
        <w:rPr>
          <w:rFonts w:hint="eastAsia" w:ascii="仿宋_GB2312" w:hAnsi="仿宋_GB2312" w:eastAsia="仿宋_GB2312" w:cs="仿宋_GB2312"/>
          <w:color w:val="auto"/>
          <w:sz w:val="32"/>
          <w:szCs w:val="32"/>
          <w:highlight w:val="none"/>
          <w:u w:val="none"/>
        </w:rPr>
        <w:t>1.11 知识产权</w:t>
      </w:r>
      <w:bookmarkEnd w:id="1845"/>
      <w:bookmarkEnd w:id="1846"/>
      <w:bookmarkEnd w:id="1847"/>
      <w:bookmarkEnd w:id="1848"/>
      <w:bookmarkEnd w:id="1849"/>
      <w:bookmarkEnd w:id="1850"/>
      <w:bookmarkEnd w:id="1851"/>
      <w:bookmarkEnd w:id="1852"/>
    </w:p>
    <w:p w14:paraId="22A879F0">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1.11.1关于发包人提供给承包人的图纸、发包人为实施工程自行编制或委托编制的技术规范以及反映发包人关于合同要求或其他类似性质的文件的著作权的归属：归发包人所有。</w:t>
      </w:r>
    </w:p>
    <w:p w14:paraId="00D1DF4A">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关于发包人提供的上述文件的使用限制的要求：限于本工程使用，但不能用于与合同无关的事项，未经发包人书面同意，承包人不得为了合同以外的目的而复制、使用上述文件或将之提供给任何第三方。</w:t>
      </w:r>
    </w:p>
    <w:p w14:paraId="1B6E5F80">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1.11.2 关于承包人为实施工程所编制文件的著作权的归属：除署名权以外的著作权属于发包人。</w:t>
      </w:r>
    </w:p>
    <w:p w14:paraId="0F062EC8">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u w:val="none"/>
        </w:rPr>
        <w:t xml:space="preserve">关于承包人提供的上述文件的使用限制的要求：限于本工程使用，但不能用于与合同无关的事项，承包人可因实施工程的运行、调试、维修、改造等目的而复制、使用此类文件，但不能用于与合同无关的其他事项。未经发包人书面同意，承包人不得为了合同以外的目的而复制、使用上述文件或将之提供给任何第三方 </w:t>
      </w:r>
      <w:r>
        <w:rPr>
          <w:rFonts w:hint="eastAsia" w:ascii="仿宋_GB2312" w:hAnsi="仿宋_GB2312" w:eastAsia="仿宋_GB2312" w:cs="仿宋_GB2312"/>
          <w:color w:val="auto"/>
          <w:sz w:val="32"/>
          <w:szCs w:val="32"/>
          <w:highlight w:val="none"/>
        </w:rPr>
        <w:t>。</w:t>
      </w:r>
    </w:p>
    <w:p w14:paraId="6233B484">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sz w:val="32"/>
          <w:szCs w:val="32"/>
          <w:highlight w:val="none"/>
        </w:rPr>
        <w:t>1.11.4 承包人在施工过程中所采用的专利、专有技术、技术秘密的使用费的承担方式：</w:t>
      </w:r>
      <w:r>
        <w:rPr>
          <w:rFonts w:hint="eastAsia" w:ascii="仿宋_GB2312" w:hAnsi="仿宋_GB2312" w:eastAsia="仿宋_GB2312" w:cs="仿宋_GB2312"/>
          <w:color w:val="auto"/>
          <w:sz w:val="32"/>
          <w:szCs w:val="32"/>
          <w:highlight w:val="none"/>
          <w:u w:val="none"/>
        </w:rPr>
        <w:t>承包人在合同签订前和签订时已确定采用的专利、专有技术、技术秘密的使用费已包含在</w:t>
      </w:r>
      <w:r>
        <w:rPr>
          <w:rFonts w:hint="eastAsia" w:ascii="仿宋_GB2312" w:hAnsi="仿宋_GB2312" w:eastAsia="仿宋_GB2312" w:cs="仿宋_GB2312"/>
          <w:color w:val="auto"/>
          <w:sz w:val="32"/>
          <w:szCs w:val="32"/>
          <w:highlight w:val="none"/>
          <w:u w:val="none"/>
          <w:lang w:eastAsia="zh-CN"/>
        </w:rPr>
        <w:t>合同价款中的各分部分项或措施项目清单综合单价</w:t>
      </w:r>
      <w:r>
        <w:rPr>
          <w:rFonts w:hint="eastAsia" w:ascii="仿宋_GB2312" w:hAnsi="仿宋_GB2312" w:eastAsia="仿宋_GB2312" w:cs="仿宋_GB2312"/>
          <w:color w:val="auto"/>
          <w:sz w:val="32"/>
          <w:szCs w:val="32"/>
          <w:highlight w:val="none"/>
          <w:u w:val="none"/>
        </w:rPr>
        <w:t>中，发包人不另行支付费用（发包人要求除外）</w:t>
      </w:r>
      <w:r>
        <w:rPr>
          <w:rFonts w:hint="eastAsia" w:ascii="仿宋_GB2312" w:hAnsi="仿宋_GB2312" w:eastAsia="仿宋_GB2312" w:cs="仿宋_GB2312"/>
          <w:color w:val="auto"/>
          <w:kern w:val="0"/>
          <w:sz w:val="32"/>
          <w:szCs w:val="32"/>
          <w:highlight w:val="none"/>
        </w:rPr>
        <w:t>。</w:t>
      </w:r>
    </w:p>
    <w:p w14:paraId="631659FA">
      <w:pPr>
        <w:pageBreakBefore w:val="0"/>
        <w:kinsoku/>
        <w:wordWrap/>
        <w:overflowPunct/>
        <w:topLinePunct w:val="0"/>
        <w:bidi w:val="0"/>
        <w:adjustRightInd w:val="0"/>
        <w:snapToGrid w:val="0"/>
        <w:spacing w:line="560" w:lineRule="exact"/>
        <w:ind w:firstLine="640" w:firstLineChars="200"/>
        <w:jc w:val="both"/>
        <w:outlineLvl w:val="9"/>
        <w:rPr>
          <w:rFonts w:hint="eastAsia" w:ascii="仿宋_GB2312" w:hAnsi="仿宋_GB2312" w:eastAsia="仿宋_GB2312" w:cs="仿宋_GB2312"/>
          <w:color w:val="auto"/>
          <w:sz w:val="32"/>
          <w:szCs w:val="32"/>
          <w:highlight w:val="none"/>
        </w:rPr>
      </w:pPr>
      <w:bookmarkStart w:id="1853" w:name="_Toc27424"/>
      <w:bookmarkStart w:id="1854" w:name="_Toc6419"/>
      <w:bookmarkStart w:id="1855" w:name="_Toc1827"/>
      <w:bookmarkStart w:id="1856" w:name="_Toc20925"/>
      <w:bookmarkStart w:id="1857" w:name="_Toc22060"/>
      <w:bookmarkStart w:id="1858" w:name="_Toc6086"/>
      <w:r>
        <w:rPr>
          <w:rFonts w:hint="eastAsia" w:ascii="仿宋_GB2312" w:hAnsi="仿宋_GB2312" w:eastAsia="仿宋_GB2312" w:cs="仿宋_GB2312"/>
          <w:color w:val="auto"/>
          <w:sz w:val="32"/>
          <w:szCs w:val="32"/>
          <w:highlight w:val="none"/>
        </w:rPr>
        <w:t>1.12保密</w:t>
      </w:r>
      <w:bookmarkEnd w:id="1853"/>
      <w:bookmarkEnd w:id="1854"/>
      <w:bookmarkEnd w:id="1855"/>
      <w:bookmarkEnd w:id="1856"/>
      <w:bookmarkEnd w:id="1857"/>
      <w:bookmarkEnd w:id="1858"/>
    </w:p>
    <w:p w14:paraId="6207CDBB">
      <w:pPr>
        <w:pageBreakBefore w:val="0"/>
        <w:kinsoku/>
        <w:wordWrap/>
        <w:overflowPunct/>
        <w:topLinePunct w:val="0"/>
        <w:autoSpaceDE w:val="0"/>
        <w:autoSpaceDN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1.12.1承包人在履行本合同过程中获得的发包人或上级单位（或地区政府相关主管部门）或利益相关方的一切非公开资料、档案、文件、信息，包括但不限于基础数据、技术资料和经营资料，编制的可研报告，以及与本合同内容相关的资料、图纸、数据等均为保密信息，承包人应承担保密义务。</w:t>
      </w:r>
    </w:p>
    <w:p w14:paraId="3F7ED8A9">
      <w:pPr>
        <w:pageBreakBefore w:val="0"/>
        <w:kinsoku/>
        <w:wordWrap/>
        <w:overflowPunct/>
        <w:topLinePunct w:val="0"/>
        <w:autoSpaceDE w:val="0"/>
        <w:autoSpaceDN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1.12.2未经发包人书面同意，承包人不得以任何方式（包括但不限于复制、仿造等手段）将保密信息泄露给本合同以外的任何第三方，不得将保密信息用于本项目以外的其他用途。承包人应严格按照本合同的目的、用途，以合理的方式获悉、使用保密信息，并采取合理的保密措施防止信息的泄露。</w:t>
      </w:r>
    </w:p>
    <w:p w14:paraId="50965371">
      <w:pPr>
        <w:pageBreakBefore w:val="0"/>
        <w:kinsoku/>
        <w:wordWrap/>
        <w:overflowPunct/>
        <w:topLinePunct w:val="0"/>
        <w:autoSpaceDE w:val="0"/>
        <w:autoSpaceDN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1.12.3承包人若违反本保密义务的，承包人应赔偿发包人全部损失，损失范围包括但不限于发包人的名誉损失、直接损失和可得利益的损失，以及诉讼费、保全费、评估费、鉴定费、调查费、公证费、律师费，以及向第三方支付的赔偿、为应对第三方的指控而支付的一切费用等，若承包人泄露发包人或上级单位（或地区政府相关主管部门）或利益相关方资料信息造成严重后果的，发包人有权向公安机关报案。</w:t>
      </w:r>
    </w:p>
    <w:p w14:paraId="5EF092C5">
      <w:pPr>
        <w:pageBreakBefore w:val="0"/>
        <w:kinsoku/>
        <w:wordWrap/>
        <w:overflowPunct/>
        <w:topLinePunct w:val="0"/>
        <w:autoSpaceDE w:val="0"/>
        <w:autoSpaceDN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1.12.4承包人承担保密义务</w:t>
      </w:r>
      <w:r>
        <w:rPr>
          <w:rFonts w:hint="eastAsia" w:ascii="仿宋_GB2312" w:hAnsi="仿宋_GB2312" w:eastAsia="仿宋_GB2312" w:cs="仿宋_GB2312"/>
          <w:color w:val="auto"/>
          <w:sz w:val="32"/>
          <w:szCs w:val="32"/>
          <w:highlight w:val="none"/>
          <w:lang w:eastAsia="zh-CN"/>
        </w:rPr>
        <w:t>直</w:t>
      </w:r>
      <w:r>
        <w:rPr>
          <w:rFonts w:hint="eastAsia" w:ascii="仿宋_GB2312" w:hAnsi="仿宋_GB2312" w:eastAsia="仿宋_GB2312" w:cs="仿宋_GB2312"/>
          <w:color w:val="auto"/>
          <w:sz w:val="32"/>
          <w:szCs w:val="32"/>
          <w:highlight w:val="none"/>
        </w:rPr>
        <w:t>至本条款中所称的保密信息进入公示领域或发包人将这些保密信息公开为止，保密期限不因本合同终止或履行完毕而终止。</w:t>
      </w:r>
    </w:p>
    <w:p w14:paraId="0D7BC964">
      <w:pPr>
        <w:pageBreakBefore w:val="0"/>
        <w:kinsoku/>
        <w:wordWrap/>
        <w:overflowPunct/>
        <w:topLinePunct w:val="0"/>
        <w:bidi w:val="0"/>
        <w:adjustRightInd w:val="0"/>
        <w:snapToGrid w:val="0"/>
        <w:spacing w:line="560" w:lineRule="exact"/>
        <w:ind w:firstLine="640" w:firstLineChars="200"/>
        <w:jc w:val="both"/>
        <w:outlineLvl w:val="9"/>
        <w:rPr>
          <w:rFonts w:hint="eastAsia" w:ascii="仿宋_GB2312" w:hAnsi="仿宋_GB2312" w:eastAsia="仿宋_GB2312" w:cs="仿宋_GB2312"/>
          <w:color w:val="auto"/>
          <w:sz w:val="32"/>
          <w:szCs w:val="32"/>
          <w:highlight w:val="none"/>
          <w:u w:val="none"/>
        </w:rPr>
      </w:pPr>
      <w:bookmarkStart w:id="1859" w:name="_Toc20623"/>
      <w:bookmarkStart w:id="1860" w:name="_Toc10235"/>
      <w:bookmarkStart w:id="1861" w:name="_Toc18504"/>
      <w:bookmarkStart w:id="1862" w:name="_Toc29607"/>
      <w:bookmarkStart w:id="1863" w:name="_Toc16585"/>
      <w:bookmarkStart w:id="1864" w:name="_Toc12050"/>
      <w:bookmarkStart w:id="1865" w:name="_Toc4908"/>
      <w:bookmarkStart w:id="1866" w:name="_Toc12162"/>
      <w:r>
        <w:rPr>
          <w:rFonts w:hint="eastAsia" w:ascii="仿宋_GB2312" w:hAnsi="仿宋_GB2312" w:eastAsia="仿宋_GB2312" w:cs="仿宋_GB2312"/>
          <w:color w:val="auto"/>
          <w:sz w:val="32"/>
          <w:szCs w:val="32"/>
          <w:highlight w:val="none"/>
        </w:rPr>
        <w:t>1.13工程量清单错误的修正</w:t>
      </w:r>
      <w:bookmarkEnd w:id="1859"/>
      <w:bookmarkEnd w:id="1860"/>
      <w:bookmarkEnd w:id="1861"/>
      <w:bookmarkEnd w:id="1862"/>
      <w:bookmarkEnd w:id="1863"/>
      <w:bookmarkEnd w:id="1864"/>
      <w:bookmarkEnd w:id="1865"/>
      <w:bookmarkEnd w:id="1866"/>
    </w:p>
    <w:p w14:paraId="34CCB638">
      <w:pPr>
        <w:pageBreakBefore w:val="0"/>
        <w:kinsoku/>
        <w:wordWrap/>
        <w:overflowPunct/>
        <w:topLinePunct w:val="0"/>
        <w:autoSpaceDE w:val="0"/>
        <w:autoSpaceDN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出现工程量清单错误时，是否调整合同价格：是，调整范围为：（1）工程量偏差超出专用合同条款约定的工程量偏差范围的；（2）未按照合同约定计量的</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rPr>
        <w:t>（3）工程量清单存在缺项、漏项的，价格确定方式按本合同专用条款第</w:t>
      </w:r>
      <w:r>
        <w:rPr>
          <w:rFonts w:hint="eastAsia" w:ascii="仿宋_GB2312" w:hAnsi="仿宋_GB2312" w:eastAsia="仿宋_GB2312" w:cs="仿宋_GB2312"/>
          <w:color w:val="auto"/>
          <w:sz w:val="32"/>
          <w:szCs w:val="32"/>
          <w:highlight w:val="none"/>
          <w:u w:val="none"/>
          <w:lang w:val="en-US" w:eastAsia="zh-CN"/>
        </w:rPr>
        <w:t>8</w:t>
      </w:r>
      <w:r>
        <w:rPr>
          <w:rFonts w:hint="eastAsia" w:ascii="仿宋_GB2312" w:hAnsi="仿宋_GB2312" w:eastAsia="仿宋_GB2312" w:cs="仿宋_GB2312"/>
          <w:color w:val="auto"/>
          <w:sz w:val="32"/>
          <w:szCs w:val="32"/>
          <w:highlight w:val="none"/>
          <w:u w:val="none"/>
        </w:rPr>
        <w:t>.4.1条第</w:t>
      </w:r>
      <w:r>
        <w:rPr>
          <w:rFonts w:hint="eastAsia" w:ascii="仿宋_GB2312" w:hAnsi="仿宋_GB2312" w:eastAsia="仿宋_GB2312" w:cs="仿宋_GB2312"/>
          <w:color w:val="auto"/>
          <w:sz w:val="32"/>
          <w:szCs w:val="32"/>
          <w:highlight w:val="none"/>
          <w:u w:val="none"/>
          <w:lang w:val="en-US" w:eastAsia="zh-CN"/>
        </w:rPr>
        <w:t>2</w:t>
      </w:r>
      <w:r>
        <w:rPr>
          <w:rFonts w:hint="eastAsia" w:ascii="仿宋_GB2312" w:hAnsi="仿宋_GB2312" w:eastAsia="仿宋_GB2312" w:cs="仿宋_GB2312"/>
          <w:color w:val="auto"/>
          <w:sz w:val="32"/>
          <w:szCs w:val="32"/>
          <w:highlight w:val="none"/>
          <w:u w:val="none"/>
        </w:rPr>
        <w:t>款执行，工程量按合同约定进行计量。</w:t>
      </w:r>
    </w:p>
    <w:p w14:paraId="755625DA">
      <w:pPr>
        <w:pageBreakBefore w:val="0"/>
        <w:kinsoku/>
        <w:wordWrap/>
        <w:overflowPunct/>
        <w:topLinePunct w:val="0"/>
        <w:autoSpaceDE w:val="0"/>
        <w:autoSpaceDN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允许调整合同价格的工程量偏差范围：超出合同清单工程量正负15%。</w:t>
      </w:r>
    </w:p>
    <w:p w14:paraId="467DEC53">
      <w:pPr>
        <w:pageBreakBefore w:val="0"/>
        <w:kinsoku/>
        <w:wordWrap/>
        <w:overflowPunct/>
        <w:topLinePunct w:val="0"/>
        <w:autoSpaceDE w:val="0"/>
        <w:autoSpaceDN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调整原则为：当工程量增加15%以上时，其增加部分的工程量的综合单价应予调低；当工程量减少15%以上时，减少后剩余部分的工程量的综合单价应予调高。可按下列公式调整：</w:t>
      </w:r>
    </w:p>
    <w:p w14:paraId="66A2224D">
      <w:pPr>
        <w:pageBreakBefore w:val="0"/>
        <w:kinsoku/>
        <w:wordWrap/>
        <w:overflowPunct/>
        <w:topLinePunct w:val="0"/>
        <w:autoSpaceDE w:val="0"/>
        <w:autoSpaceDN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（1）当Q1＞1.15Q0时：S=1.15Q0×P0+（Q1-1.15Q0）×P1；</w:t>
      </w:r>
    </w:p>
    <w:p w14:paraId="017FFA6C">
      <w:pPr>
        <w:pageBreakBefore w:val="0"/>
        <w:kinsoku/>
        <w:wordWrap/>
        <w:overflowPunct/>
        <w:topLinePunct w:val="0"/>
        <w:autoSpaceDE w:val="0"/>
        <w:autoSpaceDN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（2）当Q1＜0.85Q0时：S=Q1×P1；</w:t>
      </w:r>
    </w:p>
    <w:p w14:paraId="2C3FBDD5">
      <w:pPr>
        <w:pageBreakBefore w:val="0"/>
        <w:kinsoku/>
        <w:wordWrap/>
        <w:overflowPunct/>
        <w:topLinePunct w:val="0"/>
        <w:autoSpaceDE w:val="0"/>
        <w:autoSpaceDN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“新综合单价P1的确定”：</w:t>
      </w:r>
    </w:p>
    <w:p w14:paraId="7945CE08">
      <w:pPr>
        <w:pageBreakBefore w:val="0"/>
        <w:kinsoku/>
        <w:wordWrap/>
        <w:overflowPunct/>
        <w:topLinePunct w:val="0"/>
        <w:autoSpaceDE w:val="0"/>
        <w:autoSpaceDN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（1）当Q1&lt;0.85×Q0时，若P0&lt;P2×(1-L)×(1-15%)时，P1=P2×(1-L)×(1-15%)；</w:t>
      </w:r>
    </w:p>
    <w:p w14:paraId="1321DDE3">
      <w:pPr>
        <w:pageBreakBefore w:val="0"/>
        <w:kinsoku/>
        <w:wordWrap/>
        <w:overflowPunct/>
        <w:topLinePunct w:val="0"/>
        <w:autoSpaceDE w:val="0"/>
        <w:autoSpaceDN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（2）当Q1&gt;1.15×Q0时，若P0&gt;P2×(1+15%)时，P1=P2×(1+15%)；</w:t>
      </w:r>
    </w:p>
    <w:p w14:paraId="27466B44">
      <w:pPr>
        <w:pageBreakBefore w:val="0"/>
        <w:kinsoku/>
        <w:wordWrap/>
        <w:overflowPunct/>
        <w:topLinePunct w:val="0"/>
        <w:autoSpaceDE w:val="0"/>
        <w:autoSpaceDN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（3）P2×(1-L)×(1-15%)&lt;P0&lt;P2×(1+15%)时，P1=P0；</w:t>
      </w:r>
    </w:p>
    <w:p w14:paraId="79AE6693">
      <w:pPr>
        <w:pageBreakBefore w:val="0"/>
        <w:kinsoku/>
        <w:wordWrap/>
        <w:overflowPunct/>
        <w:topLinePunct w:val="0"/>
        <w:autoSpaceDE w:val="0"/>
        <w:autoSpaceDN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公式中，</w:t>
      </w:r>
    </w:p>
    <w:p w14:paraId="274114EF">
      <w:pPr>
        <w:pageBreakBefore w:val="0"/>
        <w:kinsoku/>
        <w:wordWrap/>
        <w:overflowPunct/>
        <w:topLinePunct w:val="0"/>
        <w:autoSpaceDE w:val="0"/>
        <w:autoSpaceDN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S—调整后的某一分部分项工程费结算价；</w:t>
      </w:r>
    </w:p>
    <w:p w14:paraId="397054F3">
      <w:pPr>
        <w:pageBreakBefore w:val="0"/>
        <w:kinsoku/>
        <w:wordWrap/>
        <w:overflowPunct/>
        <w:topLinePunct w:val="0"/>
        <w:autoSpaceDE w:val="0"/>
        <w:autoSpaceDN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Q1—最终完成的工程量；</w:t>
      </w:r>
    </w:p>
    <w:p w14:paraId="3F4132A1">
      <w:pPr>
        <w:pageBreakBefore w:val="0"/>
        <w:kinsoku/>
        <w:wordWrap/>
        <w:overflowPunct/>
        <w:topLinePunct w:val="0"/>
        <w:autoSpaceDE w:val="0"/>
        <w:autoSpaceDN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 xml:space="preserve">Q0—招标工程量清单中列出的工程量； </w:t>
      </w:r>
    </w:p>
    <w:p w14:paraId="5EEDA0EF">
      <w:pPr>
        <w:pageBreakBefore w:val="0"/>
        <w:kinsoku/>
        <w:wordWrap/>
        <w:overflowPunct/>
        <w:topLinePunct w:val="0"/>
        <w:autoSpaceDE w:val="0"/>
        <w:autoSpaceDN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P1—按照最终完成工程量重新调整后的综合单价；</w:t>
      </w:r>
    </w:p>
    <w:p w14:paraId="2D7E3D13">
      <w:pPr>
        <w:pageBreakBefore w:val="0"/>
        <w:kinsoku/>
        <w:wordWrap/>
        <w:overflowPunct/>
        <w:topLinePunct w:val="0"/>
        <w:autoSpaceDE w:val="0"/>
        <w:autoSpaceDN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P0—承包人在工程量清单中填报的综合单价；</w:t>
      </w:r>
    </w:p>
    <w:p w14:paraId="1223F8F6">
      <w:pPr>
        <w:pageBreakBefore w:val="0"/>
        <w:kinsoku/>
        <w:wordWrap/>
        <w:overflowPunct/>
        <w:topLinePunct w:val="0"/>
        <w:autoSpaceDE w:val="0"/>
        <w:autoSpaceDN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P2—招标人招标控制价相应项目的综合单价；</w:t>
      </w:r>
    </w:p>
    <w:p w14:paraId="4622B2E7">
      <w:pPr>
        <w:pageBreakBefore w:val="0"/>
        <w:kinsoku/>
        <w:wordWrap/>
        <w:overflowPunct/>
        <w:topLinePunct w:val="0"/>
        <w:autoSpaceDE w:val="0"/>
        <w:autoSpaceDN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L—承包人中标下浮率。</w:t>
      </w:r>
      <w:bookmarkStart w:id="1867" w:name="_Toc351203634"/>
      <w:bookmarkStart w:id="1868" w:name="_Toc292559362"/>
      <w:bookmarkStart w:id="1869" w:name="_Toc296346658"/>
      <w:bookmarkStart w:id="1870" w:name="_Toc296347156"/>
      <w:bookmarkStart w:id="1871" w:name="_Toc2684"/>
      <w:bookmarkStart w:id="1872" w:name="_Toc296944496"/>
      <w:bookmarkStart w:id="1873" w:name="_Toc292559867"/>
      <w:bookmarkStart w:id="1874" w:name="_Toc297048343"/>
      <w:bookmarkStart w:id="1875" w:name="_Toc296891197"/>
      <w:bookmarkStart w:id="1876" w:name="_Toc296890985"/>
      <w:bookmarkStart w:id="1877" w:name="_Toc296503157"/>
      <w:bookmarkStart w:id="1878" w:name="_Toc297120457"/>
    </w:p>
    <w:p w14:paraId="565A95FC">
      <w:pPr>
        <w:pStyle w:val="3"/>
        <w:pageBreakBefore w:val="0"/>
        <w:kinsoku/>
        <w:wordWrap/>
        <w:overflowPunct/>
        <w:topLinePunct w:val="0"/>
        <w:bidi w:val="0"/>
        <w:adjustRightInd w:val="0"/>
        <w:snapToGrid w:val="0"/>
        <w:spacing w:line="560" w:lineRule="exact"/>
        <w:ind w:firstLine="602"/>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工程量清单存在缺项、漏项的，按照专用合同条款</w:t>
      </w:r>
      <w:r>
        <w:rPr>
          <w:rFonts w:hint="eastAsia" w:ascii="仿宋_GB2312" w:hAnsi="仿宋_GB2312" w:eastAsia="仿宋_GB2312" w:cs="仿宋_GB2312"/>
          <w:color w:val="auto"/>
          <w:sz w:val="32"/>
          <w:szCs w:val="32"/>
          <w:highlight w:val="none"/>
          <w:u w:val="none"/>
          <w:lang w:val="en-US" w:eastAsia="zh-CN"/>
        </w:rPr>
        <w:t>8</w:t>
      </w:r>
      <w:r>
        <w:rPr>
          <w:rFonts w:hint="eastAsia" w:ascii="仿宋_GB2312" w:hAnsi="仿宋_GB2312" w:eastAsia="仿宋_GB2312" w:cs="仿宋_GB2312"/>
          <w:color w:val="auto"/>
          <w:sz w:val="32"/>
          <w:szCs w:val="32"/>
          <w:highlight w:val="none"/>
          <w:u w:val="none"/>
        </w:rPr>
        <w:t>.4.1变更估价原则组价原则进行估价，其中合同《工程量清单》中没有相同或相似的项目的，人工单价、材料价格、施工机械价格能够采用海南省建设工程造价主办的《海南省工程造价信息》（厂商报价除外）中市场信息部分公布的价格的，均采用投标截止日前２８天海南省建设工程造价主办的《海南省工程造价信息》（厂商报价除外）中市场信息部分公布的价格执行，调差部分按照合同约定相关条款执行。</w:t>
      </w:r>
    </w:p>
    <w:p w14:paraId="5697018D">
      <w:pPr>
        <w:pageBreakBefore w:val="0"/>
        <w:widowControl/>
        <w:kinsoku/>
        <w:wordWrap/>
        <w:overflowPunct/>
        <w:topLinePunct w:val="0"/>
        <w:bidi w:val="0"/>
        <w:adjustRightInd w:val="0"/>
        <w:snapToGrid w:val="0"/>
        <w:spacing w:line="560" w:lineRule="exact"/>
        <w:ind w:firstLine="640" w:firstLineChars="200"/>
        <w:jc w:val="both"/>
        <w:outlineLvl w:val="9"/>
        <w:rPr>
          <w:rFonts w:hint="eastAsia" w:ascii="黑体" w:hAnsi="黑体" w:eastAsia="黑体" w:cs="黑体"/>
          <w:b w:val="0"/>
          <w:bCs/>
          <w:color w:val="auto"/>
          <w:sz w:val="32"/>
          <w:szCs w:val="32"/>
          <w:highlight w:val="none"/>
        </w:rPr>
      </w:pPr>
      <w:bookmarkStart w:id="1879" w:name="_Toc8859"/>
      <w:bookmarkStart w:id="1880" w:name="_Toc29709"/>
      <w:bookmarkStart w:id="1881" w:name="_Toc3874"/>
      <w:bookmarkStart w:id="1882" w:name="_Toc8434"/>
      <w:bookmarkStart w:id="1883" w:name="_Toc21947"/>
      <w:bookmarkStart w:id="1884" w:name="_Toc25292"/>
      <w:bookmarkStart w:id="1885" w:name="_Toc25107"/>
      <w:bookmarkStart w:id="1886" w:name="_Toc2396"/>
      <w:bookmarkStart w:id="1887" w:name="_Toc4399"/>
      <w:r>
        <w:rPr>
          <w:rFonts w:hint="eastAsia" w:ascii="黑体" w:hAnsi="黑体" w:eastAsia="黑体" w:cs="黑体"/>
          <w:b w:val="0"/>
          <w:bCs/>
          <w:color w:val="auto"/>
          <w:sz w:val="32"/>
          <w:szCs w:val="32"/>
          <w:highlight w:val="none"/>
        </w:rPr>
        <w:t>2. 发包</w:t>
      </w:r>
      <w:bookmarkEnd w:id="1867"/>
      <w:r>
        <w:rPr>
          <w:rFonts w:hint="eastAsia" w:ascii="黑体" w:hAnsi="黑体" w:eastAsia="黑体" w:cs="黑体"/>
          <w:b w:val="0"/>
          <w:bCs/>
          <w:color w:val="auto"/>
          <w:sz w:val="32"/>
          <w:szCs w:val="32"/>
          <w:highlight w:val="none"/>
        </w:rPr>
        <w:t>人</w:t>
      </w:r>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p>
    <w:p w14:paraId="606C0B57">
      <w:pPr>
        <w:pageBreakBefore w:val="0"/>
        <w:widowControl/>
        <w:kinsoku/>
        <w:wordWrap/>
        <w:overflowPunct/>
        <w:topLinePunct w:val="0"/>
        <w:bidi w:val="0"/>
        <w:adjustRightInd w:val="0"/>
        <w:snapToGrid w:val="0"/>
        <w:spacing w:line="560" w:lineRule="exact"/>
        <w:ind w:firstLine="640" w:firstLineChars="200"/>
        <w:jc w:val="both"/>
        <w:outlineLvl w:val="9"/>
        <w:rPr>
          <w:rFonts w:hint="eastAsia" w:ascii="仿宋_GB2312" w:hAnsi="仿宋_GB2312" w:eastAsia="仿宋_GB2312" w:cs="仿宋_GB2312"/>
          <w:color w:val="auto"/>
          <w:sz w:val="32"/>
          <w:szCs w:val="32"/>
          <w:highlight w:val="none"/>
        </w:rPr>
      </w:pPr>
      <w:bookmarkStart w:id="1888" w:name="_Toc23635"/>
      <w:bookmarkStart w:id="1889" w:name="_Toc5258"/>
      <w:bookmarkStart w:id="1890" w:name="_Toc26497"/>
      <w:bookmarkStart w:id="1891" w:name="_Toc22079"/>
      <w:bookmarkStart w:id="1892" w:name="_Toc22968"/>
      <w:bookmarkStart w:id="1893" w:name="_Toc17146"/>
      <w:bookmarkStart w:id="1894" w:name="_Toc10857"/>
      <w:bookmarkStart w:id="1895" w:name="_Toc22541"/>
      <w:r>
        <w:rPr>
          <w:rFonts w:hint="eastAsia" w:ascii="仿宋_GB2312" w:hAnsi="仿宋_GB2312" w:eastAsia="仿宋_GB2312" w:cs="仿宋_GB2312"/>
          <w:color w:val="auto"/>
          <w:sz w:val="32"/>
          <w:szCs w:val="32"/>
          <w:highlight w:val="none"/>
        </w:rPr>
        <w:t>2.2 发包人代表</w:t>
      </w:r>
      <w:bookmarkEnd w:id="1888"/>
      <w:bookmarkEnd w:id="1889"/>
      <w:bookmarkEnd w:id="1890"/>
      <w:bookmarkEnd w:id="1891"/>
      <w:bookmarkEnd w:id="1892"/>
      <w:bookmarkEnd w:id="1893"/>
      <w:bookmarkEnd w:id="1894"/>
      <w:bookmarkEnd w:id="1895"/>
    </w:p>
    <w:p w14:paraId="3ADA57EC">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发包人代表：</w:t>
      </w:r>
      <w:r>
        <w:rPr>
          <w:rFonts w:hint="eastAsia" w:ascii="仿宋_GB2312" w:hAnsi="仿宋_GB2312" w:eastAsia="仿宋_GB2312" w:cs="仿宋_GB2312"/>
          <w:color w:val="auto"/>
          <w:sz w:val="32"/>
          <w:szCs w:val="32"/>
          <w:highlight w:val="none"/>
          <w:u w:val="single"/>
          <w:lang w:val="en-US" w:eastAsia="zh-CN"/>
        </w:rPr>
        <w:t>具体详见附件15</w:t>
      </w:r>
      <w:r>
        <w:rPr>
          <w:rFonts w:hint="eastAsia" w:ascii="仿宋_GB2312" w:hAnsi="仿宋_GB2312" w:eastAsia="仿宋_GB2312" w:cs="仿宋_GB2312"/>
          <w:color w:val="auto"/>
          <w:sz w:val="32"/>
          <w:szCs w:val="32"/>
          <w:highlight w:val="none"/>
        </w:rPr>
        <w:t>。</w:t>
      </w:r>
    </w:p>
    <w:p w14:paraId="6FCCF2C1">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rPr>
        <w:t>发包人对发包人代表</w:t>
      </w:r>
      <w:r>
        <w:rPr>
          <w:rFonts w:hint="eastAsia" w:ascii="仿宋_GB2312" w:hAnsi="仿宋_GB2312" w:eastAsia="仿宋_GB2312" w:cs="仿宋_GB2312"/>
          <w:color w:val="auto"/>
          <w:sz w:val="32"/>
          <w:szCs w:val="32"/>
          <w:highlight w:val="none"/>
          <w:u w:val="none"/>
        </w:rPr>
        <w:t>的授权范围如下：对施工组织设计的审查权，对工程设计变更的审查权，对工程质量和安全的监督权，对工程进度的检查监督权，对工程进度款支付依据的确认权。具体职责如下：（1）会同</w:t>
      </w:r>
      <w:r>
        <w:rPr>
          <w:rFonts w:hint="eastAsia" w:ascii="仿宋_GB2312" w:hAnsi="仿宋_GB2312" w:eastAsia="仿宋_GB2312" w:cs="仿宋_GB2312"/>
          <w:color w:val="auto"/>
          <w:sz w:val="32"/>
          <w:szCs w:val="32"/>
          <w:highlight w:val="none"/>
          <w:u w:val="none"/>
          <w:lang w:eastAsia="zh-CN"/>
        </w:rPr>
        <w:t>监理人</w:t>
      </w:r>
      <w:r>
        <w:rPr>
          <w:rFonts w:hint="eastAsia" w:ascii="仿宋_GB2312" w:hAnsi="仿宋_GB2312" w:eastAsia="仿宋_GB2312" w:cs="仿宋_GB2312"/>
          <w:color w:val="auto"/>
          <w:sz w:val="32"/>
          <w:szCs w:val="32"/>
          <w:highlight w:val="none"/>
          <w:u w:val="none"/>
        </w:rPr>
        <w:t>组织施工图审查和交底，提出发包人意见；（2）会同</w:t>
      </w:r>
      <w:r>
        <w:rPr>
          <w:rFonts w:hint="eastAsia" w:ascii="仿宋_GB2312" w:hAnsi="仿宋_GB2312" w:eastAsia="仿宋_GB2312" w:cs="仿宋_GB2312"/>
          <w:color w:val="auto"/>
          <w:sz w:val="32"/>
          <w:szCs w:val="32"/>
          <w:highlight w:val="none"/>
          <w:u w:val="none"/>
          <w:lang w:eastAsia="zh-CN"/>
        </w:rPr>
        <w:t>监理人</w:t>
      </w:r>
      <w:r>
        <w:rPr>
          <w:rFonts w:hint="eastAsia" w:ascii="仿宋_GB2312" w:hAnsi="仿宋_GB2312" w:eastAsia="仿宋_GB2312" w:cs="仿宋_GB2312"/>
          <w:color w:val="auto"/>
          <w:sz w:val="32"/>
          <w:szCs w:val="32"/>
          <w:highlight w:val="none"/>
          <w:u w:val="none"/>
        </w:rPr>
        <w:t>审查施工单位提交的施工计划、施工组织设计（方案）、施工质量、安全、文明施工、保护措施；（3）会同</w:t>
      </w:r>
      <w:r>
        <w:rPr>
          <w:rFonts w:hint="eastAsia" w:ascii="仿宋_GB2312" w:hAnsi="仿宋_GB2312" w:eastAsia="仿宋_GB2312" w:cs="仿宋_GB2312"/>
          <w:color w:val="auto"/>
          <w:sz w:val="32"/>
          <w:szCs w:val="32"/>
          <w:highlight w:val="none"/>
          <w:u w:val="none"/>
          <w:lang w:eastAsia="zh-CN"/>
        </w:rPr>
        <w:t>监理人</w:t>
      </w:r>
      <w:r>
        <w:rPr>
          <w:rFonts w:hint="eastAsia" w:ascii="仿宋_GB2312" w:hAnsi="仿宋_GB2312" w:eastAsia="仿宋_GB2312" w:cs="仿宋_GB2312"/>
          <w:color w:val="auto"/>
          <w:sz w:val="32"/>
          <w:szCs w:val="32"/>
          <w:highlight w:val="none"/>
          <w:u w:val="none"/>
        </w:rPr>
        <w:t>审查施工单位开工申请报告；（4）会同</w:t>
      </w:r>
      <w:r>
        <w:rPr>
          <w:rFonts w:hint="eastAsia" w:ascii="仿宋_GB2312" w:hAnsi="仿宋_GB2312" w:eastAsia="仿宋_GB2312" w:cs="仿宋_GB2312"/>
          <w:color w:val="auto"/>
          <w:sz w:val="32"/>
          <w:szCs w:val="32"/>
          <w:highlight w:val="none"/>
          <w:u w:val="none"/>
          <w:lang w:eastAsia="zh-CN"/>
        </w:rPr>
        <w:t>监理人</w:t>
      </w:r>
      <w:r>
        <w:rPr>
          <w:rFonts w:hint="eastAsia" w:ascii="仿宋_GB2312" w:hAnsi="仿宋_GB2312" w:eastAsia="仿宋_GB2312" w:cs="仿宋_GB2312"/>
          <w:color w:val="auto"/>
          <w:sz w:val="32"/>
          <w:szCs w:val="32"/>
          <w:highlight w:val="none"/>
          <w:u w:val="none"/>
        </w:rPr>
        <w:t>参与分部分项工程关键工序和隐蔽工程质量检查和验收；（5）会同</w:t>
      </w:r>
      <w:r>
        <w:rPr>
          <w:rFonts w:hint="eastAsia" w:ascii="仿宋_GB2312" w:hAnsi="仿宋_GB2312" w:eastAsia="仿宋_GB2312" w:cs="仿宋_GB2312"/>
          <w:color w:val="auto"/>
          <w:sz w:val="32"/>
          <w:szCs w:val="32"/>
          <w:highlight w:val="none"/>
          <w:u w:val="none"/>
          <w:lang w:eastAsia="zh-CN"/>
        </w:rPr>
        <w:t>监理人</w:t>
      </w:r>
      <w:r>
        <w:rPr>
          <w:rFonts w:hint="eastAsia" w:ascii="仿宋_GB2312" w:hAnsi="仿宋_GB2312" w:eastAsia="仿宋_GB2312" w:cs="仿宋_GB2312"/>
          <w:color w:val="auto"/>
          <w:sz w:val="32"/>
          <w:szCs w:val="32"/>
          <w:highlight w:val="none"/>
          <w:u w:val="none"/>
        </w:rPr>
        <w:t>核验施工单位工程变更、工程计量和工程造价；（6）监督工程按规范和设计要求施工，核验工程质量、处理质量事故；（7）会同</w:t>
      </w:r>
      <w:r>
        <w:rPr>
          <w:rFonts w:hint="eastAsia" w:ascii="仿宋_GB2312" w:hAnsi="仿宋_GB2312" w:eastAsia="仿宋_GB2312" w:cs="仿宋_GB2312"/>
          <w:color w:val="auto"/>
          <w:sz w:val="32"/>
          <w:szCs w:val="32"/>
          <w:highlight w:val="none"/>
          <w:u w:val="none"/>
          <w:lang w:eastAsia="zh-CN"/>
        </w:rPr>
        <w:t>监理人</w:t>
      </w:r>
      <w:r>
        <w:rPr>
          <w:rFonts w:hint="eastAsia" w:ascii="仿宋_GB2312" w:hAnsi="仿宋_GB2312" w:eastAsia="仿宋_GB2312" w:cs="仿宋_GB2312"/>
          <w:color w:val="auto"/>
          <w:sz w:val="32"/>
          <w:szCs w:val="32"/>
          <w:highlight w:val="none"/>
          <w:u w:val="none"/>
        </w:rPr>
        <w:t>检查施工人员中特殊工种持证上岗情况；（8）会同</w:t>
      </w:r>
      <w:r>
        <w:rPr>
          <w:rFonts w:hint="eastAsia" w:ascii="仿宋_GB2312" w:hAnsi="仿宋_GB2312" w:eastAsia="仿宋_GB2312" w:cs="仿宋_GB2312"/>
          <w:color w:val="auto"/>
          <w:sz w:val="32"/>
          <w:szCs w:val="32"/>
          <w:highlight w:val="none"/>
          <w:u w:val="none"/>
          <w:lang w:eastAsia="zh-CN"/>
        </w:rPr>
        <w:t>监理人</w:t>
      </w:r>
      <w:r>
        <w:rPr>
          <w:rFonts w:hint="eastAsia" w:ascii="仿宋_GB2312" w:hAnsi="仿宋_GB2312" w:eastAsia="仿宋_GB2312" w:cs="仿宋_GB2312"/>
          <w:color w:val="auto"/>
          <w:sz w:val="32"/>
          <w:szCs w:val="32"/>
          <w:highlight w:val="none"/>
          <w:u w:val="none"/>
        </w:rPr>
        <w:t>监测验收工程用材料、构配件的质量和数量；（9）会同</w:t>
      </w:r>
      <w:r>
        <w:rPr>
          <w:rFonts w:hint="eastAsia" w:ascii="仿宋_GB2312" w:hAnsi="仿宋_GB2312" w:eastAsia="仿宋_GB2312" w:cs="仿宋_GB2312"/>
          <w:color w:val="auto"/>
          <w:sz w:val="32"/>
          <w:szCs w:val="32"/>
          <w:highlight w:val="none"/>
          <w:u w:val="none"/>
          <w:lang w:eastAsia="zh-CN"/>
        </w:rPr>
        <w:t>监理人</w:t>
      </w:r>
      <w:r>
        <w:rPr>
          <w:rFonts w:hint="eastAsia" w:ascii="仿宋_GB2312" w:hAnsi="仿宋_GB2312" w:eastAsia="仿宋_GB2312" w:cs="仿宋_GB2312"/>
          <w:color w:val="auto"/>
          <w:sz w:val="32"/>
          <w:szCs w:val="32"/>
          <w:highlight w:val="none"/>
          <w:u w:val="none"/>
        </w:rPr>
        <w:t>监督施工单位施工现场安全文明施工管理目标的实施；（10）会同</w:t>
      </w:r>
      <w:r>
        <w:rPr>
          <w:rFonts w:hint="eastAsia" w:ascii="仿宋_GB2312" w:hAnsi="仿宋_GB2312" w:eastAsia="仿宋_GB2312" w:cs="仿宋_GB2312"/>
          <w:color w:val="auto"/>
          <w:sz w:val="32"/>
          <w:szCs w:val="32"/>
          <w:highlight w:val="none"/>
          <w:u w:val="none"/>
          <w:lang w:eastAsia="zh-CN"/>
        </w:rPr>
        <w:t>监理人</w:t>
      </w:r>
      <w:r>
        <w:rPr>
          <w:rFonts w:hint="eastAsia" w:ascii="仿宋_GB2312" w:hAnsi="仿宋_GB2312" w:eastAsia="仿宋_GB2312" w:cs="仿宋_GB2312"/>
          <w:color w:val="auto"/>
          <w:sz w:val="32"/>
          <w:szCs w:val="32"/>
          <w:highlight w:val="none"/>
          <w:u w:val="none"/>
        </w:rPr>
        <w:t>监督承包人施工进度，督促承包人按施工进度计划执行；（11）验收工程和确认付款依据；（12）监督合同履行，维护发包人正当权益；（13）对不称职的监理及施工人员的更换权</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lang w:val="en-US" w:eastAsia="zh-CN"/>
        </w:rPr>
        <w:t>14）</w:t>
      </w:r>
      <w:r>
        <w:rPr>
          <w:rFonts w:hint="eastAsia" w:ascii="仿宋_GB2312" w:hAnsi="仿宋_GB2312" w:eastAsia="仿宋_GB2312" w:cs="仿宋_GB2312"/>
          <w:color w:val="auto"/>
          <w:sz w:val="32"/>
          <w:szCs w:val="32"/>
          <w:highlight w:val="none"/>
          <w:u w:val="none"/>
        </w:rPr>
        <w:t>督促项目严格落实安全生产法律法规、规范、加强安全生产标准化建设，督促参建单位落实安全生产责任。</w:t>
      </w:r>
    </w:p>
    <w:p w14:paraId="727FE19F">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承包人应对全部现场作业和施工设计（方案）的完备性、稳定性和安全性承担全部法律责任及经济责任。发包人的批准仅为本工程管理程序中的确认，不承担技术</w:t>
      </w:r>
      <w:r>
        <w:rPr>
          <w:rFonts w:hint="eastAsia" w:ascii="仿宋_GB2312" w:hAnsi="仿宋_GB2312" w:eastAsia="仿宋_GB2312" w:cs="仿宋_GB2312"/>
          <w:color w:val="auto"/>
          <w:sz w:val="32"/>
          <w:szCs w:val="32"/>
          <w:highlight w:val="none"/>
          <w:u w:val="none"/>
          <w:lang w:eastAsia="zh-CN"/>
        </w:rPr>
        <w:t>及其他</w:t>
      </w:r>
      <w:r>
        <w:rPr>
          <w:rFonts w:hint="eastAsia" w:ascii="仿宋_GB2312" w:hAnsi="仿宋_GB2312" w:eastAsia="仿宋_GB2312" w:cs="仿宋_GB2312"/>
          <w:color w:val="auto"/>
          <w:sz w:val="32"/>
          <w:szCs w:val="32"/>
          <w:highlight w:val="none"/>
          <w:u w:val="none"/>
        </w:rPr>
        <w:t>责任。</w:t>
      </w:r>
    </w:p>
    <w:p w14:paraId="6DF263CF">
      <w:pPr>
        <w:pageBreakBefore w:val="0"/>
        <w:kinsoku/>
        <w:wordWrap/>
        <w:overflowPunct/>
        <w:topLinePunct w:val="0"/>
        <w:bidi w:val="0"/>
        <w:adjustRightInd w:val="0"/>
        <w:snapToGrid w:val="0"/>
        <w:spacing w:line="560" w:lineRule="exact"/>
        <w:ind w:firstLine="640" w:firstLineChars="200"/>
        <w:jc w:val="both"/>
        <w:outlineLvl w:val="9"/>
        <w:rPr>
          <w:rFonts w:hint="eastAsia" w:ascii="仿宋_GB2312" w:hAnsi="仿宋_GB2312" w:eastAsia="仿宋_GB2312" w:cs="仿宋_GB2312"/>
          <w:color w:val="auto"/>
          <w:sz w:val="32"/>
          <w:szCs w:val="32"/>
          <w:highlight w:val="none"/>
          <w:u w:val="none"/>
        </w:rPr>
      </w:pPr>
      <w:bookmarkStart w:id="1896" w:name="_Toc32136"/>
      <w:bookmarkStart w:id="1897" w:name="_Toc19485"/>
      <w:bookmarkStart w:id="1898" w:name="_Toc19469"/>
      <w:bookmarkStart w:id="1899" w:name="_Toc7687"/>
      <w:bookmarkStart w:id="1900" w:name="_Toc29606"/>
      <w:bookmarkStart w:id="1901" w:name="_Toc27824"/>
      <w:bookmarkStart w:id="1902" w:name="_Toc3652"/>
      <w:bookmarkStart w:id="1903" w:name="_Toc2559"/>
      <w:r>
        <w:rPr>
          <w:rFonts w:hint="eastAsia" w:ascii="仿宋_GB2312" w:hAnsi="仿宋_GB2312" w:eastAsia="仿宋_GB2312" w:cs="仿宋_GB2312"/>
          <w:color w:val="auto"/>
          <w:sz w:val="32"/>
          <w:szCs w:val="32"/>
          <w:highlight w:val="none"/>
          <w:u w:val="none"/>
        </w:rPr>
        <w:t>2.4 施工现场、施工条件和基础资料的提供</w:t>
      </w:r>
      <w:bookmarkEnd w:id="1896"/>
      <w:bookmarkEnd w:id="1897"/>
      <w:bookmarkEnd w:id="1898"/>
      <w:bookmarkEnd w:id="1899"/>
      <w:bookmarkEnd w:id="1900"/>
      <w:bookmarkEnd w:id="1901"/>
      <w:bookmarkEnd w:id="1902"/>
      <w:bookmarkEnd w:id="1903"/>
    </w:p>
    <w:p w14:paraId="2482E8CB">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2.4.1 提供施工现场</w:t>
      </w:r>
    </w:p>
    <w:p w14:paraId="1AB03406">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关于发包人移交施工现场的期限要求：</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w:t>
      </w:r>
    </w:p>
    <w:p w14:paraId="69DD28B4">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2.4.2 提供施工条件</w:t>
      </w:r>
    </w:p>
    <w:p w14:paraId="18EE10A2">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rPr>
        <w:t>关于发包人应负责提供施工所需要的条件，包括：</w:t>
      </w:r>
      <w:r>
        <w:rPr>
          <w:rFonts w:hint="eastAsia" w:ascii="仿宋_GB2312" w:hAnsi="仿宋_GB2312" w:eastAsia="仿宋_GB2312" w:cs="仿宋_GB2312"/>
          <w:color w:val="auto"/>
          <w:sz w:val="32"/>
          <w:szCs w:val="32"/>
          <w:highlight w:val="none"/>
          <w:u w:val="none"/>
        </w:rPr>
        <w:t>（1）对施工所需水、电、</w:t>
      </w:r>
      <w:r>
        <w:rPr>
          <w:rFonts w:hint="eastAsia" w:ascii="仿宋_GB2312" w:hAnsi="仿宋_GB2312" w:eastAsia="仿宋_GB2312" w:cs="仿宋_GB2312"/>
          <w:color w:val="auto"/>
          <w:sz w:val="32"/>
          <w:szCs w:val="32"/>
          <w:highlight w:val="none"/>
          <w:u w:val="none"/>
          <w:lang w:eastAsia="zh-CN"/>
        </w:rPr>
        <w:t>通讯</w:t>
      </w:r>
      <w:r>
        <w:rPr>
          <w:rFonts w:hint="eastAsia" w:ascii="仿宋_GB2312" w:hAnsi="仿宋_GB2312" w:eastAsia="仿宋_GB2312" w:cs="仿宋_GB2312"/>
          <w:color w:val="auto"/>
          <w:sz w:val="32"/>
          <w:szCs w:val="32"/>
          <w:highlight w:val="none"/>
          <w:u w:val="none"/>
        </w:rPr>
        <w:t>线路要求：满足施工临时用水（包含场地红线外排放设施）、用电、通讯设施等</w:t>
      </w:r>
      <w:r>
        <w:rPr>
          <w:rFonts w:hint="eastAsia" w:ascii="仿宋_GB2312" w:hAnsi="仿宋_GB2312" w:eastAsia="仿宋_GB2312" w:cs="仿宋_GB2312"/>
          <w:color w:val="auto"/>
          <w:sz w:val="32"/>
          <w:szCs w:val="32"/>
          <w:highlight w:val="none"/>
          <w:u w:val="none"/>
          <w:lang w:val="en-US" w:eastAsia="zh-CN"/>
        </w:rPr>
        <w:t>均</w:t>
      </w:r>
      <w:r>
        <w:rPr>
          <w:rFonts w:hint="eastAsia" w:ascii="仿宋_GB2312" w:hAnsi="仿宋_GB2312" w:eastAsia="仿宋_GB2312" w:cs="仿宋_GB2312"/>
          <w:color w:val="auto"/>
          <w:sz w:val="32"/>
          <w:szCs w:val="32"/>
          <w:highlight w:val="none"/>
          <w:u w:val="none"/>
        </w:rPr>
        <w:t>由承包人自行解决，上述费用已包含在</w:t>
      </w:r>
      <w:r>
        <w:rPr>
          <w:rFonts w:hint="eastAsia" w:ascii="仿宋_GB2312" w:hAnsi="仿宋_GB2312" w:eastAsia="仿宋_GB2312" w:cs="仿宋_GB2312"/>
          <w:color w:val="auto"/>
          <w:sz w:val="32"/>
          <w:szCs w:val="32"/>
          <w:highlight w:val="none"/>
          <w:u w:val="none"/>
          <w:lang w:eastAsia="zh-CN"/>
        </w:rPr>
        <w:t>合同价款中的各分部分项或措施项目清单综合单价</w:t>
      </w:r>
      <w:r>
        <w:rPr>
          <w:rFonts w:hint="eastAsia" w:ascii="仿宋_GB2312" w:hAnsi="仿宋_GB2312" w:eastAsia="仿宋_GB2312" w:cs="仿宋_GB2312"/>
          <w:color w:val="auto"/>
          <w:sz w:val="32"/>
          <w:szCs w:val="32"/>
          <w:highlight w:val="none"/>
          <w:u w:val="none"/>
        </w:rPr>
        <w:t>中，发包人不另行支付。</w:t>
      </w:r>
    </w:p>
    <w:p w14:paraId="66748012">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（2）由发包人办理的施工所需证件、批件的名称和完成时间：按需要及时提供。</w:t>
      </w:r>
    </w:p>
    <w:p w14:paraId="64EF22FB">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（3）水准点与坐标控制点位置提供和交验要求：开工前2天提供和交验。交验时，承包人必须进行闭合验收并做好保护及维护，避免施工期间遭受破坏或移动（具体以现场工程师通知为准）。</w:t>
      </w:r>
    </w:p>
    <w:p w14:paraId="18AF8E41">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 xml:space="preserve">（4）图纸会审和设计交底时间：合同签约后7日内另行通知（具体以现场工程师通知为准）。 </w:t>
      </w:r>
    </w:p>
    <w:p w14:paraId="701CED5C">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 xml:space="preserve">（5）协调处理施工场地周围（包括但不限于）地下管线、高低压电力设施和邻近建筑物、构筑物、古树名木的保护工作：发包人协助承包人做好上述保护工作的协调处理，地勘报告已载明文物（或需要保护的物件）的保护工作费用已包含在合同价款中的各分部分项或措施项目清单综合单价中，发包人不另行支付。 </w:t>
      </w:r>
    </w:p>
    <w:p w14:paraId="0B24D814">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（6）关于交通导行及维护费：已包含在</w:t>
      </w:r>
      <w:r>
        <w:rPr>
          <w:rFonts w:hint="eastAsia" w:ascii="仿宋_GB2312" w:hAnsi="仿宋_GB2312" w:eastAsia="仿宋_GB2312" w:cs="仿宋_GB2312"/>
          <w:color w:val="auto"/>
          <w:sz w:val="32"/>
          <w:szCs w:val="32"/>
          <w:highlight w:val="none"/>
          <w:u w:val="none"/>
          <w:lang w:eastAsia="zh-CN"/>
        </w:rPr>
        <w:t>合同价款中的各分部分项或措施项目清单综合单价</w:t>
      </w:r>
      <w:r>
        <w:rPr>
          <w:rFonts w:hint="eastAsia" w:ascii="仿宋_GB2312" w:hAnsi="仿宋_GB2312" w:eastAsia="仿宋_GB2312" w:cs="仿宋_GB2312"/>
          <w:color w:val="auto"/>
          <w:sz w:val="32"/>
          <w:szCs w:val="32"/>
          <w:highlight w:val="none"/>
          <w:u w:val="none"/>
        </w:rPr>
        <w:t>中，发包人不另行支付。</w:t>
      </w:r>
    </w:p>
    <w:p w14:paraId="5C99C680">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 xml:space="preserve">（7）本工程可能涉及十分重大的设计变更，承包人须无条件接受增减的建设内容，按照发包人工程变更有关办法办理。 </w:t>
      </w:r>
    </w:p>
    <w:p w14:paraId="45702347">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（8）承包人无条件接受发包人对土、石、建筑垃圾的调配安排，费用按海口江东新区相关规定计取。</w:t>
      </w:r>
    </w:p>
    <w:p w14:paraId="38E4EFFB">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（9）发包人如不组织现场踏勘，视同承包</w:t>
      </w:r>
      <w:r>
        <w:rPr>
          <w:rFonts w:hint="eastAsia" w:ascii="仿宋_GB2312" w:hAnsi="仿宋_GB2312" w:eastAsia="仿宋_GB2312" w:cs="仿宋_GB2312"/>
          <w:color w:val="auto"/>
          <w:sz w:val="32"/>
          <w:szCs w:val="32"/>
          <w:highlight w:val="none"/>
          <w:u w:val="none"/>
          <w:lang w:val="en-US" w:eastAsia="zh-CN"/>
        </w:rPr>
        <w:t>人</w:t>
      </w:r>
      <w:r>
        <w:rPr>
          <w:rFonts w:hint="eastAsia" w:ascii="仿宋_GB2312" w:hAnsi="仿宋_GB2312" w:eastAsia="仿宋_GB2312" w:cs="仿宋_GB2312"/>
          <w:color w:val="auto"/>
          <w:sz w:val="32"/>
          <w:szCs w:val="32"/>
          <w:highlight w:val="none"/>
          <w:u w:val="none"/>
        </w:rPr>
        <w:t>已对现况场地进行了踏勘，</w:t>
      </w:r>
      <w:r>
        <w:rPr>
          <w:rFonts w:hint="eastAsia" w:ascii="仿宋_GB2312" w:hAnsi="仿宋_GB2312" w:eastAsia="仿宋_GB2312" w:cs="仿宋_GB2312"/>
          <w:color w:val="auto"/>
          <w:sz w:val="32"/>
          <w:szCs w:val="32"/>
          <w:highlight w:val="none"/>
          <w:u w:val="none"/>
          <w:lang w:val="en-US" w:eastAsia="zh-CN"/>
        </w:rPr>
        <w:t>且</w:t>
      </w:r>
      <w:r>
        <w:rPr>
          <w:rFonts w:hint="eastAsia" w:ascii="仿宋_GB2312" w:hAnsi="仿宋_GB2312" w:eastAsia="仿宋_GB2312" w:cs="仿宋_GB2312"/>
          <w:color w:val="auto"/>
          <w:sz w:val="32"/>
          <w:szCs w:val="32"/>
          <w:highlight w:val="none"/>
          <w:u w:val="none"/>
        </w:rPr>
        <w:t>同意接纳现有的条件，进场临时道路、清表、场地平整、杂物的清运等前期施工准备工作及其费用由承包</w:t>
      </w:r>
      <w:r>
        <w:rPr>
          <w:rFonts w:hint="eastAsia" w:ascii="仿宋_GB2312" w:hAnsi="仿宋_GB2312" w:eastAsia="仿宋_GB2312" w:cs="仿宋_GB2312"/>
          <w:color w:val="auto"/>
          <w:sz w:val="32"/>
          <w:szCs w:val="32"/>
          <w:highlight w:val="none"/>
          <w:u w:val="none"/>
          <w:lang w:val="en-US" w:eastAsia="zh-CN"/>
        </w:rPr>
        <w:t>人</w:t>
      </w:r>
      <w:r>
        <w:rPr>
          <w:rFonts w:hint="eastAsia" w:ascii="仿宋_GB2312" w:hAnsi="仿宋_GB2312" w:eastAsia="仿宋_GB2312" w:cs="仿宋_GB2312"/>
          <w:color w:val="auto"/>
          <w:sz w:val="32"/>
          <w:szCs w:val="32"/>
          <w:highlight w:val="none"/>
          <w:u w:val="none"/>
        </w:rPr>
        <w:t>承担，其费用已包含在</w:t>
      </w:r>
      <w:r>
        <w:rPr>
          <w:rFonts w:hint="eastAsia" w:ascii="仿宋_GB2312" w:hAnsi="仿宋_GB2312" w:eastAsia="仿宋_GB2312" w:cs="仿宋_GB2312"/>
          <w:color w:val="auto"/>
          <w:sz w:val="32"/>
          <w:szCs w:val="32"/>
          <w:highlight w:val="none"/>
          <w:u w:val="none"/>
          <w:lang w:eastAsia="zh-CN"/>
        </w:rPr>
        <w:t>合同价款中的各分部分项或措施项目清单综合单价</w:t>
      </w:r>
      <w:r>
        <w:rPr>
          <w:rFonts w:hint="eastAsia" w:ascii="仿宋_GB2312" w:hAnsi="仿宋_GB2312" w:eastAsia="仿宋_GB2312" w:cs="仿宋_GB2312"/>
          <w:color w:val="auto"/>
          <w:sz w:val="32"/>
          <w:szCs w:val="32"/>
          <w:highlight w:val="none"/>
          <w:u w:val="none"/>
        </w:rPr>
        <w:t>中，发包人不另行支付；</w:t>
      </w:r>
    </w:p>
    <w:p w14:paraId="3D90C588">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（10）施工场地地质勘察资料和施工现场及毗邻区域内供水、排水、供电、供气、供热、通信、广播电视等地下管线资料以及地下工程的有关资料由</w:t>
      </w:r>
      <w:r>
        <w:rPr>
          <w:rFonts w:hint="eastAsia" w:ascii="仿宋_GB2312" w:hAnsi="仿宋_GB2312" w:eastAsia="仿宋_GB2312" w:cs="仿宋_GB2312"/>
          <w:color w:val="auto"/>
          <w:sz w:val="32"/>
          <w:szCs w:val="32"/>
          <w:highlight w:val="none"/>
          <w:u w:val="none"/>
          <w:lang w:eastAsia="zh-CN"/>
        </w:rPr>
        <w:t>发包人</w:t>
      </w:r>
      <w:r>
        <w:rPr>
          <w:rFonts w:hint="eastAsia" w:ascii="仿宋_GB2312" w:hAnsi="仿宋_GB2312" w:eastAsia="仿宋_GB2312" w:cs="仿宋_GB2312"/>
          <w:color w:val="auto"/>
          <w:sz w:val="32"/>
          <w:szCs w:val="32"/>
          <w:highlight w:val="none"/>
          <w:u w:val="none"/>
        </w:rPr>
        <w:t>提供，由</w:t>
      </w:r>
      <w:r>
        <w:rPr>
          <w:rFonts w:hint="eastAsia" w:ascii="仿宋_GB2312" w:hAnsi="仿宋_GB2312" w:eastAsia="仿宋_GB2312" w:cs="仿宋_GB2312"/>
          <w:color w:val="auto"/>
          <w:sz w:val="32"/>
          <w:szCs w:val="32"/>
          <w:highlight w:val="none"/>
          <w:u w:val="none"/>
          <w:lang w:eastAsia="zh-CN"/>
        </w:rPr>
        <w:t>承包人</w:t>
      </w:r>
      <w:r>
        <w:rPr>
          <w:rFonts w:hint="eastAsia" w:ascii="仿宋_GB2312" w:hAnsi="仿宋_GB2312" w:eastAsia="仿宋_GB2312" w:cs="仿宋_GB2312"/>
          <w:color w:val="auto"/>
          <w:sz w:val="32"/>
          <w:szCs w:val="32"/>
          <w:highlight w:val="none"/>
          <w:u w:val="none"/>
        </w:rPr>
        <w:t>对其资料的真实、准确、完整进行复核；</w:t>
      </w:r>
      <w:r>
        <w:rPr>
          <w:rFonts w:hint="eastAsia" w:ascii="仿宋_GB2312" w:hAnsi="仿宋_GB2312" w:eastAsia="仿宋_GB2312" w:cs="仿宋_GB2312"/>
          <w:color w:val="auto"/>
          <w:sz w:val="32"/>
          <w:szCs w:val="32"/>
          <w:highlight w:val="none"/>
          <w:u w:val="none"/>
          <w:lang w:eastAsia="zh-CN"/>
        </w:rPr>
        <w:t>发包人</w:t>
      </w:r>
      <w:r>
        <w:rPr>
          <w:rFonts w:hint="eastAsia" w:ascii="仿宋_GB2312" w:hAnsi="仿宋_GB2312" w:eastAsia="仿宋_GB2312" w:cs="仿宋_GB2312"/>
          <w:color w:val="auto"/>
          <w:sz w:val="32"/>
          <w:szCs w:val="32"/>
          <w:highlight w:val="none"/>
          <w:u w:val="none"/>
        </w:rPr>
        <w:t>提供的地下管线和设施探测资料（如有）仅供</w:t>
      </w:r>
      <w:r>
        <w:rPr>
          <w:rFonts w:hint="eastAsia" w:ascii="仿宋_GB2312" w:hAnsi="仿宋_GB2312" w:eastAsia="仿宋_GB2312" w:cs="仿宋_GB2312"/>
          <w:color w:val="auto"/>
          <w:sz w:val="32"/>
          <w:szCs w:val="32"/>
          <w:highlight w:val="none"/>
          <w:u w:val="none"/>
          <w:lang w:eastAsia="zh-CN"/>
        </w:rPr>
        <w:t>承包人</w:t>
      </w:r>
      <w:r>
        <w:rPr>
          <w:rFonts w:hint="eastAsia" w:ascii="仿宋_GB2312" w:hAnsi="仿宋_GB2312" w:eastAsia="仿宋_GB2312" w:cs="仿宋_GB2312"/>
          <w:color w:val="auto"/>
          <w:sz w:val="32"/>
          <w:szCs w:val="32"/>
          <w:highlight w:val="none"/>
          <w:u w:val="none"/>
        </w:rPr>
        <w:t>参考，</w:t>
      </w:r>
      <w:r>
        <w:rPr>
          <w:rFonts w:hint="eastAsia" w:ascii="仿宋_GB2312" w:hAnsi="仿宋_GB2312" w:eastAsia="仿宋_GB2312" w:cs="仿宋_GB2312"/>
          <w:color w:val="auto"/>
          <w:sz w:val="32"/>
          <w:szCs w:val="32"/>
          <w:highlight w:val="none"/>
          <w:u w:val="none"/>
          <w:lang w:eastAsia="zh-CN"/>
        </w:rPr>
        <w:t>承包人</w:t>
      </w:r>
      <w:r>
        <w:rPr>
          <w:rFonts w:hint="eastAsia" w:ascii="仿宋_GB2312" w:hAnsi="仿宋_GB2312" w:eastAsia="仿宋_GB2312" w:cs="仿宋_GB2312"/>
          <w:color w:val="auto"/>
          <w:sz w:val="32"/>
          <w:szCs w:val="32"/>
          <w:highlight w:val="none"/>
          <w:u w:val="none"/>
        </w:rPr>
        <w:t>施工时应先进行试挖，避免因盲目施工对地下管线和设施造成破坏，如有破坏由</w:t>
      </w:r>
      <w:r>
        <w:rPr>
          <w:rFonts w:hint="eastAsia" w:ascii="仿宋_GB2312" w:hAnsi="仿宋_GB2312" w:eastAsia="仿宋_GB2312" w:cs="仿宋_GB2312"/>
          <w:color w:val="auto"/>
          <w:sz w:val="32"/>
          <w:szCs w:val="32"/>
          <w:highlight w:val="none"/>
          <w:u w:val="none"/>
          <w:lang w:eastAsia="zh-CN"/>
        </w:rPr>
        <w:t>承包人</w:t>
      </w:r>
      <w:r>
        <w:rPr>
          <w:rFonts w:hint="eastAsia" w:ascii="仿宋_GB2312" w:hAnsi="仿宋_GB2312" w:eastAsia="仿宋_GB2312" w:cs="仿宋_GB2312"/>
          <w:color w:val="auto"/>
          <w:sz w:val="32"/>
          <w:szCs w:val="32"/>
          <w:highlight w:val="none"/>
          <w:u w:val="none"/>
        </w:rPr>
        <w:t>承担责任。如遇地勘报告等相关资料体现的地下障碍物、掩埋的垃圾、淤泥坑等不利情况，由承包人自行处理，其费用已包含在</w:t>
      </w:r>
      <w:r>
        <w:rPr>
          <w:rFonts w:hint="eastAsia" w:ascii="仿宋_GB2312" w:hAnsi="仿宋_GB2312" w:eastAsia="仿宋_GB2312" w:cs="仿宋_GB2312"/>
          <w:color w:val="auto"/>
          <w:sz w:val="32"/>
          <w:szCs w:val="32"/>
          <w:highlight w:val="none"/>
          <w:u w:val="none"/>
          <w:lang w:eastAsia="zh-CN"/>
        </w:rPr>
        <w:t>合同价款中的各分部分项或措施项目清单综合单价</w:t>
      </w:r>
      <w:r>
        <w:rPr>
          <w:rFonts w:hint="eastAsia" w:ascii="仿宋_GB2312" w:hAnsi="仿宋_GB2312" w:eastAsia="仿宋_GB2312" w:cs="仿宋_GB2312"/>
          <w:color w:val="auto"/>
          <w:sz w:val="32"/>
          <w:szCs w:val="32"/>
          <w:highlight w:val="none"/>
          <w:u w:val="none"/>
        </w:rPr>
        <w:t>中，发包人不另行支付。</w:t>
      </w:r>
    </w:p>
    <w:p w14:paraId="7E0D17A0">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（11）关于场内、场外施工便道：已包含在</w:t>
      </w:r>
      <w:r>
        <w:rPr>
          <w:rFonts w:hint="eastAsia" w:ascii="仿宋_GB2312" w:hAnsi="仿宋_GB2312" w:eastAsia="仿宋_GB2312" w:cs="仿宋_GB2312"/>
          <w:color w:val="auto"/>
          <w:sz w:val="32"/>
          <w:szCs w:val="32"/>
          <w:highlight w:val="none"/>
          <w:u w:val="none"/>
          <w:lang w:eastAsia="zh-CN"/>
        </w:rPr>
        <w:t>合同价款中的各分部分项或措施项目清单综合单价</w:t>
      </w:r>
      <w:r>
        <w:rPr>
          <w:rFonts w:hint="eastAsia" w:ascii="仿宋_GB2312" w:hAnsi="仿宋_GB2312" w:eastAsia="仿宋_GB2312" w:cs="仿宋_GB2312"/>
          <w:color w:val="auto"/>
          <w:sz w:val="32"/>
          <w:szCs w:val="32"/>
          <w:highlight w:val="none"/>
          <w:u w:val="none"/>
        </w:rPr>
        <w:t>中，发包人不另行支付。</w:t>
      </w:r>
    </w:p>
    <w:p w14:paraId="29BD873B">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（12）现场水费（含污水处理费，发包人不提供场地外排放设施）、电费、垃圾处理费等现场施工所发生的费用由承包人负责管理、协调分配、费用收取与缴纳，同时承包人应向发包人开具符合税法规</w:t>
      </w:r>
      <w:r>
        <w:rPr>
          <w:rFonts w:hint="eastAsia" w:ascii="仿宋_GB2312" w:hAnsi="仿宋_GB2312" w:eastAsia="仿宋_GB2312" w:cs="仿宋_GB2312"/>
          <w:color w:val="auto"/>
          <w:sz w:val="32"/>
          <w:szCs w:val="32"/>
          <w:highlight w:val="none"/>
          <w:u w:val="none"/>
          <w:lang w:eastAsia="zh-CN"/>
        </w:rPr>
        <w:t>定的</w:t>
      </w:r>
      <w:r>
        <w:rPr>
          <w:rFonts w:hint="eastAsia" w:ascii="仿宋_GB2312" w:hAnsi="仿宋_GB2312" w:eastAsia="仿宋_GB2312" w:cs="仿宋_GB2312"/>
          <w:color w:val="auto"/>
          <w:sz w:val="32"/>
          <w:szCs w:val="32"/>
          <w:highlight w:val="none"/>
          <w:u w:val="none"/>
        </w:rPr>
        <w:t>税率（水费税率为9%，电费税率为13%，如遇国家税率调整，则税率相应调整）的等额增值税发票。承包人应保证现场水、电使用正常合理，维护各分包队伍的施工秩序，如因水、电原因造成现场无法施工、分包队伍之间不和谐不配合、阻工、停工、怠工的，一切损失由承包人承担，工期不予顺延，同时</w:t>
      </w:r>
      <w:r>
        <w:rPr>
          <w:rFonts w:hint="eastAsia" w:ascii="仿宋_GB2312" w:hAnsi="仿宋_GB2312" w:eastAsia="仿宋_GB2312" w:cs="仿宋_GB2312"/>
          <w:color w:val="auto"/>
          <w:sz w:val="32"/>
          <w:szCs w:val="32"/>
          <w:highlight w:val="none"/>
          <w:u w:val="none"/>
          <w:lang w:val="en-US" w:eastAsia="zh-CN"/>
        </w:rPr>
        <w:t>承包人应承担1万元</w:t>
      </w:r>
      <w:r>
        <w:rPr>
          <w:rFonts w:hint="eastAsia" w:ascii="仿宋_GB2312" w:hAnsi="仿宋_GB2312" w:eastAsia="仿宋_GB2312" w:cs="仿宋_GB2312"/>
          <w:color w:val="auto"/>
          <w:sz w:val="32"/>
          <w:szCs w:val="32"/>
          <w:highlight w:val="none"/>
          <w:u w:val="none"/>
        </w:rPr>
        <w:t>/次</w:t>
      </w:r>
      <w:r>
        <w:rPr>
          <w:rFonts w:hint="eastAsia" w:ascii="仿宋_GB2312" w:hAnsi="仿宋_GB2312" w:eastAsia="仿宋_GB2312" w:cs="仿宋_GB2312"/>
          <w:color w:val="auto"/>
          <w:sz w:val="32"/>
          <w:szCs w:val="32"/>
          <w:highlight w:val="none"/>
          <w:u w:val="none"/>
          <w:lang w:val="en-US" w:eastAsia="zh-CN"/>
        </w:rPr>
        <w:t>的违约金</w:t>
      </w:r>
      <w:r>
        <w:rPr>
          <w:rFonts w:hint="eastAsia" w:ascii="仿宋_GB2312" w:hAnsi="仿宋_GB2312" w:eastAsia="仿宋_GB2312" w:cs="仿宋_GB2312"/>
          <w:color w:val="auto"/>
          <w:sz w:val="32"/>
          <w:szCs w:val="32"/>
          <w:highlight w:val="none"/>
          <w:u w:val="none"/>
        </w:rPr>
        <w:t>。</w:t>
      </w:r>
    </w:p>
    <w:p w14:paraId="6924E789">
      <w:pPr>
        <w:pStyle w:val="3"/>
        <w:pageBreakBefore w:val="0"/>
        <w:kinsoku/>
        <w:wordWrap/>
        <w:overflowPunct/>
        <w:topLinePunct w:val="0"/>
        <w:bidi w:val="0"/>
        <w:adjustRightInd w:val="0"/>
        <w:snapToGrid w:val="0"/>
        <w:spacing w:line="560" w:lineRule="exact"/>
        <w:jc w:val="both"/>
        <w:rPr>
          <w:rFonts w:hint="eastAsia" w:ascii="仿宋_GB2312" w:hAnsi="仿宋_GB2312" w:eastAsia="仿宋_GB2312" w:cs="仿宋_GB2312"/>
          <w:color w:val="auto"/>
          <w:sz w:val="32"/>
          <w:szCs w:val="32"/>
          <w:highlight w:val="none"/>
          <w:u w:val="none"/>
        </w:rPr>
      </w:pPr>
      <w:bookmarkStart w:id="1904" w:name="_Toc17791"/>
      <w:r>
        <w:rPr>
          <w:rFonts w:hint="eastAsia" w:ascii="仿宋_GB2312" w:hAnsi="仿宋_GB2312" w:eastAsia="仿宋_GB2312" w:cs="仿宋_GB2312"/>
          <w:color w:val="auto"/>
          <w:sz w:val="32"/>
          <w:szCs w:val="32"/>
          <w:highlight w:val="none"/>
          <w:u w:val="none"/>
        </w:rPr>
        <w:t>2.5 资金来源证明及支付担保</w:t>
      </w:r>
      <w:bookmarkEnd w:id="1904"/>
    </w:p>
    <w:p w14:paraId="546642F7">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发包人提供资金来源证明的期限要求：</w:t>
      </w:r>
      <w:r>
        <w:rPr>
          <w:rFonts w:hint="eastAsia" w:ascii="仿宋_GB2312" w:hAnsi="仿宋_GB2312" w:eastAsia="仿宋_GB2312" w:cs="仿宋_GB2312"/>
          <w:color w:val="auto"/>
          <w:sz w:val="32"/>
          <w:szCs w:val="32"/>
          <w:highlight w:val="none"/>
          <w:u w:val="single"/>
          <w:lang w:val="en-US" w:eastAsia="zh-CN"/>
        </w:rPr>
        <w:t>不提供</w:t>
      </w:r>
      <w:r>
        <w:rPr>
          <w:rFonts w:hint="eastAsia" w:ascii="仿宋_GB2312" w:hAnsi="仿宋_GB2312" w:eastAsia="仿宋_GB2312" w:cs="仿宋_GB2312"/>
          <w:color w:val="auto"/>
          <w:sz w:val="32"/>
          <w:szCs w:val="32"/>
          <w:highlight w:val="none"/>
        </w:rPr>
        <w:t>。</w:t>
      </w:r>
    </w:p>
    <w:p w14:paraId="4EF1E510">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发包人是否提供支付担保：</w:t>
      </w:r>
      <w:r>
        <w:rPr>
          <w:rFonts w:hint="eastAsia" w:ascii="仿宋_GB2312" w:hAnsi="仿宋_GB2312" w:eastAsia="仿宋_GB2312" w:cs="仿宋_GB2312"/>
          <w:color w:val="auto"/>
          <w:sz w:val="32"/>
          <w:szCs w:val="32"/>
          <w:highlight w:val="none"/>
          <w:u w:val="single"/>
          <w:lang w:val="en-US" w:eastAsia="zh-CN"/>
        </w:rPr>
        <w:t>是</w:t>
      </w:r>
      <w:r>
        <w:rPr>
          <w:rFonts w:hint="eastAsia" w:ascii="仿宋_GB2312" w:hAnsi="仿宋_GB2312" w:eastAsia="仿宋_GB2312" w:cs="仿宋_GB2312"/>
          <w:color w:val="auto"/>
          <w:sz w:val="32"/>
          <w:szCs w:val="32"/>
          <w:highlight w:val="none"/>
        </w:rPr>
        <w:t>。</w:t>
      </w:r>
    </w:p>
    <w:p w14:paraId="7625D520">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rPr>
        <w:t>发包人提供支付担保的形式：</w:t>
      </w:r>
      <w:r>
        <w:rPr>
          <w:rFonts w:hint="eastAsia" w:ascii="仿宋_GB2312" w:hAnsi="仿宋_GB2312" w:eastAsia="仿宋_GB2312" w:cs="仿宋_GB2312"/>
          <w:color w:val="auto"/>
          <w:sz w:val="32"/>
          <w:szCs w:val="32"/>
          <w:highlight w:val="none"/>
          <w:u w:val="none"/>
        </w:rPr>
        <w:t>收到承包人提交的履约担保后28天内，发包人向承包人提供与履约担保等额的工程款支付保函。发包人开具工程款支付保函的相关费用由承包人承担，承包人应在投标报价中综合考虑，发包人不另行支付。相关费用由发包人在承包人的当期进度款中扣除</w:t>
      </w:r>
      <w:r>
        <w:rPr>
          <w:rFonts w:hint="eastAsia" w:ascii="仿宋_GB2312" w:hAnsi="仿宋_GB2312" w:eastAsia="仿宋_GB2312" w:cs="仿宋_GB2312"/>
          <w:color w:val="auto"/>
          <w:sz w:val="32"/>
          <w:szCs w:val="32"/>
          <w:highlight w:val="none"/>
        </w:rPr>
        <w:t>。</w:t>
      </w:r>
      <w:bookmarkStart w:id="1905" w:name="_Toc351203635"/>
    </w:p>
    <w:p w14:paraId="69F43155">
      <w:pPr>
        <w:pageBreakBefore w:val="0"/>
        <w:widowControl/>
        <w:kinsoku/>
        <w:wordWrap/>
        <w:overflowPunct/>
        <w:topLinePunct w:val="0"/>
        <w:bidi w:val="0"/>
        <w:adjustRightInd w:val="0"/>
        <w:snapToGrid w:val="0"/>
        <w:spacing w:line="560" w:lineRule="exact"/>
        <w:ind w:firstLine="640" w:firstLineChars="200"/>
        <w:jc w:val="both"/>
        <w:outlineLvl w:val="9"/>
        <w:rPr>
          <w:rFonts w:hint="eastAsia" w:ascii="黑体" w:hAnsi="黑体" w:eastAsia="黑体" w:cs="黑体"/>
          <w:b w:val="0"/>
          <w:bCs/>
          <w:color w:val="auto"/>
          <w:sz w:val="32"/>
          <w:szCs w:val="32"/>
          <w:highlight w:val="none"/>
        </w:rPr>
      </w:pPr>
      <w:bookmarkStart w:id="1906" w:name="_Toc296890986"/>
      <w:bookmarkStart w:id="1907" w:name="_Toc296503158"/>
      <w:bookmarkStart w:id="1908" w:name="_Toc297120458"/>
      <w:bookmarkStart w:id="1909" w:name="_Toc22104"/>
      <w:bookmarkStart w:id="1910" w:name="_Toc23259"/>
      <w:bookmarkStart w:id="1911" w:name="_Toc13078"/>
      <w:bookmarkStart w:id="1912" w:name="_Toc292559868"/>
      <w:bookmarkStart w:id="1913" w:name="_Toc21783"/>
      <w:bookmarkStart w:id="1914" w:name="_Toc15887"/>
      <w:bookmarkStart w:id="1915" w:name="_Toc297048344"/>
      <w:bookmarkStart w:id="1916" w:name="_Toc11455"/>
      <w:bookmarkStart w:id="1917" w:name="_Toc296944497"/>
      <w:bookmarkStart w:id="1918" w:name="_Toc296347157"/>
      <w:bookmarkStart w:id="1919" w:name="_Toc296891198"/>
      <w:bookmarkStart w:id="1920" w:name="_Toc28586"/>
      <w:bookmarkStart w:id="1921" w:name="_Toc10357"/>
      <w:bookmarkStart w:id="1922" w:name="_Toc292559363"/>
      <w:bookmarkStart w:id="1923" w:name="_Toc296346659"/>
      <w:bookmarkStart w:id="1924" w:name="_Toc22661"/>
      <w:bookmarkStart w:id="1925" w:name="_Toc1791"/>
      <w:r>
        <w:rPr>
          <w:rFonts w:hint="eastAsia" w:ascii="黑体" w:hAnsi="黑体" w:eastAsia="黑体" w:cs="黑体"/>
          <w:b w:val="0"/>
          <w:bCs/>
          <w:color w:val="auto"/>
          <w:sz w:val="32"/>
          <w:szCs w:val="32"/>
          <w:highlight w:val="none"/>
        </w:rPr>
        <w:t>3. 承包</w:t>
      </w:r>
      <w:bookmarkEnd w:id="1905"/>
      <w:r>
        <w:rPr>
          <w:rFonts w:hint="eastAsia" w:ascii="黑体" w:hAnsi="黑体" w:eastAsia="黑体" w:cs="黑体"/>
          <w:b w:val="0"/>
          <w:bCs/>
          <w:color w:val="auto"/>
          <w:sz w:val="32"/>
          <w:szCs w:val="32"/>
          <w:highlight w:val="none"/>
        </w:rPr>
        <w:t>人</w:t>
      </w:r>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p>
    <w:p w14:paraId="7EDC4571">
      <w:pPr>
        <w:pageBreakBefore w:val="0"/>
        <w:kinsoku/>
        <w:wordWrap/>
        <w:overflowPunct/>
        <w:topLinePunct w:val="0"/>
        <w:bidi w:val="0"/>
        <w:adjustRightInd w:val="0"/>
        <w:snapToGrid w:val="0"/>
        <w:spacing w:line="560" w:lineRule="exact"/>
        <w:ind w:firstLine="640" w:firstLineChars="200"/>
        <w:jc w:val="both"/>
        <w:outlineLvl w:val="9"/>
        <w:rPr>
          <w:rFonts w:hint="eastAsia" w:ascii="仿宋_GB2312" w:hAnsi="仿宋_GB2312" w:eastAsia="仿宋_GB2312" w:cs="仿宋_GB2312"/>
          <w:color w:val="auto"/>
          <w:sz w:val="32"/>
          <w:szCs w:val="32"/>
          <w:highlight w:val="none"/>
        </w:rPr>
      </w:pPr>
      <w:bookmarkStart w:id="1926" w:name="_Toc1363"/>
      <w:bookmarkStart w:id="1927" w:name="_Toc15227"/>
      <w:bookmarkStart w:id="1928" w:name="_Toc32211"/>
      <w:bookmarkStart w:id="1929" w:name="_Toc19718"/>
      <w:bookmarkStart w:id="1930" w:name="_Toc5806"/>
      <w:bookmarkStart w:id="1931" w:name="_Toc13187"/>
      <w:bookmarkStart w:id="1932" w:name="_Toc17290"/>
      <w:bookmarkStart w:id="1933" w:name="_Toc6016"/>
      <w:r>
        <w:rPr>
          <w:rFonts w:hint="eastAsia" w:ascii="仿宋_GB2312" w:hAnsi="仿宋_GB2312" w:eastAsia="仿宋_GB2312" w:cs="仿宋_GB2312"/>
          <w:color w:val="auto"/>
          <w:sz w:val="32"/>
          <w:szCs w:val="32"/>
          <w:highlight w:val="none"/>
        </w:rPr>
        <w:t>3.1 承包人的一般义务</w:t>
      </w:r>
      <w:bookmarkEnd w:id="1926"/>
      <w:bookmarkEnd w:id="1927"/>
      <w:bookmarkEnd w:id="1928"/>
      <w:bookmarkEnd w:id="1929"/>
      <w:bookmarkEnd w:id="1930"/>
      <w:bookmarkEnd w:id="1931"/>
      <w:bookmarkEnd w:id="1932"/>
      <w:bookmarkEnd w:id="1933"/>
    </w:p>
    <w:p w14:paraId="76907272">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kern w:val="0"/>
          <w:sz w:val="32"/>
          <w:szCs w:val="32"/>
          <w:highlight w:val="none"/>
        </w:rPr>
        <w:t>（</w:t>
      </w:r>
      <w:r>
        <w:rPr>
          <w:rFonts w:hint="eastAsia" w:ascii="仿宋_GB2312" w:hAnsi="仿宋_GB2312" w:eastAsia="仿宋_GB2312" w:cs="仿宋_GB2312"/>
          <w:color w:val="auto"/>
          <w:kern w:val="0"/>
          <w:sz w:val="32"/>
          <w:szCs w:val="32"/>
          <w:highlight w:val="none"/>
          <w:lang w:val="en-US" w:eastAsia="zh-CN"/>
        </w:rPr>
        <w:t>9</w:t>
      </w:r>
      <w:r>
        <w:rPr>
          <w:rFonts w:hint="eastAsia" w:ascii="仿宋_GB2312" w:hAnsi="仿宋_GB2312" w:eastAsia="仿宋_GB2312" w:cs="仿宋_GB2312"/>
          <w:color w:val="auto"/>
          <w:kern w:val="0"/>
          <w:sz w:val="32"/>
          <w:szCs w:val="32"/>
          <w:highlight w:val="none"/>
        </w:rPr>
        <w:t>）</w:t>
      </w:r>
      <w:r>
        <w:rPr>
          <w:rFonts w:hint="eastAsia" w:ascii="仿宋_GB2312" w:hAnsi="仿宋_GB2312" w:eastAsia="仿宋_GB2312" w:cs="仿宋_GB2312"/>
          <w:color w:val="auto"/>
          <w:sz w:val="32"/>
          <w:szCs w:val="32"/>
          <w:highlight w:val="none"/>
        </w:rPr>
        <w:t>承包人提交的竣工资料的内容：</w:t>
      </w:r>
      <w:r>
        <w:rPr>
          <w:rFonts w:hint="eastAsia" w:ascii="仿宋_GB2312" w:hAnsi="仿宋_GB2312" w:eastAsia="仿宋_GB2312" w:cs="仿宋_GB2312"/>
          <w:color w:val="auto"/>
          <w:sz w:val="32"/>
          <w:szCs w:val="32"/>
          <w:highlight w:val="none"/>
          <w:u w:val="none"/>
        </w:rPr>
        <w:t>工程竣工结算报告（正文）、竣工结算总目录、竣工结算文件编制说明、合同结算价款汇总表、合同结算价款明细表、结算价款计算过程文件、竣工图</w:t>
      </w:r>
      <w:r>
        <w:rPr>
          <w:rFonts w:hint="eastAsia" w:ascii="仿宋_GB2312" w:hAnsi="仿宋_GB2312" w:eastAsia="仿宋_GB2312" w:cs="仿宋_GB2312"/>
          <w:color w:val="auto"/>
          <w:sz w:val="32"/>
          <w:szCs w:val="32"/>
          <w:highlight w:val="none"/>
          <w:u w:val="none"/>
          <w:lang w:eastAsia="zh-CN"/>
        </w:rPr>
        <w:t>及其他</w:t>
      </w:r>
      <w:r>
        <w:rPr>
          <w:rFonts w:hint="eastAsia" w:ascii="仿宋_GB2312" w:hAnsi="仿宋_GB2312" w:eastAsia="仿宋_GB2312" w:cs="仿宋_GB2312"/>
          <w:color w:val="auto"/>
          <w:sz w:val="32"/>
          <w:szCs w:val="32"/>
          <w:highlight w:val="none"/>
          <w:u w:val="none"/>
        </w:rPr>
        <w:t>竣工资料、与合同价款调整有关、依据本合同约定有效的设计变更签证文件、索赔文件或已经</w:t>
      </w:r>
      <w:r>
        <w:rPr>
          <w:rFonts w:hint="eastAsia" w:ascii="仿宋_GB2312" w:hAnsi="仿宋_GB2312" w:eastAsia="仿宋_GB2312" w:cs="仿宋_GB2312"/>
          <w:color w:val="auto"/>
          <w:sz w:val="32"/>
          <w:szCs w:val="32"/>
          <w:highlight w:val="none"/>
          <w:u w:val="none"/>
          <w:lang w:eastAsia="zh-CN"/>
        </w:rPr>
        <w:t>发包人</w:t>
      </w:r>
      <w:r>
        <w:rPr>
          <w:rFonts w:hint="eastAsia" w:ascii="仿宋_GB2312" w:hAnsi="仿宋_GB2312" w:eastAsia="仿宋_GB2312" w:cs="仿宋_GB2312"/>
          <w:color w:val="auto"/>
          <w:sz w:val="32"/>
          <w:szCs w:val="32"/>
          <w:highlight w:val="none"/>
          <w:u w:val="none"/>
        </w:rPr>
        <w:t>确认的合同价款调整文件以及监理人指令单等、合同价款有关的证明资料、</w:t>
      </w:r>
      <w:r>
        <w:rPr>
          <w:rFonts w:hint="eastAsia" w:ascii="仿宋_GB2312" w:hAnsi="仿宋_GB2312" w:eastAsia="仿宋_GB2312" w:cs="仿宋_GB2312"/>
          <w:color w:val="auto"/>
          <w:sz w:val="32"/>
          <w:szCs w:val="32"/>
          <w:highlight w:val="none"/>
          <w:u w:val="none"/>
          <w:lang w:eastAsia="zh-CN"/>
        </w:rPr>
        <w:t>承包人</w:t>
      </w:r>
      <w:r>
        <w:rPr>
          <w:rFonts w:hint="eastAsia" w:ascii="仿宋_GB2312" w:hAnsi="仿宋_GB2312" w:eastAsia="仿宋_GB2312" w:cs="仿宋_GB2312"/>
          <w:color w:val="auto"/>
          <w:sz w:val="32"/>
          <w:szCs w:val="32"/>
          <w:highlight w:val="none"/>
          <w:u w:val="none"/>
        </w:rPr>
        <w:t>认为支持工程结算</w:t>
      </w:r>
      <w:r>
        <w:rPr>
          <w:rFonts w:hint="eastAsia" w:ascii="仿宋_GB2312" w:hAnsi="仿宋_GB2312" w:eastAsia="仿宋_GB2312" w:cs="仿宋_GB2312"/>
          <w:color w:val="auto"/>
          <w:sz w:val="32"/>
          <w:szCs w:val="32"/>
          <w:highlight w:val="none"/>
          <w:u w:val="none"/>
          <w:lang w:eastAsia="zh-CN"/>
        </w:rPr>
        <w:t>的其他文件</w:t>
      </w:r>
      <w:r>
        <w:rPr>
          <w:rFonts w:hint="eastAsia" w:ascii="仿宋_GB2312" w:hAnsi="仿宋_GB2312" w:eastAsia="仿宋_GB2312" w:cs="仿宋_GB2312"/>
          <w:color w:val="auto"/>
          <w:sz w:val="32"/>
          <w:szCs w:val="32"/>
          <w:highlight w:val="none"/>
          <w:u w:val="none"/>
        </w:rPr>
        <w:t>等（按档案管理部门及发包人的要求）。施工技术管理文件、产品质量证明文件、检验和检测报告、施工记录、检验批质量验收记录、竣工图等竣工验收应交资料，竣工资料应当符合工程所在地建设行政主管部门和</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rPr>
        <w:t>或</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rPr>
        <w:t>城市建设档案管理机构有关施工资料的要求</w:t>
      </w:r>
      <w:r>
        <w:rPr>
          <w:rFonts w:hint="eastAsia" w:ascii="仿宋_GB2312" w:hAnsi="仿宋_GB2312" w:eastAsia="仿宋_GB2312" w:cs="仿宋_GB2312"/>
          <w:color w:val="auto"/>
          <w:sz w:val="32"/>
          <w:szCs w:val="32"/>
          <w:highlight w:val="none"/>
        </w:rPr>
        <w:t>。</w:t>
      </w:r>
    </w:p>
    <w:p w14:paraId="2BBF0AE6">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承包人需要提交的竣工资料套数：</w:t>
      </w:r>
      <w:r>
        <w:rPr>
          <w:rFonts w:hint="eastAsia" w:ascii="仿宋_GB2312" w:hAnsi="仿宋_GB2312" w:eastAsia="仿宋_GB2312" w:cs="仿宋_GB2312"/>
          <w:color w:val="auto"/>
          <w:sz w:val="32"/>
          <w:szCs w:val="32"/>
          <w:highlight w:val="none"/>
          <w:u w:val="none"/>
        </w:rPr>
        <w:t>竣工验收合格后30天内向发包人提供完整的竣工验收资料一式陆套，并另按档案部门要求将其档案资料向档案馆移交备案。若有特殊要求</w:t>
      </w:r>
      <w:r>
        <w:rPr>
          <w:rFonts w:hint="eastAsia" w:ascii="仿宋_GB2312" w:hAnsi="仿宋_GB2312" w:eastAsia="仿宋_GB2312" w:cs="仿宋_GB2312"/>
          <w:color w:val="auto"/>
          <w:sz w:val="32"/>
          <w:szCs w:val="32"/>
          <w:highlight w:val="none"/>
          <w:u w:val="none"/>
          <w:lang w:eastAsia="zh-CN"/>
        </w:rPr>
        <w:t>需</w:t>
      </w:r>
      <w:r>
        <w:rPr>
          <w:rFonts w:hint="eastAsia" w:ascii="仿宋_GB2312" w:hAnsi="仿宋_GB2312" w:eastAsia="仿宋_GB2312" w:cs="仿宋_GB2312"/>
          <w:color w:val="auto"/>
          <w:sz w:val="32"/>
          <w:szCs w:val="32"/>
          <w:highlight w:val="none"/>
          <w:u w:val="none"/>
        </w:rPr>
        <w:t xml:space="preserve">增加套数，承包人应无条件免费提供 </w:t>
      </w:r>
      <w:r>
        <w:rPr>
          <w:rFonts w:hint="eastAsia" w:ascii="仿宋_GB2312" w:hAnsi="仿宋_GB2312" w:eastAsia="仿宋_GB2312" w:cs="仿宋_GB2312"/>
          <w:color w:val="auto"/>
          <w:sz w:val="32"/>
          <w:szCs w:val="32"/>
          <w:highlight w:val="none"/>
        </w:rPr>
        <w:t>。</w:t>
      </w:r>
    </w:p>
    <w:p w14:paraId="08247A55">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承包人提交的竣工资料的费用承担：</w:t>
      </w:r>
      <w:r>
        <w:rPr>
          <w:rFonts w:hint="eastAsia" w:ascii="仿宋_GB2312" w:hAnsi="仿宋_GB2312" w:eastAsia="仿宋_GB2312" w:cs="仿宋_GB2312"/>
          <w:color w:val="auto"/>
          <w:sz w:val="32"/>
          <w:szCs w:val="32"/>
          <w:highlight w:val="none"/>
          <w:u w:val="none"/>
        </w:rPr>
        <w:t>由承包人承担，包含在</w:t>
      </w:r>
      <w:r>
        <w:rPr>
          <w:rFonts w:hint="eastAsia" w:ascii="仿宋_GB2312" w:hAnsi="仿宋_GB2312" w:eastAsia="仿宋_GB2312" w:cs="仿宋_GB2312"/>
          <w:color w:val="auto"/>
          <w:sz w:val="32"/>
          <w:szCs w:val="32"/>
          <w:highlight w:val="none"/>
          <w:u w:val="none"/>
          <w:lang w:eastAsia="zh-CN"/>
        </w:rPr>
        <w:t>合同价款中的各分部分项或措施项目清单综合单价</w:t>
      </w:r>
      <w:r>
        <w:rPr>
          <w:rFonts w:hint="eastAsia" w:ascii="仿宋_GB2312" w:hAnsi="仿宋_GB2312" w:eastAsia="仿宋_GB2312" w:cs="仿宋_GB2312"/>
          <w:color w:val="auto"/>
          <w:sz w:val="32"/>
          <w:szCs w:val="32"/>
          <w:highlight w:val="none"/>
          <w:u w:val="none"/>
        </w:rPr>
        <w:t>中，发包人不另行支付</w:t>
      </w:r>
      <w:r>
        <w:rPr>
          <w:rFonts w:hint="eastAsia" w:ascii="仿宋_GB2312" w:hAnsi="仿宋_GB2312" w:eastAsia="仿宋_GB2312" w:cs="仿宋_GB2312"/>
          <w:color w:val="auto"/>
          <w:sz w:val="32"/>
          <w:szCs w:val="32"/>
          <w:highlight w:val="none"/>
        </w:rPr>
        <w:t>。</w:t>
      </w:r>
    </w:p>
    <w:p w14:paraId="5BAEEAF6">
      <w:pPr>
        <w:pageBreakBefore w:val="0"/>
        <w:kinsoku/>
        <w:wordWrap/>
        <w:overflowPunct/>
        <w:topLinePunct w:val="0"/>
        <w:bidi w:val="0"/>
        <w:adjustRightInd w:val="0"/>
        <w:snapToGrid w:val="0"/>
        <w:spacing w:line="560" w:lineRule="exact"/>
        <w:ind w:left="0" w:leftChars="0"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承包人提交的竣工资料移交时间：</w:t>
      </w:r>
      <w:r>
        <w:rPr>
          <w:rFonts w:hint="eastAsia" w:ascii="仿宋_GB2312" w:hAnsi="仿宋_GB2312" w:eastAsia="仿宋_GB2312" w:cs="仿宋_GB2312"/>
          <w:color w:val="auto"/>
          <w:sz w:val="32"/>
          <w:szCs w:val="32"/>
          <w:highlight w:val="none"/>
          <w:u w:val="single"/>
        </w:rPr>
        <w:t>竣工验收后30日内</w:t>
      </w:r>
      <w:r>
        <w:rPr>
          <w:rFonts w:hint="eastAsia" w:ascii="仿宋_GB2312" w:hAnsi="仿宋_GB2312" w:eastAsia="仿宋_GB2312" w:cs="仿宋_GB2312"/>
          <w:color w:val="auto"/>
          <w:sz w:val="32"/>
          <w:szCs w:val="32"/>
          <w:highlight w:val="none"/>
        </w:rPr>
        <w:t>。</w:t>
      </w:r>
    </w:p>
    <w:p w14:paraId="52503262">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承包人提交的竣工资料形式要求：</w:t>
      </w:r>
      <w:r>
        <w:rPr>
          <w:rFonts w:hint="eastAsia" w:ascii="仿宋_GB2312" w:hAnsi="仿宋_GB2312" w:eastAsia="仿宋_GB2312" w:cs="仿宋_GB2312"/>
          <w:color w:val="auto"/>
          <w:sz w:val="32"/>
          <w:szCs w:val="32"/>
          <w:highlight w:val="none"/>
          <w:u w:val="none"/>
        </w:rPr>
        <w:t xml:space="preserve">编制要求和格式按现行规范执行，纸质资料应字迹清晰，签字、盖章手续齐全，按规定组卷成册；电子资料应图像清晰，声音清楚，文字说明和内容准确 </w:t>
      </w:r>
      <w:r>
        <w:rPr>
          <w:rFonts w:hint="eastAsia" w:ascii="仿宋_GB2312" w:hAnsi="仿宋_GB2312" w:eastAsia="仿宋_GB2312" w:cs="仿宋_GB2312"/>
          <w:color w:val="auto"/>
          <w:sz w:val="32"/>
          <w:szCs w:val="32"/>
          <w:highlight w:val="none"/>
        </w:rPr>
        <w:t>。</w:t>
      </w:r>
    </w:p>
    <w:p w14:paraId="639A12F7">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w:t>
      </w:r>
      <w:r>
        <w:rPr>
          <w:rFonts w:hint="eastAsia" w:ascii="仿宋_GB2312" w:hAnsi="仿宋_GB2312" w:eastAsia="仿宋_GB2312" w:cs="仿宋_GB2312"/>
          <w:color w:val="auto"/>
          <w:kern w:val="0"/>
          <w:sz w:val="32"/>
          <w:szCs w:val="32"/>
          <w:highlight w:val="none"/>
          <w:lang w:val="en-US" w:eastAsia="zh-CN"/>
        </w:rPr>
        <w:t>10</w:t>
      </w:r>
      <w:r>
        <w:rPr>
          <w:rFonts w:hint="eastAsia" w:ascii="仿宋_GB2312" w:hAnsi="仿宋_GB2312" w:eastAsia="仿宋_GB2312" w:cs="仿宋_GB2312"/>
          <w:color w:val="auto"/>
          <w:kern w:val="0"/>
          <w:sz w:val="32"/>
          <w:szCs w:val="32"/>
          <w:highlight w:val="none"/>
        </w:rPr>
        <w:t>）承包人应履行的其他义务：</w:t>
      </w:r>
    </w:p>
    <w:p w14:paraId="50EE2EB3">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1）项目部的驻地建设：承包人根据《现场平面布置图》，按发包人对项目部的要求，进行项目部的驻地建设。</w:t>
      </w:r>
    </w:p>
    <w:p w14:paraId="222C0A20">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2）承担施工安全保卫工作及非夜间施工照明的责任和要求：杜绝重大安全事故发生，无人员伤亡，由于承包人安全措施不力造成事故的责任和发生的费用，由承包人自行承担。</w:t>
      </w:r>
    </w:p>
    <w:p w14:paraId="6A74A03D">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3）爆破器材的运输、保管及爆破作业申请要求：按公安部门相关文件执行。爆破作业申请手续由承包人负责申请。</w:t>
      </w:r>
    </w:p>
    <w:p w14:paraId="400B1978">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4）临时用地的租用使用：临时用地由承包人解决、调查解决并办理相关使用手续，费用已含在承包人的</w:t>
      </w:r>
      <w:r>
        <w:rPr>
          <w:rFonts w:hint="eastAsia" w:ascii="仿宋_GB2312" w:hAnsi="仿宋_GB2312" w:eastAsia="仿宋_GB2312" w:cs="仿宋_GB2312"/>
          <w:color w:val="auto"/>
          <w:sz w:val="32"/>
          <w:szCs w:val="32"/>
          <w:highlight w:val="none"/>
          <w:u w:val="none"/>
          <w:lang w:eastAsia="zh-CN"/>
        </w:rPr>
        <w:t>合同价款中的各分部分项或措施项目清单综合单价</w:t>
      </w:r>
      <w:r>
        <w:rPr>
          <w:rFonts w:hint="eastAsia" w:ascii="仿宋_GB2312" w:hAnsi="仿宋_GB2312" w:eastAsia="仿宋_GB2312" w:cs="仿宋_GB2312"/>
          <w:color w:val="auto"/>
          <w:sz w:val="32"/>
          <w:szCs w:val="32"/>
          <w:highlight w:val="none"/>
          <w:u w:val="none"/>
        </w:rPr>
        <w:t>中。承包人应充分考虑临时用地因规划调整或开发建设需要被回收的风险，因临时用地被回收导致的临时设施拆除、另建的相关费用由承包人在</w:t>
      </w:r>
      <w:r>
        <w:rPr>
          <w:rFonts w:hint="eastAsia" w:ascii="仿宋_GB2312" w:hAnsi="仿宋_GB2312" w:eastAsia="仿宋_GB2312" w:cs="仿宋_GB2312"/>
          <w:color w:val="auto"/>
          <w:sz w:val="32"/>
          <w:szCs w:val="32"/>
          <w:highlight w:val="none"/>
          <w:u w:val="none"/>
          <w:lang w:eastAsia="zh-CN"/>
        </w:rPr>
        <w:t>合同价款中的各分部分项或措施项目清单综合单价</w:t>
      </w:r>
      <w:r>
        <w:rPr>
          <w:rFonts w:hint="eastAsia" w:ascii="仿宋_GB2312" w:hAnsi="仿宋_GB2312" w:eastAsia="仿宋_GB2312" w:cs="仿宋_GB2312"/>
          <w:color w:val="auto"/>
          <w:sz w:val="32"/>
          <w:szCs w:val="32"/>
          <w:highlight w:val="none"/>
          <w:u w:val="none"/>
        </w:rPr>
        <w:t>中综合考虑，发包人不另行支付。</w:t>
      </w:r>
    </w:p>
    <w:p w14:paraId="70020E67">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5）向发包人提供的办公和生活房屋及设施的要求：</w:t>
      </w:r>
    </w:p>
    <w:p w14:paraId="19077224">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承包人免费向发包人提供办公和生活用房各</w:t>
      </w:r>
      <w:r>
        <w:rPr>
          <w:rFonts w:hint="eastAsia" w:ascii="仿宋_GB2312" w:hAnsi="仿宋_GB2312" w:eastAsia="仿宋_GB2312" w:cs="仿宋_GB2312"/>
          <w:color w:val="auto"/>
          <w:sz w:val="32"/>
          <w:szCs w:val="32"/>
          <w:highlight w:val="none"/>
          <w:u w:val="none"/>
          <w:lang w:val="en-US" w:eastAsia="zh-CN"/>
        </w:rPr>
        <w:t>1</w:t>
      </w:r>
      <w:r>
        <w:rPr>
          <w:rFonts w:hint="eastAsia" w:ascii="仿宋_GB2312" w:hAnsi="仿宋_GB2312" w:eastAsia="仿宋_GB2312" w:cs="仿宋_GB2312"/>
          <w:color w:val="auto"/>
          <w:sz w:val="32"/>
          <w:szCs w:val="32"/>
          <w:highlight w:val="none"/>
          <w:u w:val="none"/>
        </w:rPr>
        <w:t>间（带空调及办公家具、用品）。</w:t>
      </w:r>
    </w:p>
    <w:p w14:paraId="4180B5C6">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上述费用已包含在</w:t>
      </w:r>
      <w:r>
        <w:rPr>
          <w:rFonts w:hint="eastAsia" w:ascii="仿宋_GB2312" w:hAnsi="仿宋_GB2312" w:eastAsia="仿宋_GB2312" w:cs="仿宋_GB2312"/>
          <w:color w:val="auto"/>
          <w:sz w:val="32"/>
          <w:szCs w:val="32"/>
          <w:highlight w:val="none"/>
          <w:u w:val="none"/>
          <w:lang w:eastAsia="zh-CN"/>
        </w:rPr>
        <w:t>合同价款中的各分部分项或措施项目清单综合单价</w:t>
      </w:r>
      <w:r>
        <w:rPr>
          <w:rFonts w:hint="eastAsia" w:ascii="仿宋_GB2312" w:hAnsi="仿宋_GB2312" w:eastAsia="仿宋_GB2312" w:cs="仿宋_GB2312"/>
          <w:color w:val="auto"/>
          <w:sz w:val="32"/>
          <w:szCs w:val="32"/>
          <w:highlight w:val="none"/>
          <w:u w:val="none"/>
        </w:rPr>
        <w:t>内，发包人不另行支付。</w:t>
      </w:r>
    </w:p>
    <w:p w14:paraId="0CE82194">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6）文明施工管理要求：现场布置及场容场貌、现场标志牌、管理人员挂牌上岗、现场材料及设备堆放等，按省、市相关标准文件执行。</w:t>
      </w:r>
    </w:p>
    <w:p w14:paraId="7F592F91">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7）需承包人办理的有关施工场地交通、环卫、排污、排水和施工噪音管理等手续：承包人应当承担其出入现场所需要的专用或临时道路（含水路）通行权、养路费等一切费用和税费，并办理相关手续。承包人还应提供其所需要的工地以外的供工程使用的任何附加设施，相关费用已包含在</w:t>
      </w:r>
      <w:r>
        <w:rPr>
          <w:rFonts w:hint="eastAsia" w:ascii="仿宋_GB2312" w:hAnsi="仿宋_GB2312" w:eastAsia="仿宋_GB2312" w:cs="仿宋_GB2312"/>
          <w:color w:val="auto"/>
          <w:sz w:val="32"/>
          <w:szCs w:val="32"/>
          <w:highlight w:val="none"/>
          <w:u w:val="none"/>
          <w:lang w:eastAsia="zh-CN"/>
        </w:rPr>
        <w:t>合同价款中的各分部分项或措施项目清单综合单价</w:t>
      </w:r>
      <w:r>
        <w:rPr>
          <w:rFonts w:hint="eastAsia" w:ascii="仿宋_GB2312" w:hAnsi="仿宋_GB2312" w:eastAsia="仿宋_GB2312" w:cs="仿宋_GB2312"/>
          <w:color w:val="auto"/>
          <w:sz w:val="32"/>
          <w:szCs w:val="32"/>
          <w:highlight w:val="none"/>
          <w:u w:val="none"/>
        </w:rPr>
        <w:t>内，发包人不另行支付。除合同中另有规定外，根据设备、材料或临时设施运输的需要，承包人应负责并自费加固任何桥梁或重修或改进任何与施工现场连接或通往现场的任何道路（含水路）。退场前，对由于承包人自身原因引起的道路、桥梁、水闸、码头、堤围设施的损坏自费恢复原状。在合同工程施工期间，根据政府有关环境保护的规定，承包人应采取所有合理的措施来保护现场内外的环境，并避免由于其操作方法所造成的污染、噪声、震动</w:t>
      </w:r>
      <w:r>
        <w:rPr>
          <w:rFonts w:hint="eastAsia" w:ascii="仿宋_GB2312" w:hAnsi="仿宋_GB2312" w:eastAsia="仿宋_GB2312" w:cs="仿宋_GB2312"/>
          <w:color w:val="auto"/>
          <w:sz w:val="32"/>
          <w:szCs w:val="32"/>
          <w:highlight w:val="none"/>
          <w:u w:val="none"/>
          <w:lang w:eastAsia="zh-CN"/>
        </w:rPr>
        <w:t>或其他</w:t>
      </w:r>
      <w:r>
        <w:rPr>
          <w:rFonts w:hint="eastAsia" w:ascii="仿宋_GB2312" w:hAnsi="仿宋_GB2312" w:eastAsia="仿宋_GB2312" w:cs="仿宋_GB2312"/>
          <w:color w:val="auto"/>
          <w:sz w:val="32"/>
          <w:szCs w:val="32"/>
          <w:highlight w:val="none"/>
          <w:u w:val="none"/>
        </w:rPr>
        <w:t>问题而对附近的人员或公私财产造成的干扰、损失或损害。承包人应在</w:t>
      </w:r>
      <w:r>
        <w:rPr>
          <w:rFonts w:hint="eastAsia" w:ascii="仿宋_GB2312" w:hAnsi="仿宋_GB2312" w:eastAsia="仿宋_GB2312" w:cs="仿宋_GB2312"/>
          <w:color w:val="auto"/>
          <w:sz w:val="32"/>
          <w:szCs w:val="32"/>
          <w:highlight w:val="none"/>
          <w:u w:val="none"/>
          <w:lang w:eastAsia="zh-CN"/>
        </w:rPr>
        <w:t>合同价款中的各分部分项或措施项目清单综合单价</w:t>
      </w:r>
      <w:r>
        <w:rPr>
          <w:rFonts w:hint="eastAsia" w:ascii="仿宋_GB2312" w:hAnsi="仿宋_GB2312" w:eastAsia="仿宋_GB2312" w:cs="仿宋_GB2312"/>
          <w:color w:val="auto"/>
          <w:sz w:val="32"/>
          <w:szCs w:val="32"/>
          <w:highlight w:val="none"/>
          <w:u w:val="none"/>
        </w:rPr>
        <w:t>中考虑有关费用，并保证发包人免于受到或承担应由承包人负责的上述事项所引起的或与之有关的索赔、诉讼</w:t>
      </w:r>
      <w:r>
        <w:rPr>
          <w:rFonts w:hint="eastAsia" w:ascii="仿宋_GB2312" w:hAnsi="仿宋_GB2312" w:eastAsia="仿宋_GB2312" w:cs="仿宋_GB2312"/>
          <w:color w:val="auto"/>
          <w:sz w:val="32"/>
          <w:szCs w:val="32"/>
          <w:highlight w:val="none"/>
          <w:u w:val="none"/>
          <w:lang w:eastAsia="zh-CN"/>
        </w:rPr>
        <w:t>以及其他</w:t>
      </w:r>
      <w:r>
        <w:rPr>
          <w:rFonts w:hint="eastAsia" w:ascii="仿宋_GB2312" w:hAnsi="仿宋_GB2312" w:eastAsia="仿宋_GB2312" w:cs="仿宋_GB2312"/>
          <w:color w:val="auto"/>
          <w:sz w:val="32"/>
          <w:szCs w:val="32"/>
          <w:highlight w:val="none"/>
          <w:u w:val="none"/>
        </w:rPr>
        <w:t>开支。基坑基槽开挖的边坡支护应按施工图纸要求，如因支护不周、施工不当造成塌方、路面下陷及对施工现场附近建（构）筑物的下沉、开裂等的不良影响承包人须负责修复，并对造成的损失进行赔偿，该费用全部由承包人自行承担。</w:t>
      </w:r>
    </w:p>
    <w:p w14:paraId="625F1C84">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8）负责施工场地范围内地下管线和邻近建筑物、构筑物</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rPr>
        <w:t>含文物保护建筑</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rPr>
        <w:t>、古树名木的保护；</w:t>
      </w:r>
    </w:p>
    <w:p w14:paraId="1E59C2E1">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9）施工场地清洁卫生的要求：符合海南省、海口市及海口江东新区环境卫生管理的有关规定。</w:t>
      </w:r>
    </w:p>
    <w:p w14:paraId="2B69572B">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10）双方约定承包人应做</w:t>
      </w:r>
      <w:r>
        <w:rPr>
          <w:rFonts w:hint="eastAsia" w:ascii="仿宋_GB2312" w:hAnsi="仿宋_GB2312" w:eastAsia="仿宋_GB2312" w:cs="仿宋_GB2312"/>
          <w:color w:val="auto"/>
          <w:sz w:val="32"/>
          <w:szCs w:val="32"/>
          <w:highlight w:val="none"/>
          <w:u w:val="none"/>
          <w:lang w:eastAsia="zh-CN"/>
        </w:rPr>
        <w:t>的其他工作</w:t>
      </w:r>
      <w:r>
        <w:rPr>
          <w:rFonts w:hint="eastAsia" w:ascii="仿宋_GB2312" w:hAnsi="仿宋_GB2312" w:eastAsia="仿宋_GB2312" w:cs="仿宋_GB2312"/>
          <w:color w:val="auto"/>
          <w:sz w:val="32"/>
          <w:szCs w:val="32"/>
          <w:highlight w:val="none"/>
          <w:u w:val="none"/>
        </w:rPr>
        <w:t>：协助</w:t>
      </w:r>
      <w:r>
        <w:rPr>
          <w:rFonts w:hint="eastAsia" w:ascii="仿宋_GB2312" w:hAnsi="仿宋_GB2312" w:eastAsia="仿宋_GB2312" w:cs="仿宋_GB2312"/>
          <w:color w:val="auto"/>
          <w:sz w:val="32"/>
          <w:szCs w:val="32"/>
          <w:highlight w:val="none"/>
          <w:u w:val="none"/>
          <w:lang w:val="en-US" w:eastAsia="zh-CN"/>
        </w:rPr>
        <w:t>发包人</w:t>
      </w:r>
      <w:r>
        <w:rPr>
          <w:rFonts w:hint="eastAsia" w:ascii="仿宋_GB2312" w:hAnsi="仿宋_GB2312" w:eastAsia="仿宋_GB2312" w:cs="仿宋_GB2312"/>
          <w:color w:val="auto"/>
          <w:sz w:val="32"/>
          <w:szCs w:val="32"/>
          <w:highlight w:val="none"/>
          <w:u w:val="none"/>
        </w:rPr>
        <w:t>办理</w:t>
      </w:r>
      <w:r>
        <w:rPr>
          <w:rFonts w:hint="eastAsia" w:ascii="仿宋_GB2312" w:hAnsi="仿宋_GB2312" w:eastAsia="仿宋_GB2312" w:cs="仿宋_GB2312"/>
          <w:color w:val="auto"/>
          <w:sz w:val="32"/>
          <w:szCs w:val="32"/>
          <w:highlight w:val="none"/>
          <w:u w:val="none"/>
          <w:lang w:val="en-US" w:eastAsia="zh-CN"/>
        </w:rPr>
        <w:t>本</w:t>
      </w:r>
      <w:r>
        <w:rPr>
          <w:rFonts w:hint="eastAsia" w:ascii="仿宋_GB2312" w:hAnsi="仿宋_GB2312" w:eastAsia="仿宋_GB2312" w:cs="仿宋_GB2312"/>
          <w:color w:val="auto"/>
          <w:sz w:val="32"/>
          <w:szCs w:val="32"/>
          <w:highlight w:val="none"/>
          <w:u w:val="none"/>
        </w:rPr>
        <w:t>工程的相关报建手续，施工期间按发包人通知做好迎检工作，费用已包含在</w:t>
      </w:r>
      <w:r>
        <w:rPr>
          <w:rFonts w:hint="eastAsia" w:ascii="仿宋_GB2312" w:hAnsi="仿宋_GB2312" w:eastAsia="仿宋_GB2312" w:cs="仿宋_GB2312"/>
          <w:color w:val="auto"/>
          <w:sz w:val="32"/>
          <w:szCs w:val="32"/>
          <w:highlight w:val="none"/>
          <w:u w:val="none"/>
          <w:lang w:eastAsia="zh-CN"/>
        </w:rPr>
        <w:t>合同价款中的各分部分项或措施项目清单综合单价</w:t>
      </w:r>
      <w:r>
        <w:rPr>
          <w:rFonts w:hint="eastAsia" w:ascii="仿宋_GB2312" w:hAnsi="仿宋_GB2312" w:eastAsia="仿宋_GB2312" w:cs="仿宋_GB2312"/>
          <w:color w:val="auto"/>
          <w:sz w:val="32"/>
          <w:szCs w:val="32"/>
          <w:highlight w:val="none"/>
          <w:u w:val="none"/>
        </w:rPr>
        <w:t>内，发包人不另行支付。</w:t>
      </w:r>
    </w:p>
    <w:p w14:paraId="72683252">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11）施工对交通的干扰</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rPr>
        <w:t>承包人在实施和完成本合同工程及缺陷修复工作中的一切施工作业应保证发包人免于承担因承包人借用、占用或进出当地道路</w:t>
      </w:r>
      <w:r>
        <w:rPr>
          <w:rFonts w:hint="eastAsia" w:ascii="仿宋_GB2312" w:hAnsi="仿宋_GB2312" w:eastAsia="仿宋_GB2312" w:cs="仿宋_GB2312"/>
          <w:color w:val="auto"/>
          <w:sz w:val="32"/>
          <w:szCs w:val="32"/>
          <w:highlight w:val="none"/>
          <w:u w:val="none"/>
          <w:lang w:eastAsia="zh-CN"/>
        </w:rPr>
        <w:t>或其他</w:t>
      </w:r>
      <w:r>
        <w:rPr>
          <w:rFonts w:hint="eastAsia" w:ascii="仿宋_GB2312" w:hAnsi="仿宋_GB2312" w:eastAsia="仿宋_GB2312" w:cs="仿宋_GB2312"/>
          <w:color w:val="auto"/>
          <w:sz w:val="32"/>
          <w:szCs w:val="32"/>
          <w:highlight w:val="none"/>
          <w:u w:val="none"/>
        </w:rPr>
        <w:t>交通所引起的索赔、诉讼费、损害赔偿、指控费。承包人应采取有效的措施，避免施工对原有交通的干扰。如果施工中不可避免对原有道路及交通有干扰时，承包人应取得有关部门的批准，并应维持交通安全畅通，消除干扰的影响，由此造成的所有纠纷，承包人应承担全部责任。</w:t>
      </w:r>
    </w:p>
    <w:p w14:paraId="1DDDB981">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12）如承包人外购土方的取土点在海口江东新区范围内，须经发包人批准同意，如对海口江东新区的土地造成破坏，承包人须承担全部责任。</w:t>
      </w:r>
    </w:p>
    <w:p w14:paraId="228150F3">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13）承包人应根据施工图纸及发包人要求进行施工，且本合同约定工程如涉及与其他工程交叉施工的，承包人</w:t>
      </w:r>
      <w:r>
        <w:rPr>
          <w:rFonts w:hint="eastAsia" w:ascii="仿宋_GB2312" w:hAnsi="仿宋_GB2312" w:eastAsia="仿宋_GB2312" w:cs="仿宋_GB2312"/>
          <w:color w:val="auto"/>
          <w:sz w:val="32"/>
          <w:szCs w:val="32"/>
          <w:highlight w:val="none"/>
          <w:u w:val="none"/>
          <w:lang w:val="en-US" w:eastAsia="zh-CN"/>
        </w:rPr>
        <w:t>应</w:t>
      </w:r>
      <w:r>
        <w:rPr>
          <w:rFonts w:hint="eastAsia" w:ascii="仿宋_GB2312" w:hAnsi="仿宋_GB2312" w:eastAsia="仿宋_GB2312" w:cs="仿宋_GB2312"/>
          <w:color w:val="auto"/>
          <w:sz w:val="32"/>
          <w:szCs w:val="32"/>
          <w:highlight w:val="none"/>
          <w:u w:val="none"/>
        </w:rPr>
        <w:t>无条件予以配合。</w:t>
      </w:r>
    </w:p>
    <w:p w14:paraId="69F90A49">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14）发包人对建设工程项目实行信息化管理机制，合同签订后，承包人在本项目施工管理过程中须采用信息化管理模式，集成项目管理信息，实现对工程项目质量、投资、进度等的全过程控制，加强管理时效性，统一管理手段、数据来源、数据处理及信息输出，做到建设信息的及时存储、查询和追溯，实现与发包人的数据交换，提高工作效率。</w:t>
      </w:r>
    </w:p>
    <w:p w14:paraId="1FBAE93F">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15）农民工工资：承包人</w:t>
      </w:r>
      <w:r>
        <w:rPr>
          <w:rFonts w:hint="eastAsia" w:ascii="仿宋_GB2312" w:hAnsi="仿宋_GB2312" w:eastAsia="仿宋_GB2312" w:cs="仿宋_GB2312"/>
          <w:color w:val="auto"/>
          <w:sz w:val="32"/>
          <w:szCs w:val="32"/>
          <w:highlight w:val="none"/>
          <w:u w:val="none"/>
          <w:lang w:val="en-US" w:eastAsia="zh-CN"/>
        </w:rPr>
        <w:t>应</w:t>
      </w:r>
      <w:r>
        <w:rPr>
          <w:rFonts w:hint="eastAsia" w:ascii="仿宋_GB2312" w:hAnsi="仿宋_GB2312" w:eastAsia="仿宋_GB2312" w:cs="仿宋_GB2312"/>
          <w:color w:val="auto"/>
          <w:sz w:val="32"/>
          <w:szCs w:val="32"/>
          <w:highlight w:val="none"/>
          <w:u w:val="none"/>
        </w:rPr>
        <w:t>配合发包人办理农民工工资保证金退还。</w:t>
      </w:r>
    </w:p>
    <w:p w14:paraId="3B6632D4">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①承包人应按国家、海南省及海口市政府有关文件要求建立健全劳动保障制度，按时发放员工工资（含农民工工资）。</w:t>
      </w:r>
    </w:p>
    <w:p w14:paraId="1C74AD2A">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②承包人是劳务工人工资发放的责任主体，必须建立农民工实名制管理制度，设专人管理劳务人员考勤，每月让劳务班组确认，按时发放员工工资（含农民工工资）</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rPr>
        <w:t>承包人保证不存在承包人只管包工头、不管劳务工人的现象。承包人对劳务工人的工资支付管理应遵守当地建设行政主管部门有关规定。</w:t>
      </w:r>
    </w:p>
    <w:p w14:paraId="248526B3">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③如发生劳务工人工资纠纷，承包人应提供真实的工资发放书面原始记录。</w:t>
      </w:r>
    </w:p>
    <w:p w14:paraId="311205EB">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16）承包人对其签署的文件、临时工程及施工技术承担责任，承包人应有责任及时发现设计中存在的明显错误，并立即通知发包人。当发包人提出要求时，承包人应提交准备采用的专项技术方案，在未得到发包人批准时不得实施。</w:t>
      </w:r>
    </w:p>
    <w:p w14:paraId="230CEEEC">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17）</w:t>
      </w:r>
      <w:r>
        <w:rPr>
          <w:rFonts w:hint="eastAsia" w:ascii="仿宋_GB2312" w:hAnsi="仿宋_GB2312" w:eastAsia="仿宋_GB2312" w:cs="仿宋_GB2312"/>
          <w:color w:val="auto"/>
          <w:kern w:val="0"/>
          <w:sz w:val="32"/>
          <w:szCs w:val="32"/>
          <w:highlight w:val="none"/>
          <w:u w:val="none"/>
        </w:rPr>
        <w:t>承包人必须有足够的流动资金，并保证不因流动资金不足而发生停工的情况。</w:t>
      </w:r>
    </w:p>
    <w:p w14:paraId="2BF7FF1C">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18）施工组织设计（包括施工方案）只是作为工程施工过程中技术指导和作业方法，造价不因施工组织设计/施工方案中具体的技术方案和作业方法变化而调整。</w:t>
      </w:r>
    </w:p>
    <w:p w14:paraId="4ACBD228">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19）有防水要求的部位，楼地板和砼导墙（包括厨卫间）等钢筋砼结构部分、外墙部分、铝合金门窗及铝板幕墙部分，承包人必须进行48小时闭水试验或淋水试验，闭（淋）水试验工作和所需工期全部由承包人负责，以上工作所需水和胶管等材料费用已包含在</w:t>
      </w:r>
      <w:r>
        <w:rPr>
          <w:rFonts w:hint="eastAsia" w:ascii="仿宋_GB2312" w:hAnsi="仿宋_GB2312" w:eastAsia="仿宋_GB2312" w:cs="仿宋_GB2312"/>
          <w:color w:val="auto"/>
          <w:sz w:val="32"/>
          <w:szCs w:val="32"/>
          <w:highlight w:val="none"/>
          <w:u w:val="none"/>
          <w:lang w:eastAsia="zh-CN"/>
        </w:rPr>
        <w:t>合同价款中的各分部分项或措施项目清单综合单价</w:t>
      </w:r>
      <w:r>
        <w:rPr>
          <w:rFonts w:hint="eastAsia" w:ascii="仿宋_GB2312" w:hAnsi="仿宋_GB2312" w:eastAsia="仿宋_GB2312" w:cs="仿宋_GB2312"/>
          <w:color w:val="auto"/>
          <w:sz w:val="32"/>
          <w:szCs w:val="32"/>
          <w:highlight w:val="none"/>
          <w:u w:val="none"/>
        </w:rPr>
        <w:t>中，发包人不另行支付费用。</w:t>
      </w:r>
    </w:p>
    <w:p w14:paraId="36728E72">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20）施工过程中的临</w:t>
      </w:r>
      <w:r>
        <w:rPr>
          <w:rFonts w:hint="eastAsia" w:ascii="仿宋_GB2312" w:hAnsi="仿宋_GB2312" w:eastAsia="仿宋_GB2312" w:cs="仿宋_GB2312"/>
          <w:color w:val="auto"/>
          <w:sz w:val="32"/>
          <w:szCs w:val="32"/>
          <w:highlight w:val="none"/>
          <w:u w:val="none"/>
          <w:lang w:eastAsia="zh-CN"/>
        </w:rPr>
        <w:t>时道</w:t>
      </w:r>
      <w:r>
        <w:rPr>
          <w:rFonts w:hint="eastAsia" w:ascii="仿宋_GB2312" w:hAnsi="仿宋_GB2312" w:eastAsia="仿宋_GB2312" w:cs="仿宋_GB2312"/>
          <w:color w:val="auto"/>
          <w:sz w:val="32"/>
          <w:szCs w:val="32"/>
          <w:highlight w:val="none"/>
          <w:u w:val="none"/>
        </w:rPr>
        <w:t>路、场地硬化在施工完成后承包人应及时清理，所有临时占地须恢复到接收单位认可的原地形地貌为准；承包人应考虑在工程施工过程中，加强对在本合同施工范围内的各类地下管线、管井、道路设施等成品和现状绿化的保护工作，因施工措施、方法不到位引起（现有红线向外扩展15米范围内）的道路、绿化、各种管线线路、各类设施的开裂、破坏、建（构）筑物的下沉、开裂，承包人应按原样修复并按有关规定予以赔偿。</w:t>
      </w:r>
    </w:p>
    <w:p w14:paraId="269E781A">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21）承包人负责本工程</w:t>
      </w:r>
      <w:r>
        <w:rPr>
          <w:rFonts w:hint="eastAsia" w:ascii="仿宋_GB2312" w:hAnsi="仿宋_GB2312" w:eastAsia="仿宋_GB2312" w:cs="仿宋_GB2312"/>
          <w:color w:val="auto"/>
          <w:sz w:val="32"/>
          <w:szCs w:val="32"/>
          <w:highlight w:val="none"/>
          <w:u w:val="none"/>
          <w:lang w:eastAsia="zh-CN"/>
        </w:rPr>
        <w:t>与其他</w:t>
      </w:r>
      <w:r>
        <w:rPr>
          <w:rFonts w:hint="eastAsia" w:ascii="仿宋_GB2312" w:hAnsi="仿宋_GB2312" w:eastAsia="仿宋_GB2312" w:cs="仿宋_GB2312"/>
          <w:color w:val="auto"/>
          <w:sz w:val="32"/>
          <w:szCs w:val="32"/>
          <w:highlight w:val="none"/>
          <w:u w:val="none"/>
        </w:rPr>
        <w:t>工程</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rPr>
        <w:t>如红线内外现有道路、给排水管线、电气管线等</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rPr>
        <w:t>交接处的施工接驳及收口处理。与现状道路相接时，负责对现状道路、人行道、相关管线及绿化的破除和修复，由此发生的费用已包含在</w:t>
      </w:r>
      <w:r>
        <w:rPr>
          <w:rFonts w:hint="eastAsia" w:ascii="仿宋_GB2312" w:hAnsi="仿宋_GB2312" w:eastAsia="仿宋_GB2312" w:cs="仿宋_GB2312"/>
          <w:color w:val="auto"/>
          <w:sz w:val="32"/>
          <w:szCs w:val="32"/>
          <w:highlight w:val="none"/>
          <w:u w:val="none"/>
          <w:lang w:eastAsia="zh-CN"/>
        </w:rPr>
        <w:t>合同价款中的各分部分项或措施项目清单综合单价</w:t>
      </w:r>
      <w:r>
        <w:rPr>
          <w:rFonts w:hint="eastAsia" w:ascii="仿宋_GB2312" w:hAnsi="仿宋_GB2312" w:eastAsia="仿宋_GB2312" w:cs="仿宋_GB2312"/>
          <w:color w:val="auto"/>
          <w:sz w:val="32"/>
          <w:szCs w:val="32"/>
          <w:highlight w:val="none"/>
          <w:u w:val="none"/>
        </w:rPr>
        <w:t>中，发包人不另行支付。</w:t>
      </w:r>
    </w:p>
    <w:p w14:paraId="1641BCF1">
      <w:pPr>
        <w:pStyle w:val="3"/>
        <w:pageBreakBefore w:val="0"/>
        <w:kinsoku/>
        <w:wordWrap/>
        <w:overflowPunct/>
        <w:topLinePunct w:val="0"/>
        <w:bidi w:val="0"/>
        <w:adjustRightInd w:val="0"/>
        <w:snapToGrid w:val="0"/>
        <w:spacing w:line="560" w:lineRule="exact"/>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22）承包人在现状燃气管道线路两侧施工前，应联系相关燃气管道权属单位确认管位，编制专项施工方案，制定可靠的保护措施，并严格按方案施工，确保施工期间燃气管道的安全。由于承包人的原因造成事故的，一切责任由承包人自行承担。</w:t>
      </w:r>
    </w:p>
    <w:p w14:paraId="7CB95C11">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23）承包人应根据现场场地状况，自行考虑项目材料加工场地、材料堆场的场地，以及材料出现二次及以上转运，由此发生的费用已包含在</w:t>
      </w:r>
      <w:r>
        <w:rPr>
          <w:rFonts w:hint="eastAsia" w:ascii="仿宋_GB2312" w:hAnsi="仿宋_GB2312" w:eastAsia="仿宋_GB2312" w:cs="仿宋_GB2312"/>
          <w:color w:val="auto"/>
          <w:sz w:val="32"/>
          <w:szCs w:val="32"/>
          <w:highlight w:val="none"/>
          <w:u w:val="none"/>
          <w:lang w:eastAsia="zh-CN"/>
        </w:rPr>
        <w:t>合同价款中的各分部分项或措施项目清单综合单价</w:t>
      </w:r>
      <w:r>
        <w:rPr>
          <w:rFonts w:hint="eastAsia" w:ascii="仿宋_GB2312" w:hAnsi="仿宋_GB2312" w:eastAsia="仿宋_GB2312" w:cs="仿宋_GB2312"/>
          <w:color w:val="auto"/>
          <w:sz w:val="32"/>
          <w:szCs w:val="32"/>
          <w:highlight w:val="none"/>
          <w:u w:val="none"/>
        </w:rPr>
        <w:t>中，发包人不另行支付。</w:t>
      </w:r>
    </w:p>
    <w:p w14:paraId="40C66340">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24）依据《海南省建筑工程防水技术标准》（DBJ46-048-2018</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rPr>
        <w:t>的规定，本项目屋面防水工程、有防水要求的卫生间、房间和外墙面（含景观水景、游泳池、蓄水池）等建筑工程防水质量保证年限为10年。</w:t>
      </w:r>
    </w:p>
    <w:p w14:paraId="72D87393">
      <w:pPr>
        <w:pStyle w:val="3"/>
        <w:pageBreakBefore w:val="0"/>
        <w:kinsoku/>
        <w:wordWrap/>
        <w:overflowPunct/>
        <w:topLinePunct w:val="0"/>
        <w:bidi w:val="0"/>
        <w:adjustRightInd w:val="0"/>
        <w:snapToGrid w:val="0"/>
        <w:spacing w:line="560" w:lineRule="exact"/>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25）因发包人原因致使承包人在工程施工过程中于合同内容外发生了额外费用</w:t>
      </w:r>
      <w:r>
        <w:rPr>
          <w:rFonts w:hint="eastAsia" w:ascii="仿宋_GB2312" w:hAnsi="仿宋_GB2312" w:eastAsia="仿宋_GB2312" w:cs="仿宋_GB2312"/>
          <w:color w:val="auto"/>
          <w:sz w:val="32"/>
          <w:szCs w:val="32"/>
          <w:highlight w:val="none"/>
          <w:u w:val="none"/>
          <w:lang w:eastAsia="zh-CN"/>
        </w:rPr>
        <w:t>或其他</w:t>
      </w:r>
      <w:r>
        <w:rPr>
          <w:rFonts w:hint="eastAsia" w:ascii="仿宋_GB2312" w:hAnsi="仿宋_GB2312" w:eastAsia="仿宋_GB2312" w:cs="仿宋_GB2312"/>
          <w:color w:val="auto"/>
          <w:sz w:val="32"/>
          <w:szCs w:val="32"/>
          <w:highlight w:val="none"/>
          <w:u w:val="none"/>
        </w:rPr>
        <w:t>与合同约定事项不</w:t>
      </w:r>
      <w:r>
        <w:rPr>
          <w:rFonts w:hint="eastAsia" w:ascii="仿宋_GB2312" w:hAnsi="仿宋_GB2312" w:eastAsia="仿宋_GB2312" w:cs="仿宋_GB2312"/>
          <w:color w:val="auto"/>
          <w:sz w:val="32"/>
          <w:szCs w:val="32"/>
          <w:highlight w:val="none"/>
          <w:u w:val="none"/>
          <w:lang w:val="en-US" w:eastAsia="zh-CN"/>
        </w:rPr>
        <w:t>符</w:t>
      </w:r>
      <w:r>
        <w:rPr>
          <w:rFonts w:hint="eastAsia" w:ascii="仿宋_GB2312" w:hAnsi="仿宋_GB2312" w:eastAsia="仿宋_GB2312" w:cs="仿宋_GB2312"/>
          <w:color w:val="auto"/>
          <w:sz w:val="32"/>
          <w:szCs w:val="32"/>
          <w:highlight w:val="none"/>
          <w:u w:val="none"/>
        </w:rPr>
        <w:t>的情况，承包人应在情况发生后10天内以书面形式向发包人提出并予以签字确认的证明，承包人逾期报送的，发包人有权不予受理。</w:t>
      </w:r>
    </w:p>
    <w:p w14:paraId="168FAE39">
      <w:pPr>
        <w:pStyle w:val="3"/>
        <w:pageBreakBefore w:val="0"/>
        <w:kinsoku/>
        <w:wordWrap/>
        <w:overflowPunct/>
        <w:topLinePunct w:val="0"/>
        <w:bidi w:val="0"/>
        <w:adjustRightInd w:val="0"/>
        <w:snapToGrid w:val="0"/>
        <w:spacing w:line="560" w:lineRule="exact"/>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26）因承包人自身原因需要进行工程变更且增加费用的，变更后的施工方案由承包人向监理人、发包人报批通过后方可执行，同时由承包人自行承担增加的费用，发包人不另行支付，无需签证确认。在保证安全和质量的前提下，可以或因故需要进行工程变更，且变更后的施工方案的相关费用少于或等于原投标或批复方案费用的，无需签证确认，但变更后的施工方案须经监理人、发包人书面同意后方可执行。</w:t>
      </w:r>
    </w:p>
    <w:p w14:paraId="7FDDD603">
      <w:pPr>
        <w:pStyle w:val="3"/>
        <w:pageBreakBefore w:val="0"/>
        <w:kinsoku/>
        <w:wordWrap/>
        <w:overflowPunct/>
        <w:topLinePunct w:val="0"/>
        <w:bidi w:val="0"/>
        <w:adjustRightInd w:val="0"/>
        <w:snapToGrid w:val="0"/>
        <w:spacing w:line="560" w:lineRule="exact"/>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27）承包人委派专人配合政府及发包人进行征拆。</w:t>
      </w:r>
    </w:p>
    <w:p w14:paraId="6AC4529F">
      <w:pPr>
        <w:pStyle w:val="3"/>
        <w:pageBreakBefore w:val="0"/>
        <w:kinsoku/>
        <w:wordWrap/>
        <w:overflowPunct/>
        <w:topLinePunct w:val="0"/>
        <w:bidi w:val="0"/>
        <w:adjustRightInd w:val="0"/>
        <w:snapToGrid w:val="0"/>
        <w:spacing w:line="560" w:lineRule="exact"/>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28）燃气工程根据项目实际按需填写</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rPr>
        <w:t>由发包人另行单独发包；承包人负责整体工程的管理、组织、协调，包括不限于为分包人提供使用水电、临时设施、场地及竣工资料的整理汇总等，相关费用已包含在已标价工程量清单的总承包服务费中，发包人不另行支付</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lang w:val="en-US" w:eastAsia="zh-CN"/>
        </w:rPr>
        <w:t>注：此处需根据项目实际按需调整</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rPr>
        <w:t>。承包人和分包人就分包工程向发包人承担连带责任。</w:t>
      </w:r>
    </w:p>
    <w:p w14:paraId="7556F3A9">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sz w:val="32"/>
          <w:szCs w:val="32"/>
          <w:highlight w:val="none"/>
          <w:u w:val="none"/>
        </w:rPr>
        <w:t>29）工程质量验收范围内的检测及监测：①</w:t>
      </w:r>
      <w:r>
        <w:rPr>
          <w:rFonts w:hint="eastAsia" w:ascii="仿宋_GB2312" w:hAnsi="仿宋_GB2312" w:eastAsia="仿宋_GB2312" w:cs="仿宋_GB2312"/>
          <w:color w:val="auto"/>
          <w:kern w:val="0"/>
          <w:sz w:val="32"/>
          <w:szCs w:val="32"/>
          <w:highlight w:val="none"/>
          <w:u w:val="none"/>
        </w:rPr>
        <w:t>承包人已在</w:t>
      </w:r>
      <w:r>
        <w:rPr>
          <w:rFonts w:hint="eastAsia" w:ascii="仿宋_GB2312" w:hAnsi="仿宋_GB2312" w:eastAsia="仿宋_GB2312" w:cs="仿宋_GB2312"/>
          <w:color w:val="auto"/>
          <w:sz w:val="32"/>
          <w:szCs w:val="32"/>
          <w:highlight w:val="none"/>
          <w:u w:val="none"/>
        </w:rPr>
        <w:t>合同价款</w:t>
      </w:r>
      <w:r>
        <w:rPr>
          <w:rFonts w:hint="eastAsia" w:ascii="仿宋_GB2312" w:hAnsi="仿宋_GB2312" w:eastAsia="仿宋_GB2312" w:cs="仿宋_GB2312"/>
          <w:color w:val="auto"/>
          <w:kern w:val="0"/>
          <w:sz w:val="32"/>
          <w:szCs w:val="32"/>
          <w:highlight w:val="none"/>
          <w:u w:val="none"/>
        </w:rPr>
        <w:t>中综合考虑</w:t>
      </w:r>
      <w:r>
        <w:rPr>
          <w:rFonts w:hint="eastAsia" w:ascii="仿宋_GB2312" w:hAnsi="仿宋_GB2312" w:eastAsia="仿宋_GB2312" w:cs="仿宋_GB2312"/>
          <w:color w:val="auto"/>
          <w:sz w:val="32"/>
          <w:szCs w:val="32"/>
          <w:highlight w:val="none"/>
          <w:u w:val="none"/>
        </w:rPr>
        <w:t>除</w:t>
      </w:r>
      <w:r>
        <w:rPr>
          <w:rFonts w:hint="eastAsia" w:ascii="仿宋_GB2312" w:hAnsi="仿宋_GB2312" w:eastAsia="仿宋_GB2312" w:cs="仿宋_GB2312"/>
          <w:color w:val="auto"/>
          <w:kern w:val="0"/>
          <w:sz w:val="32"/>
          <w:szCs w:val="32"/>
          <w:highlight w:val="none"/>
          <w:u w:val="none"/>
        </w:rPr>
        <w:t>主体及基坑监测、基坑及桩基检测、主体结构检测、钢结构工程检测、白蚁防治检测</w:t>
      </w:r>
      <w:r>
        <w:rPr>
          <w:rFonts w:hint="eastAsia" w:ascii="仿宋_GB2312" w:hAnsi="仿宋_GB2312" w:eastAsia="仿宋_GB2312" w:cs="仿宋_GB2312"/>
          <w:color w:val="auto"/>
          <w:sz w:val="32"/>
          <w:szCs w:val="32"/>
          <w:highlight w:val="none"/>
          <w:u w:val="none"/>
        </w:rPr>
        <w:t>外的施工材料检测、管线检测</w:t>
      </w:r>
      <w:r>
        <w:rPr>
          <w:rFonts w:hint="eastAsia" w:ascii="仿宋_GB2312" w:hAnsi="仿宋_GB2312" w:eastAsia="仿宋_GB2312" w:cs="仿宋_GB2312"/>
          <w:color w:val="auto"/>
          <w:kern w:val="0"/>
          <w:sz w:val="32"/>
          <w:szCs w:val="32"/>
          <w:highlight w:val="none"/>
          <w:u w:val="none"/>
        </w:rPr>
        <w:t>等</w:t>
      </w:r>
      <w:r>
        <w:rPr>
          <w:rFonts w:hint="eastAsia" w:ascii="仿宋_GB2312" w:hAnsi="仿宋_GB2312" w:eastAsia="仿宋_GB2312" w:cs="仿宋_GB2312"/>
          <w:color w:val="auto"/>
          <w:kern w:val="0"/>
          <w:sz w:val="32"/>
          <w:szCs w:val="32"/>
          <w:highlight w:val="none"/>
          <w:u w:val="none"/>
          <w:lang w:val="en-US" w:eastAsia="zh-CN"/>
        </w:rPr>
        <w:t>所有</w:t>
      </w:r>
      <w:r>
        <w:rPr>
          <w:rFonts w:hint="eastAsia" w:ascii="仿宋_GB2312" w:hAnsi="仿宋_GB2312" w:eastAsia="仿宋_GB2312" w:cs="仿宋_GB2312"/>
          <w:color w:val="auto"/>
          <w:kern w:val="0"/>
          <w:sz w:val="32"/>
          <w:szCs w:val="32"/>
          <w:highlight w:val="none"/>
          <w:u w:val="none"/>
        </w:rPr>
        <w:t>涉及工程质量验收的检测及监测工作的见证取样及检测、为检测工作提供配合服务和检测条件等所需的全部费用。②上述</w:t>
      </w:r>
      <w:r>
        <w:rPr>
          <w:rFonts w:hint="eastAsia" w:ascii="仿宋_GB2312" w:hAnsi="仿宋_GB2312" w:eastAsia="仿宋_GB2312" w:cs="仿宋_GB2312"/>
          <w:color w:val="auto"/>
          <w:kern w:val="0"/>
          <w:sz w:val="32"/>
          <w:szCs w:val="32"/>
          <w:highlight w:val="none"/>
          <w:u w:val="none"/>
          <w:lang w:val="en-US" w:eastAsia="zh-CN"/>
        </w:rPr>
        <w:t>所有</w:t>
      </w:r>
      <w:r>
        <w:rPr>
          <w:rFonts w:hint="eastAsia" w:ascii="仿宋_GB2312" w:hAnsi="仿宋_GB2312" w:eastAsia="仿宋_GB2312" w:cs="仿宋_GB2312"/>
          <w:color w:val="auto"/>
          <w:kern w:val="0"/>
          <w:sz w:val="32"/>
          <w:szCs w:val="32"/>
          <w:highlight w:val="none"/>
          <w:u w:val="none"/>
        </w:rPr>
        <w:t>涉及工程质量验收的检测及监测工作由发包人另行委托具有相应资质的第三方检测机构进行检测（或监测），承包人应无条件为上述质量检测工作</w:t>
      </w:r>
      <w:r>
        <w:rPr>
          <w:rFonts w:hint="eastAsia" w:ascii="仿宋_GB2312" w:hAnsi="仿宋_GB2312" w:eastAsia="仿宋_GB2312" w:cs="仿宋_GB2312"/>
          <w:color w:val="000000"/>
          <w:kern w:val="0"/>
          <w:sz w:val="32"/>
          <w:szCs w:val="32"/>
          <w:highlight w:val="none"/>
          <w:u w:val="none"/>
          <w:lang w:eastAsia="zh-CN"/>
        </w:rPr>
        <w:t>（</w:t>
      </w:r>
      <w:r>
        <w:rPr>
          <w:rFonts w:hint="eastAsia" w:ascii="仿宋_GB2312" w:hAnsi="仿宋_GB2312" w:eastAsia="仿宋_GB2312" w:cs="仿宋_GB2312"/>
          <w:color w:val="000000"/>
          <w:kern w:val="0"/>
          <w:sz w:val="32"/>
          <w:szCs w:val="32"/>
          <w:highlight w:val="none"/>
          <w:u w:val="none"/>
          <w:lang w:val="en-US" w:eastAsia="zh-CN"/>
        </w:rPr>
        <w:t>含发包人自行委托的</w:t>
      </w:r>
      <w:r>
        <w:rPr>
          <w:rFonts w:hint="eastAsia" w:ascii="仿宋_GB2312" w:hAnsi="仿宋_GB2312" w:eastAsia="仿宋_GB2312" w:cs="仿宋_GB2312"/>
          <w:color w:val="auto"/>
          <w:kern w:val="0"/>
          <w:sz w:val="32"/>
          <w:szCs w:val="32"/>
          <w:highlight w:val="none"/>
          <w:u w:val="none"/>
        </w:rPr>
        <w:t>主体及基坑监测、基坑及桩基检测、主体结构检测、钢结构工程检测、白蚁防治检测</w:t>
      </w:r>
      <w:r>
        <w:rPr>
          <w:rFonts w:hint="eastAsia" w:ascii="仿宋_GB2312" w:hAnsi="仿宋_GB2312" w:eastAsia="仿宋_GB2312" w:cs="仿宋_GB2312"/>
          <w:color w:val="000000"/>
          <w:kern w:val="0"/>
          <w:sz w:val="32"/>
          <w:szCs w:val="32"/>
          <w:highlight w:val="none"/>
          <w:u w:val="none"/>
          <w:lang w:val="en-US" w:eastAsia="zh-CN"/>
        </w:rPr>
        <w:t>）</w:t>
      </w:r>
      <w:r>
        <w:rPr>
          <w:rFonts w:hint="eastAsia" w:ascii="仿宋_GB2312" w:hAnsi="仿宋_GB2312" w:eastAsia="仿宋_GB2312" w:cs="仿宋_GB2312"/>
          <w:color w:val="auto"/>
          <w:kern w:val="0"/>
          <w:sz w:val="32"/>
          <w:szCs w:val="32"/>
          <w:highlight w:val="none"/>
          <w:u w:val="none"/>
        </w:rPr>
        <w:t>提供配合服务和检测条件。③第三方检测机构由发包人招标选定，招标</w:t>
      </w:r>
      <w:r>
        <w:rPr>
          <w:rFonts w:hint="eastAsia" w:ascii="仿宋_GB2312" w:hAnsi="仿宋_GB2312" w:eastAsia="仿宋_GB2312" w:cs="仿宋_GB2312"/>
          <w:color w:val="auto"/>
          <w:kern w:val="0"/>
          <w:sz w:val="32"/>
          <w:szCs w:val="32"/>
          <w:highlight w:val="none"/>
          <w:u w:val="none"/>
          <w:lang w:val="en-US" w:eastAsia="zh-CN"/>
        </w:rPr>
        <w:t>控制价</w:t>
      </w:r>
      <w:r>
        <w:rPr>
          <w:rFonts w:hint="eastAsia" w:ascii="仿宋_GB2312" w:hAnsi="仿宋_GB2312" w:eastAsia="仿宋_GB2312" w:cs="仿宋_GB2312"/>
          <w:color w:val="auto"/>
          <w:kern w:val="0"/>
          <w:sz w:val="32"/>
          <w:szCs w:val="32"/>
          <w:highlight w:val="none"/>
          <w:u w:val="none"/>
        </w:rPr>
        <w:t>由承包人编制并报发包人审核，承包人在该招标</w:t>
      </w:r>
      <w:r>
        <w:rPr>
          <w:rFonts w:hint="eastAsia" w:ascii="仿宋_GB2312" w:hAnsi="仿宋_GB2312" w:eastAsia="仿宋_GB2312" w:cs="仿宋_GB2312"/>
          <w:color w:val="auto"/>
          <w:kern w:val="0"/>
          <w:sz w:val="32"/>
          <w:szCs w:val="32"/>
          <w:highlight w:val="none"/>
          <w:u w:val="none"/>
          <w:lang w:val="en-US" w:eastAsia="zh-CN"/>
        </w:rPr>
        <w:t>控制价</w:t>
      </w:r>
      <w:r>
        <w:rPr>
          <w:rFonts w:hint="eastAsia" w:ascii="仿宋_GB2312" w:hAnsi="仿宋_GB2312" w:eastAsia="仿宋_GB2312" w:cs="仿宋_GB2312"/>
          <w:color w:val="auto"/>
          <w:kern w:val="0"/>
          <w:sz w:val="32"/>
          <w:szCs w:val="32"/>
          <w:highlight w:val="none"/>
          <w:u w:val="none"/>
        </w:rPr>
        <w:t>中应充分考虑为完成</w:t>
      </w:r>
      <w:r>
        <w:rPr>
          <w:rFonts w:hint="eastAsia" w:ascii="仿宋_GB2312" w:hAnsi="仿宋_GB2312" w:eastAsia="仿宋_GB2312" w:cs="仿宋_GB2312"/>
          <w:color w:val="auto"/>
          <w:kern w:val="0"/>
          <w:sz w:val="32"/>
          <w:szCs w:val="32"/>
          <w:highlight w:val="none"/>
          <w:u w:val="none"/>
          <w:lang w:val="en-US" w:eastAsia="zh-CN"/>
        </w:rPr>
        <w:t>本项目</w:t>
      </w:r>
      <w:r>
        <w:rPr>
          <w:rFonts w:hint="eastAsia" w:ascii="仿宋_GB2312" w:hAnsi="仿宋_GB2312" w:eastAsia="仿宋_GB2312" w:cs="仿宋_GB2312"/>
          <w:color w:val="auto"/>
          <w:kern w:val="0"/>
          <w:sz w:val="32"/>
          <w:szCs w:val="32"/>
          <w:highlight w:val="none"/>
          <w:u w:val="none"/>
        </w:rPr>
        <w:t>竣工验收工作所应进行的检测项目和数量，并确保报送发包人的招标控制价可以招到符合条件的检测机构。④承包人应根据工程实施进度提前</w:t>
      </w:r>
      <w:r>
        <w:rPr>
          <w:rFonts w:hint="eastAsia" w:ascii="仿宋_GB2312" w:hAnsi="仿宋_GB2312" w:eastAsia="仿宋_GB2312" w:cs="仿宋_GB2312"/>
          <w:color w:val="auto"/>
          <w:kern w:val="0"/>
          <w:sz w:val="32"/>
          <w:szCs w:val="32"/>
          <w:highlight w:val="none"/>
          <w:u w:val="none"/>
          <w:lang w:val="en-US" w:eastAsia="zh-CN"/>
        </w:rPr>
        <w:t>45</w:t>
      </w:r>
      <w:r>
        <w:rPr>
          <w:rFonts w:hint="eastAsia" w:ascii="仿宋_GB2312" w:hAnsi="仿宋_GB2312" w:eastAsia="仿宋_GB2312" w:cs="仿宋_GB2312"/>
          <w:color w:val="auto"/>
          <w:kern w:val="0"/>
          <w:sz w:val="32"/>
          <w:szCs w:val="32"/>
          <w:highlight w:val="none"/>
          <w:u w:val="none"/>
        </w:rPr>
        <w:t>日</w:t>
      </w:r>
      <w:r>
        <w:rPr>
          <w:rFonts w:hint="eastAsia" w:ascii="仿宋_GB2312" w:hAnsi="仿宋_GB2312" w:eastAsia="仿宋_GB2312" w:cs="仿宋_GB2312"/>
          <w:color w:val="auto"/>
          <w:kern w:val="0"/>
          <w:sz w:val="32"/>
          <w:szCs w:val="32"/>
          <w:highlight w:val="none"/>
          <w:u w:val="none"/>
          <w:lang w:val="en-US" w:eastAsia="zh-CN"/>
        </w:rPr>
        <w:t>历天</w:t>
      </w:r>
      <w:r>
        <w:rPr>
          <w:rFonts w:hint="eastAsia" w:ascii="仿宋_GB2312" w:hAnsi="仿宋_GB2312" w:eastAsia="仿宋_GB2312" w:cs="仿宋_GB2312"/>
          <w:color w:val="auto"/>
          <w:kern w:val="0"/>
          <w:sz w:val="32"/>
          <w:szCs w:val="32"/>
          <w:highlight w:val="none"/>
          <w:u w:val="none"/>
        </w:rPr>
        <w:t>向监理人及发包人报送检测需求【包括不限于检测内容和数量（或批次）等】及</w:t>
      </w:r>
      <w:r>
        <w:rPr>
          <w:rFonts w:hint="eastAsia" w:ascii="仿宋_GB2312" w:hAnsi="仿宋_GB2312" w:eastAsia="仿宋_GB2312" w:cs="仿宋_GB2312"/>
          <w:color w:val="auto"/>
          <w:kern w:val="0"/>
          <w:sz w:val="32"/>
          <w:szCs w:val="32"/>
          <w:highlight w:val="none"/>
          <w:u w:val="none"/>
          <w:lang w:val="en-US" w:eastAsia="zh-CN"/>
        </w:rPr>
        <w:t>其招标控制价</w:t>
      </w:r>
      <w:r>
        <w:rPr>
          <w:rFonts w:hint="eastAsia" w:ascii="仿宋_GB2312" w:hAnsi="仿宋_GB2312" w:eastAsia="仿宋_GB2312" w:cs="仿宋_GB2312"/>
          <w:color w:val="auto"/>
          <w:kern w:val="0"/>
          <w:sz w:val="32"/>
          <w:szCs w:val="32"/>
          <w:highlight w:val="none"/>
          <w:u w:val="none"/>
        </w:rPr>
        <w:t>；检测内容和数量（或批次）应符合国家、海南省及海口市的工程质量验收要求（要求不一致的，以最严格的标准执行），如发生质量检测项</w:t>
      </w:r>
      <w:r>
        <w:rPr>
          <w:rFonts w:hint="eastAsia" w:ascii="仿宋_GB2312" w:hAnsi="仿宋_GB2312" w:eastAsia="仿宋_GB2312" w:cs="仿宋_GB2312"/>
          <w:color w:val="auto"/>
          <w:kern w:val="0"/>
          <w:sz w:val="32"/>
          <w:szCs w:val="32"/>
          <w:highlight w:val="none"/>
          <w:u w:val="none"/>
          <w:lang w:val="en-US" w:eastAsia="zh-CN"/>
        </w:rPr>
        <w:t>错</w:t>
      </w:r>
      <w:r>
        <w:rPr>
          <w:rFonts w:hint="eastAsia" w:ascii="仿宋_GB2312" w:hAnsi="仿宋_GB2312" w:eastAsia="仿宋_GB2312" w:cs="仿宋_GB2312"/>
          <w:color w:val="auto"/>
          <w:kern w:val="0"/>
          <w:sz w:val="32"/>
          <w:szCs w:val="32"/>
          <w:highlight w:val="none"/>
          <w:u w:val="none"/>
        </w:rPr>
        <w:t>漏需进行补充</w:t>
      </w:r>
      <w:r>
        <w:rPr>
          <w:rFonts w:hint="eastAsia" w:ascii="仿宋_GB2312" w:hAnsi="仿宋_GB2312" w:eastAsia="仿宋_GB2312" w:cs="仿宋_GB2312"/>
          <w:color w:val="auto"/>
          <w:kern w:val="0"/>
          <w:sz w:val="32"/>
          <w:szCs w:val="32"/>
          <w:highlight w:val="none"/>
          <w:u w:val="none"/>
          <w:lang w:val="en-US" w:eastAsia="zh-CN"/>
        </w:rPr>
        <w:t>或重新</w:t>
      </w:r>
      <w:r>
        <w:rPr>
          <w:rFonts w:hint="eastAsia" w:ascii="仿宋_GB2312" w:hAnsi="仿宋_GB2312" w:eastAsia="仿宋_GB2312" w:cs="仿宋_GB2312"/>
          <w:color w:val="auto"/>
          <w:kern w:val="0"/>
          <w:sz w:val="32"/>
          <w:szCs w:val="32"/>
          <w:highlight w:val="none"/>
          <w:u w:val="none"/>
        </w:rPr>
        <w:t>检测的，补充</w:t>
      </w:r>
      <w:r>
        <w:rPr>
          <w:rFonts w:hint="eastAsia" w:ascii="仿宋_GB2312" w:hAnsi="仿宋_GB2312" w:eastAsia="仿宋_GB2312" w:cs="仿宋_GB2312"/>
          <w:color w:val="auto"/>
          <w:kern w:val="0"/>
          <w:sz w:val="32"/>
          <w:szCs w:val="32"/>
          <w:highlight w:val="none"/>
          <w:u w:val="none"/>
          <w:lang w:val="en-US" w:eastAsia="zh-CN"/>
        </w:rPr>
        <w:t>或重新</w:t>
      </w:r>
      <w:r>
        <w:rPr>
          <w:rFonts w:hint="eastAsia" w:ascii="仿宋_GB2312" w:hAnsi="仿宋_GB2312" w:eastAsia="仿宋_GB2312" w:cs="仿宋_GB2312"/>
          <w:color w:val="auto"/>
          <w:kern w:val="0"/>
          <w:sz w:val="32"/>
          <w:szCs w:val="32"/>
          <w:highlight w:val="none"/>
          <w:u w:val="none"/>
        </w:rPr>
        <w:t>检测的所有费用由承包人自行承担。⑤与质量检测有关的费用由发包人从承包人的进度款中扣除后支付给第三方检测机构。</w:t>
      </w:r>
    </w:p>
    <w:p w14:paraId="764B2C5F">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非建设单位委托的检测机构出具的检测报告不得作为工程质量验收资料。发包人委托第三方检测机构开展建设工程质量检测活动的，承包人相关工作人员应当在发包人或者监理人的见证人员监督下现场取样。</w:t>
      </w:r>
    </w:p>
    <w:p w14:paraId="0DD223FE">
      <w:pPr>
        <w:pageBreakBefore w:val="0"/>
        <w:widowControl w:val="0"/>
        <w:kinsoku/>
        <w:wordWrap/>
        <w:overflowPunct/>
        <w:topLinePunct w:val="0"/>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kern w:val="0"/>
          <w:sz w:val="32"/>
          <w:szCs w:val="32"/>
          <w:highlight w:val="none"/>
          <w:u w:val="none"/>
          <w:lang w:val="en-US" w:eastAsia="zh-CN"/>
        </w:rPr>
      </w:pPr>
      <w:r>
        <w:rPr>
          <w:rFonts w:hint="eastAsia" w:ascii="仿宋_GB2312" w:hAnsi="仿宋_GB2312" w:eastAsia="仿宋_GB2312" w:cs="仿宋_GB2312"/>
          <w:color w:val="auto"/>
          <w:kern w:val="0"/>
          <w:sz w:val="32"/>
          <w:szCs w:val="32"/>
          <w:highlight w:val="none"/>
          <w:u w:val="none"/>
          <w:lang w:val="en-US" w:eastAsia="zh-CN"/>
        </w:rPr>
        <w:t>30）工程质量验收范围外完成本项目必须进行的检测及监测：由承包人自行委托具有相应资质的检测机构实施，相关费用均已包含在合同价款中的各分部分项或措施项目清单综合单价中，发包人不另行支付。</w:t>
      </w:r>
    </w:p>
    <w:p w14:paraId="2078E8A0">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仿宋_GB2312" w:hAnsi="仿宋_GB2312" w:eastAsia="仿宋_GB2312" w:cs="仿宋_GB2312"/>
          <w:color w:val="auto"/>
          <w:kern w:val="0"/>
          <w:sz w:val="32"/>
          <w:szCs w:val="32"/>
          <w:highlight w:val="none"/>
          <w:u w:val="none"/>
          <w:lang w:val="en-US" w:eastAsia="zh-CN"/>
        </w:rPr>
      </w:pPr>
      <w:r>
        <w:rPr>
          <w:rFonts w:hint="eastAsia" w:ascii="仿宋_GB2312" w:hAnsi="仿宋_GB2312" w:eastAsia="仿宋_GB2312" w:cs="仿宋_GB2312"/>
          <w:color w:val="auto"/>
          <w:kern w:val="0"/>
          <w:sz w:val="32"/>
          <w:szCs w:val="32"/>
          <w:highlight w:val="none"/>
          <w:u w:val="none"/>
          <w:lang w:val="en-US" w:eastAsia="zh-CN"/>
        </w:rPr>
        <w:t>31）施工期间的所有赶工措施费用（包括政府对工期的要求）已包含在合同价款中的各分部分项或措施项目清单综合单价中，发包人不另行支付。</w:t>
      </w:r>
      <w:bookmarkStart w:id="1934" w:name="_Toc22536"/>
      <w:bookmarkStart w:id="1935" w:name="_Toc25412"/>
      <w:bookmarkStart w:id="1936" w:name="_Toc21115"/>
    </w:p>
    <w:p w14:paraId="305412BE">
      <w:pPr>
        <w:pStyle w:val="3"/>
        <w:pageBreakBefore w:val="0"/>
        <w:widowControl w:val="0"/>
        <w:numPr>
          <w:ilvl w:val="0"/>
          <w:numId w:val="0"/>
        </w:numPr>
        <w:kinsoku/>
        <w:wordWrap/>
        <w:overflowPunct/>
        <w:topLinePunct w:val="0"/>
        <w:bidi w:val="0"/>
        <w:adjustRightInd w:val="0"/>
        <w:snapToGrid w:val="0"/>
        <w:spacing w:line="560" w:lineRule="exact"/>
        <w:ind w:firstLine="640" w:firstLineChars="200"/>
        <w:jc w:val="both"/>
        <w:textAlignment w:val="baseline"/>
        <w:rPr>
          <w:rFonts w:hint="eastAsia" w:ascii="仿宋_GB2312" w:hAnsi="仿宋_GB2312" w:eastAsia="仿宋_GB2312" w:cs="仿宋_GB2312"/>
          <w:color w:val="auto"/>
          <w:kern w:val="0"/>
          <w:sz w:val="32"/>
          <w:szCs w:val="32"/>
          <w:highlight w:val="none"/>
          <w:u w:val="none"/>
          <w:lang w:val="en-US" w:eastAsia="zh-CN"/>
        </w:rPr>
      </w:pPr>
      <w:r>
        <w:rPr>
          <w:rFonts w:hint="eastAsia" w:ascii="仿宋_GB2312" w:hAnsi="仿宋_GB2312" w:eastAsia="仿宋_GB2312" w:cs="仿宋_GB2312"/>
          <w:color w:val="auto"/>
          <w:kern w:val="0"/>
          <w:sz w:val="32"/>
          <w:szCs w:val="32"/>
          <w:highlight w:val="none"/>
          <w:u w:val="none"/>
          <w:lang w:val="en-US" w:eastAsia="zh-CN"/>
        </w:rPr>
        <w:t>32）如承包人系非海口市注册的建筑业企业与其在海口市注册的子公司（全资或控股）或在海口市注册的关联企业（即最终隶属于同一集团控股）的其中一家组成同一专业的联合体，则由上述子公司或关联企业作为牵头单位提供销售建筑服务，依法履行纳统、纳税义务、承接工程业绩</w:t>
      </w:r>
    </w:p>
    <w:p w14:paraId="56DC915C">
      <w:pPr>
        <w:pStyle w:val="3"/>
        <w:pageBreakBefore w:val="0"/>
        <w:widowControl w:val="0"/>
        <w:numPr>
          <w:ilvl w:val="0"/>
          <w:numId w:val="0"/>
        </w:numPr>
        <w:kinsoku/>
        <w:wordWrap/>
        <w:overflowPunct/>
        <w:topLinePunct w:val="0"/>
        <w:bidi w:val="0"/>
        <w:adjustRightInd w:val="0"/>
        <w:snapToGrid w:val="0"/>
        <w:spacing w:line="560" w:lineRule="exact"/>
        <w:ind w:firstLine="640" w:firstLineChars="200"/>
        <w:jc w:val="both"/>
        <w:textAlignment w:val="baseline"/>
        <w:rPr>
          <w:rFonts w:hint="eastAsia" w:ascii="仿宋_GB2312" w:hAnsi="仿宋_GB2312" w:eastAsia="仿宋_GB2312" w:cs="仿宋_GB2312"/>
          <w:kern w:val="0"/>
          <w:sz w:val="32"/>
          <w:szCs w:val="32"/>
          <w:u w:val="none"/>
          <w:lang w:val="en-US" w:eastAsia="zh-CN"/>
        </w:rPr>
      </w:pPr>
      <w:r>
        <w:rPr>
          <w:rFonts w:hint="eastAsia" w:ascii="仿宋_GB2312" w:hAnsi="仿宋_GB2312" w:eastAsia="仿宋_GB2312" w:cs="仿宋_GB2312"/>
          <w:kern w:val="0"/>
          <w:sz w:val="32"/>
          <w:szCs w:val="32"/>
          <w:u w:val="none"/>
          <w:lang w:val="en-US" w:eastAsia="zh-CN"/>
        </w:rPr>
        <w:t>33）如发包人要求做重计量工作，承包人需在各专业图纸确定后的30天内出具重计量预算，需由承包人提供的文件包括支持重计量预算的所有计算底稿、计量模型、广联达底稿等文件；如非发包人原因，承包人逾期未报送重计量预算，每逾期一天，承包人应向发包人支付1万元/天的违约金，从进度款中扣除。</w:t>
      </w:r>
    </w:p>
    <w:p w14:paraId="2B934D15">
      <w:pPr>
        <w:pStyle w:val="3"/>
        <w:pageBreakBefore w:val="0"/>
        <w:widowControl w:val="0"/>
        <w:numPr>
          <w:ilvl w:val="0"/>
          <w:numId w:val="0"/>
        </w:numPr>
        <w:kinsoku/>
        <w:wordWrap/>
        <w:overflowPunct/>
        <w:topLinePunct w:val="0"/>
        <w:bidi w:val="0"/>
        <w:adjustRightInd w:val="0"/>
        <w:snapToGrid w:val="0"/>
        <w:spacing w:line="560" w:lineRule="exact"/>
        <w:ind w:firstLine="640" w:firstLineChars="200"/>
        <w:jc w:val="both"/>
        <w:textAlignment w:val="baseline"/>
        <w:rPr>
          <w:rFonts w:hint="eastAsia" w:ascii="仿宋_GB2312" w:hAnsi="仿宋_GB2312" w:eastAsia="仿宋_GB2312" w:cs="仿宋_GB2312"/>
          <w:kern w:val="0"/>
          <w:sz w:val="32"/>
          <w:szCs w:val="32"/>
          <w:u w:val="none"/>
          <w:lang w:val="en-US" w:eastAsia="zh-CN"/>
        </w:rPr>
      </w:pPr>
      <w:r>
        <w:rPr>
          <w:rFonts w:hint="eastAsia" w:ascii="仿宋_GB2312" w:hAnsi="仿宋_GB2312" w:eastAsia="仿宋_GB2312" w:cs="仿宋_GB2312"/>
          <w:kern w:val="0"/>
          <w:sz w:val="32"/>
          <w:szCs w:val="32"/>
          <w:u w:val="none"/>
          <w:lang w:val="en-US" w:eastAsia="zh-CN"/>
        </w:rPr>
        <w:t>34）对月报制度的要求：承包人应在每月25日前向发包人上报管理工作月报。</w:t>
      </w:r>
    </w:p>
    <w:p w14:paraId="6A717C69">
      <w:pPr>
        <w:pStyle w:val="3"/>
        <w:pageBreakBefore w:val="0"/>
        <w:widowControl w:val="0"/>
        <w:numPr>
          <w:ilvl w:val="0"/>
          <w:numId w:val="0"/>
        </w:numPr>
        <w:kinsoku/>
        <w:wordWrap/>
        <w:overflowPunct/>
        <w:topLinePunct w:val="0"/>
        <w:bidi w:val="0"/>
        <w:adjustRightInd w:val="0"/>
        <w:snapToGrid w:val="0"/>
        <w:spacing w:line="560" w:lineRule="exact"/>
        <w:ind w:firstLine="640" w:firstLineChars="200"/>
        <w:jc w:val="both"/>
        <w:textAlignment w:val="baseline"/>
        <w:rPr>
          <w:rFonts w:hint="eastAsia" w:ascii="仿宋_GB2312" w:hAnsi="仿宋_GB2312" w:eastAsia="仿宋_GB2312" w:cs="仿宋_GB2312"/>
          <w:color w:val="auto"/>
          <w:kern w:val="0"/>
          <w:sz w:val="32"/>
          <w:szCs w:val="32"/>
          <w:highlight w:val="none"/>
          <w:u w:val="none"/>
          <w:lang w:val="en-US" w:eastAsia="zh-CN"/>
        </w:rPr>
      </w:pPr>
      <w:r>
        <w:rPr>
          <w:rFonts w:hint="eastAsia" w:ascii="仿宋_GB2312" w:hAnsi="仿宋_GB2312" w:eastAsia="仿宋_GB2312" w:cs="仿宋_GB2312"/>
          <w:kern w:val="0"/>
          <w:sz w:val="32"/>
          <w:szCs w:val="32"/>
          <w:u w:val="none"/>
          <w:lang w:val="en-US" w:eastAsia="zh-CN"/>
        </w:rPr>
        <w:t>35）如发包人要求签证变更月清，承包人需在每月25日提报变更签证月清承诺函，随对应当期的进度款中承诺“本次付款周期期限内本期共发生签证变更单数，累计发生设计变更、现场签证单数”，未在此承诺函内的部分，承诺将无费用增加。</w:t>
      </w:r>
    </w:p>
    <w:p w14:paraId="3D7B3DAD">
      <w:pPr>
        <w:pageBreakBefore w:val="0"/>
        <w:widowControl w:val="0"/>
        <w:kinsoku/>
        <w:wordWrap/>
        <w:overflowPunct/>
        <w:topLinePunct w:val="0"/>
        <w:bidi w:val="0"/>
        <w:adjustRightInd w:val="0"/>
        <w:snapToGrid w:val="0"/>
        <w:spacing w:line="560" w:lineRule="exact"/>
        <w:ind w:firstLine="640" w:firstLineChars="200"/>
        <w:jc w:val="both"/>
        <w:textAlignment w:val="auto"/>
        <w:outlineLvl w:val="9"/>
        <w:rPr>
          <w:rFonts w:hint="eastAsia" w:ascii="仿宋_GB2312" w:hAnsi="仿宋_GB2312" w:eastAsia="仿宋_GB2312" w:cs="仿宋_GB2312"/>
          <w:color w:val="auto"/>
          <w:sz w:val="32"/>
          <w:szCs w:val="32"/>
          <w:highlight w:val="none"/>
        </w:rPr>
      </w:pPr>
      <w:bookmarkStart w:id="1937" w:name="_Toc2867"/>
      <w:r>
        <w:rPr>
          <w:rFonts w:hint="eastAsia" w:ascii="仿宋_GB2312" w:hAnsi="仿宋_GB2312" w:eastAsia="仿宋_GB2312" w:cs="仿宋_GB2312"/>
          <w:color w:val="auto"/>
          <w:sz w:val="32"/>
          <w:szCs w:val="32"/>
          <w:highlight w:val="none"/>
        </w:rPr>
        <w:t>3.2 项目经理</w:t>
      </w:r>
      <w:bookmarkEnd w:id="1934"/>
      <w:bookmarkEnd w:id="1935"/>
      <w:bookmarkEnd w:id="1936"/>
      <w:bookmarkEnd w:id="1937"/>
    </w:p>
    <w:p w14:paraId="690E0A60">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kern w:val="0"/>
          <w:sz w:val="32"/>
          <w:szCs w:val="32"/>
          <w:highlight w:val="none"/>
        </w:rPr>
        <w:t xml:space="preserve">3.2.1 </w:t>
      </w:r>
      <w:r>
        <w:rPr>
          <w:rFonts w:hint="eastAsia" w:ascii="仿宋_GB2312" w:hAnsi="仿宋_GB2312" w:eastAsia="仿宋_GB2312" w:cs="仿宋_GB2312"/>
          <w:color w:val="auto"/>
          <w:sz w:val="32"/>
          <w:szCs w:val="32"/>
          <w:highlight w:val="none"/>
        </w:rPr>
        <w:t>项目经理：</w:t>
      </w:r>
      <w:r>
        <w:rPr>
          <w:rFonts w:hint="eastAsia" w:ascii="仿宋_GB2312" w:hAnsi="仿宋_GB2312" w:eastAsia="仿宋_GB2312" w:cs="仿宋_GB2312"/>
          <w:color w:val="auto"/>
          <w:sz w:val="32"/>
          <w:szCs w:val="32"/>
          <w:highlight w:val="none"/>
          <w:u w:val="single"/>
          <w:lang w:val="en-US" w:eastAsia="zh-CN"/>
        </w:rPr>
        <w:t>具体详见附件15</w:t>
      </w:r>
      <w:r>
        <w:rPr>
          <w:rFonts w:hint="eastAsia" w:ascii="仿宋_GB2312" w:hAnsi="仿宋_GB2312" w:eastAsia="仿宋_GB2312" w:cs="仿宋_GB2312"/>
          <w:color w:val="auto"/>
          <w:sz w:val="32"/>
          <w:szCs w:val="32"/>
          <w:highlight w:val="none"/>
          <w:lang w:val="en-US" w:eastAsia="zh-CN"/>
        </w:rPr>
        <w:t>。</w:t>
      </w:r>
    </w:p>
    <w:p w14:paraId="027D25E8">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承包人对项目经理的授权范围如下：</w:t>
      </w:r>
      <w:r>
        <w:rPr>
          <w:rFonts w:hint="eastAsia" w:ascii="仿宋_GB2312" w:hAnsi="仿宋_GB2312" w:eastAsia="仿宋_GB2312" w:cs="仿宋_GB2312"/>
          <w:color w:val="auto"/>
          <w:sz w:val="32"/>
          <w:szCs w:val="32"/>
          <w:highlight w:val="none"/>
          <w:u w:val="none"/>
        </w:rPr>
        <w:t xml:space="preserve">项目经理经承包人授权后代表承包人负责履行合同 </w:t>
      </w:r>
      <w:r>
        <w:rPr>
          <w:rFonts w:hint="eastAsia" w:ascii="仿宋_GB2312" w:hAnsi="仿宋_GB2312" w:eastAsia="仿宋_GB2312" w:cs="仿宋_GB2312"/>
          <w:color w:val="auto"/>
          <w:sz w:val="32"/>
          <w:szCs w:val="32"/>
          <w:highlight w:val="none"/>
        </w:rPr>
        <w:t>。</w:t>
      </w:r>
    </w:p>
    <w:p w14:paraId="666E2DD7">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关于项目经理每月在施工现场的时间要求：</w:t>
      </w:r>
      <w:r>
        <w:rPr>
          <w:rFonts w:hint="eastAsia" w:ascii="仿宋_GB2312" w:hAnsi="仿宋_GB2312" w:eastAsia="仿宋_GB2312" w:cs="仿宋_GB2312"/>
          <w:color w:val="auto"/>
          <w:sz w:val="32"/>
          <w:szCs w:val="32"/>
          <w:highlight w:val="none"/>
          <w:u w:val="none"/>
        </w:rPr>
        <w:t>承包人项目经理在岗履职时间不得少于应到岗时间的80%，</w:t>
      </w:r>
      <w:r>
        <w:rPr>
          <w:rFonts w:hint="eastAsia" w:ascii="仿宋_GB2312" w:hAnsi="仿宋_GB2312" w:eastAsia="仿宋_GB2312" w:cs="仿宋_GB2312"/>
          <w:color w:val="auto"/>
          <w:sz w:val="32"/>
          <w:szCs w:val="32"/>
          <w:highlight w:val="none"/>
          <w:u w:val="none"/>
          <w:lang w:eastAsia="zh-CN"/>
        </w:rPr>
        <w:t>除</w:t>
      </w:r>
      <w:r>
        <w:rPr>
          <w:rFonts w:hint="eastAsia" w:ascii="仿宋_GB2312" w:hAnsi="仿宋_GB2312" w:eastAsia="仿宋_GB2312" w:cs="仿宋_GB2312"/>
          <w:color w:val="auto"/>
          <w:sz w:val="32"/>
          <w:szCs w:val="32"/>
          <w:highlight w:val="none"/>
          <w:u w:val="none"/>
        </w:rPr>
        <w:t>项目经理外的其他关键岗位人员应在管理职责内全勤在岗。项目经理应到岗时间为工程实际施工时间扣除法定节假日时间，其他关键岗位人员应到岗时间为其任职专业工程实际施工时间扣除法定节假日时间。</w:t>
      </w:r>
      <w:r>
        <w:rPr>
          <w:rFonts w:hint="eastAsia" w:ascii="仿宋_GB2312" w:hAnsi="仿宋_GB2312" w:eastAsia="仿宋_GB2312" w:cs="仿宋_GB2312"/>
          <w:color w:val="auto"/>
          <w:sz w:val="32"/>
          <w:szCs w:val="32"/>
          <w:highlight w:val="none"/>
          <w:u w:val="none"/>
          <w:lang w:val="en-US" w:eastAsia="zh-CN"/>
        </w:rPr>
        <w:t>项目经理</w:t>
      </w:r>
      <w:r>
        <w:rPr>
          <w:rFonts w:hint="eastAsia" w:ascii="仿宋_GB2312" w:hAnsi="仿宋_GB2312" w:eastAsia="仿宋_GB2312" w:cs="仿宋_GB2312"/>
          <w:color w:val="auto"/>
          <w:sz w:val="32"/>
          <w:szCs w:val="32"/>
          <w:highlight w:val="none"/>
          <w:u w:val="none"/>
        </w:rPr>
        <w:t>每月应到岗时间原则确定为22天，离开施工现场需向发包人请假，项目经理每月考勤打卡记录少于应到岗时间的，每少一天</w:t>
      </w:r>
      <w:r>
        <w:rPr>
          <w:rFonts w:hint="eastAsia" w:ascii="仿宋_GB2312" w:hAnsi="仿宋_GB2312" w:eastAsia="仿宋_GB2312" w:cs="仿宋_GB2312"/>
          <w:color w:val="auto"/>
          <w:sz w:val="32"/>
          <w:szCs w:val="32"/>
          <w:highlight w:val="none"/>
          <w:u w:val="none"/>
          <w:lang w:val="en-US" w:eastAsia="zh-CN"/>
        </w:rPr>
        <w:t>应承担</w:t>
      </w:r>
      <w:r>
        <w:rPr>
          <w:rFonts w:hint="eastAsia" w:ascii="仿宋_GB2312" w:hAnsi="仿宋_GB2312" w:eastAsia="仿宋_GB2312" w:cs="仿宋_GB2312"/>
          <w:color w:val="auto"/>
          <w:sz w:val="32"/>
          <w:szCs w:val="32"/>
          <w:highlight w:val="none"/>
          <w:u w:val="none"/>
        </w:rPr>
        <w:t>0.5万元/天违约</w:t>
      </w:r>
      <w:r>
        <w:rPr>
          <w:rFonts w:hint="eastAsia" w:ascii="仿宋_GB2312" w:hAnsi="仿宋_GB2312" w:eastAsia="仿宋_GB2312" w:cs="仿宋_GB2312"/>
          <w:color w:val="auto"/>
          <w:sz w:val="32"/>
          <w:szCs w:val="32"/>
          <w:highlight w:val="none"/>
          <w:u w:val="none"/>
          <w:lang w:val="en-US" w:eastAsia="zh-CN"/>
        </w:rPr>
        <w:t>金</w:t>
      </w:r>
      <w:r>
        <w:rPr>
          <w:rFonts w:hint="eastAsia" w:ascii="仿宋_GB2312" w:hAnsi="仿宋_GB2312" w:eastAsia="仿宋_GB2312" w:cs="仿宋_GB2312"/>
          <w:color w:val="auto"/>
          <w:sz w:val="32"/>
          <w:szCs w:val="32"/>
          <w:highlight w:val="none"/>
          <w:u w:val="none"/>
        </w:rPr>
        <w:t>；缺席监理例会每次</w:t>
      </w:r>
      <w:r>
        <w:rPr>
          <w:rFonts w:hint="eastAsia" w:ascii="仿宋_GB2312" w:hAnsi="仿宋_GB2312" w:eastAsia="仿宋_GB2312" w:cs="仿宋_GB2312"/>
          <w:color w:val="auto"/>
          <w:sz w:val="32"/>
          <w:szCs w:val="32"/>
          <w:highlight w:val="none"/>
          <w:u w:val="none"/>
          <w:lang w:val="en-US" w:eastAsia="zh-CN"/>
        </w:rPr>
        <w:t>应承担</w:t>
      </w:r>
      <w:r>
        <w:rPr>
          <w:rFonts w:hint="eastAsia" w:ascii="仿宋_GB2312" w:hAnsi="仿宋_GB2312" w:eastAsia="仿宋_GB2312" w:cs="仿宋_GB2312"/>
          <w:color w:val="auto"/>
          <w:sz w:val="32"/>
          <w:szCs w:val="32"/>
          <w:highlight w:val="none"/>
          <w:u w:val="none"/>
        </w:rPr>
        <w:t>0.5万元违约</w:t>
      </w:r>
      <w:r>
        <w:rPr>
          <w:rFonts w:hint="eastAsia" w:ascii="仿宋_GB2312" w:hAnsi="仿宋_GB2312" w:eastAsia="仿宋_GB2312" w:cs="仿宋_GB2312"/>
          <w:color w:val="auto"/>
          <w:sz w:val="32"/>
          <w:szCs w:val="32"/>
          <w:highlight w:val="none"/>
          <w:u w:val="none"/>
          <w:lang w:val="en-US" w:eastAsia="zh-CN"/>
        </w:rPr>
        <w:t>金</w:t>
      </w:r>
      <w:r>
        <w:rPr>
          <w:rFonts w:hint="eastAsia" w:ascii="仿宋_GB2312" w:hAnsi="仿宋_GB2312" w:eastAsia="仿宋_GB2312" w:cs="仿宋_GB2312"/>
          <w:color w:val="auto"/>
          <w:sz w:val="32"/>
          <w:szCs w:val="32"/>
          <w:highlight w:val="none"/>
          <w:u w:val="none"/>
        </w:rPr>
        <w:t>，外出未履行请假手续的，每次</w:t>
      </w:r>
      <w:r>
        <w:rPr>
          <w:rFonts w:hint="eastAsia" w:ascii="仿宋_GB2312" w:hAnsi="仿宋_GB2312" w:eastAsia="仿宋_GB2312" w:cs="仿宋_GB2312"/>
          <w:color w:val="auto"/>
          <w:sz w:val="32"/>
          <w:szCs w:val="32"/>
          <w:highlight w:val="none"/>
          <w:u w:val="none"/>
          <w:lang w:val="en-US" w:eastAsia="zh-CN"/>
        </w:rPr>
        <w:t>应承担</w:t>
      </w:r>
      <w:r>
        <w:rPr>
          <w:rFonts w:hint="eastAsia" w:ascii="仿宋_GB2312" w:hAnsi="仿宋_GB2312" w:eastAsia="仿宋_GB2312" w:cs="仿宋_GB2312"/>
          <w:color w:val="auto"/>
          <w:sz w:val="32"/>
          <w:szCs w:val="32"/>
          <w:highlight w:val="none"/>
          <w:u w:val="none"/>
        </w:rPr>
        <w:t>0.5万元违约</w:t>
      </w:r>
      <w:r>
        <w:rPr>
          <w:rFonts w:hint="eastAsia" w:ascii="仿宋_GB2312" w:hAnsi="仿宋_GB2312" w:eastAsia="仿宋_GB2312" w:cs="仿宋_GB2312"/>
          <w:color w:val="auto"/>
          <w:sz w:val="32"/>
          <w:szCs w:val="32"/>
          <w:highlight w:val="none"/>
          <w:u w:val="none"/>
          <w:lang w:val="en-US" w:eastAsia="zh-CN"/>
        </w:rPr>
        <w:t>金</w:t>
      </w:r>
      <w:r>
        <w:rPr>
          <w:rFonts w:hint="eastAsia" w:ascii="仿宋_GB2312" w:hAnsi="仿宋_GB2312" w:eastAsia="仿宋_GB2312" w:cs="仿宋_GB2312"/>
          <w:color w:val="auto"/>
          <w:sz w:val="32"/>
          <w:szCs w:val="32"/>
          <w:highlight w:val="none"/>
          <w:u w:val="none"/>
        </w:rPr>
        <w:t>；材料由他人代签的，每个签字</w:t>
      </w:r>
      <w:r>
        <w:rPr>
          <w:rFonts w:hint="eastAsia" w:ascii="仿宋_GB2312" w:hAnsi="仿宋_GB2312" w:eastAsia="仿宋_GB2312" w:cs="仿宋_GB2312"/>
          <w:color w:val="auto"/>
          <w:sz w:val="32"/>
          <w:szCs w:val="32"/>
          <w:highlight w:val="none"/>
          <w:u w:val="none"/>
          <w:lang w:val="en-US" w:eastAsia="zh-CN"/>
        </w:rPr>
        <w:t>应承担</w:t>
      </w:r>
      <w:r>
        <w:rPr>
          <w:rFonts w:hint="eastAsia" w:ascii="仿宋_GB2312" w:hAnsi="仿宋_GB2312" w:eastAsia="仿宋_GB2312" w:cs="仿宋_GB2312"/>
          <w:color w:val="auto"/>
          <w:sz w:val="32"/>
          <w:szCs w:val="32"/>
          <w:highlight w:val="none"/>
          <w:u w:val="none"/>
        </w:rPr>
        <w:t>0.1万元违约</w:t>
      </w:r>
      <w:r>
        <w:rPr>
          <w:rFonts w:hint="eastAsia" w:ascii="仿宋_GB2312" w:hAnsi="仿宋_GB2312" w:eastAsia="仿宋_GB2312" w:cs="仿宋_GB2312"/>
          <w:color w:val="auto"/>
          <w:sz w:val="32"/>
          <w:szCs w:val="32"/>
          <w:highlight w:val="none"/>
          <w:u w:val="none"/>
          <w:lang w:val="en-US" w:eastAsia="zh-CN"/>
        </w:rPr>
        <w:t>金</w:t>
      </w:r>
      <w:r>
        <w:rPr>
          <w:rFonts w:hint="eastAsia" w:ascii="仿宋_GB2312" w:hAnsi="仿宋_GB2312" w:eastAsia="仿宋_GB2312" w:cs="仿宋_GB2312"/>
          <w:color w:val="auto"/>
          <w:sz w:val="32"/>
          <w:szCs w:val="32"/>
          <w:highlight w:val="none"/>
          <w:u w:val="none"/>
        </w:rPr>
        <w:t>。承包人项目经理应每周在工地现场召开工程例会，未经发包人书面批准缺席例会，承担一次一般违约责任。若项目开工后，项目经理一直未到施工现场，经发包人催促后仍未在规定时间内到达，发包人有权单方面解除合同，由此造成的损失由承包人承担。违约金限期10日历天内缴纳至发包人财务管理部，逾期不缴纳的，追究2倍违约</w:t>
      </w:r>
      <w:r>
        <w:rPr>
          <w:rFonts w:hint="eastAsia" w:ascii="仿宋_GB2312" w:hAnsi="仿宋_GB2312" w:eastAsia="仿宋_GB2312" w:cs="仿宋_GB2312"/>
          <w:color w:val="auto"/>
          <w:sz w:val="32"/>
          <w:szCs w:val="32"/>
          <w:highlight w:val="none"/>
          <w:u w:val="none"/>
          <w:lang w:val="en-US" w:eastAsia="zh-CN"/>
        </w:rPr>
        <w:t>金</w:t>
      </w:r>
      <w:r>
        <w:rPr>
          <w:rFonts w:hint="eastAsia" w:ascii="仿宋_GB2312" w:hAnsi="仿宋_GB2312" w:eastAsia="仿宋_GB2312" w:cs="仿宋_GB2312"/>
          <w:color w:val="auto"/>
          <w:sz w:val="32"/>
          <w:szCs w:val="32"/>
          <w:highlight w:val="none"/>
          <w:u w:val="none"/>
        </w:rPr>
        <w:t>，拒不缴纳的，在工程进度款中3倍扣除，计入工程竣工结算</w:t>
      </w:r>
      <w:r>
        <w:rPr>
          <w:rFonts w:hint="eastAsia" w:ascii="仿宋_GB2312" w:hAnsi="仿宋_GB2312" w:eastAsia="仿宋_GB2312" w:cs="仿宋_GB2312"/>
          <w:color w:val="auto"/>
          <w:sz w:val="32"/>
          <w:szCs w:val="32"/>
          <w:highlight w:val="none"/>
        </w:rPr>
        <w:t>。</w:t>
      </w:r>
    </w:p>
    <w:p w14:paraId="19FC475D">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承包人未提交劳动合同，以及没有为项目经理缴纳社会保险证明的违约责任：</w:t>
      </w:r>
      <w:r>
        <w:rPr>
          <w:rFonts w:hint="eastAsia" w:ascii="仿宋_GB2312" w:hAnsi="仿宋_GB2312" w:eastAsia="仿宋_GB2312" w:cs="仿宋_GB2312"/>
          <w:color w:val="auto"/>
          <w:sz w:val="32"/>
          <w:szCs w:val="32"/>
          <w:highlight w:val="none"/>
          <w:u w:val="none"/>
        </w:rPr>
        <w:t>发包人有权要求承包人限期提交劳动合同及为项目经理缴纳社会保险证明等相关文件，如承包人未在限期内提交该资料，</w:t>
      </w:r>
      <w:r>
        <w:rPr>
          <w:rFonts w:hint="eastAsia" w:ascii="仿宋_GB2312" w:hAnsi="仿宋_GB2312" w:eastAsia="仿宋_GB2312" w:cs="仿宋_GB2312"/>
          <w:color w:val="auto"/>
          <w:kern w:val="0"/>
          <w:sz w:val="32"/>
          <w:szCs w:val="32"/>
          <w:highlight w:val="none"/>
          <w:u w:val="none"/>
        </w:rPr>
        <w:t>承包人需向发包人支付3万元违约金</w:t>
      </w:r>
      <w:r>
        <w:rPr>
          <w:rFonts w:hint="eastAsia" w:ascii="仿宋_GB2312" w:hAnsi="仿宋_GB2312" w:eastAsia="仿宋_GB2312" w:cs="仿宋_GB2312"/>
          <w:color w:val="auto"/>
          <w:sz w:val="32"/>
          <w:szCs w:val="32"/>
          <w:highlight w:val="none"/>
          <w:u w:val="none"/>
        </w:rPr>
        <w:t>，并责令承包人限期提交劳动合同并</w:t>
      </w:r>
      <w:r>
        <w:rPr>
          <w:rFonts w:hint="eastAsia" w:ascii="仿宋_GB2312" w:hAnsi="仿宋_GB2312" w:eastAsia="仿宋_GB2312" w:cs="仿宋_GB2312"/>
          <w:color w:val="auto"/>
          <w:sz w:val="32"/>
          <w:szCs w:val="32"/>
          <w:highlight w:val="none"/>
          <w:u w:val="none"/>
          <w:lang w:eastAsia="zh-CN"/>
        </w:rPr>
        <w:t>补缴</w:t>
      </w:r>
      <w:r>
        <w:rPr>
          <w:rFonts w:hint="eastAsia" w:ascii="仿宋_GB2312" w:hAnsi="仿宋_GB2312" w:eastAsia="仿宋_GB2312" w:cs="仿宋_GB2312"/>
          <w:color w:val="auto"/>
          <w:sz w:val="32"/>
          <w:szCs w:val="32"/>
          <w:highlight w:val="none"/>
          <w:u w:val="none"/>
        </w:rPr>
        <w:t>社会保险，且发包人有权单方面解除合同，由此造成的损失由承包人承担</w:t>
      </w:r>
      <w:r>
        <w:rPr>
          <w:rFonts w:hint="eastAsia" w:ascii="仿宋_GB2312" w:hAnsi="仿宋_GB2312" w:eastAsia="仿宋_GB2312" w:cs="仿宋_GB2312"/>
          <w:color w:val="auto"/>
          <w:sz w:val="32"/>
          <w:szCs w:val="32"/>
          <w:highlight w:val="none"/>
        </w:rPr>
        <w:t>。</w:t>
      </w:r>
    </w:p>
    <w:p w14:paraId="1452A7E7">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kern w:val="0"/>
          <w:sz w:val="32"/>
          <w:szCs w:val="32"/>
          <w:highlight w:val="none"/>
        </w:rPr>
        <w:t>项目经理未经批准，擅自离开施工现场的违约责任：</w:t>
      </w:r>
      <w:r>
        <w:rPr>
          <w:rFonts w:hint="eastAsia" w:ascii="仿宋_GB2312" w:hAnsi="仿宋_GB2312" w:eastAsia="仿宋_GB2312" w:cs="仿宋_GB2312"/>
          <w:color w:val="auto"/>
          <w:sz w:val="32"/>
          <w:szCs w:val="32"/>
          <w:highlight w:val="none"/>
          <w:u w:val="none"/>
        </w:rPr>
        <w:t>项目经理未经发包人批准，擅自离开施工现场，承包人应向发包人支付违约金0.5万元/人*天，当月超过8日发包人有权要求承包人更换项目经理</w:t>
      </w:r>
      <w:r>
        <w:rPr>
          <w:rFonts w:hint="eastAsia" w:ascii="仿宋_GB2312" w:hAnsi="仿宋_GB2312" w:eastAsia="仿宋_GB2312" w:cs="仿宋_GB2312"/>
          <w:color w:val="auto"/>
          <w:sz w:val="32"/>
          <w:szCs w:val="32"/>
          <w:highlight w:val="none"/>
        </w:rPr>
        <w:t>。</w:t>
      </w:r>
    </w:p>
    <w:p w14:paraId="26C2340B">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rPr>
        <w:t>3.2.3 承包人擅自更换项目经理的违约责任：</w:t>
      </w:r>
      <w:r>
        <w:rPr>
          <w:rFonts w:hint="eastAsia" w:ascii="仿宋_GB2312" w:hAnsi="仿宋_GB2312" w:eastAsia="仿宋_GB2312" w:cs="仿宋_GB2312"/>
          <w:color w:val="auto"/>
          <w:sz w:val="32"/>
          <w:szCs w:val="32"/>
          <w:highlight w:val="none"/>
          <w:u w:val="none"/>
        </w:rPr>
        <w:t>除</w:t>
      </w:r>
      <w:r>
        <w:rPr>
          <w:rFonts w:hint="eastAsia" w:ascii="仿宋_GB2312" w:hAnsi="仿宋_GB2312" w:eastAsia="仿宋_GB2312" w:cs="仿宋_GB2312"/>
          <w:color w:val="auto"/>
          <w:sz w:val="32"/>
          <w:szCs w:val="32"/>
          <w:highlight w:val="none"/>
          <w:u w:val="none"/>
          <w:lang w:val="en-US" w:eastAsia="zh-CN"/>
        </w:rPr>
        <w:t>现行</w:t>
      </w:r>
      <w:r>
        <w:rPr>
          <w:rFonts w:hint="eastAsia" w:ascii="仿宋_GB2312" w:hAnsi="仿宋_GB2312" w:eastAsia="仿宋_GB2312" w:cs="仿宋_GB2312"/>
          <w:color w:val="auto"/>
          <w:sz w:val="32"/>
          <w:szCs w:val="32"/>
          <w:highlight w:val="none"/>
          <w:u w:val="none"/>
        </w:rPr>
        <w:t>《海南省建筑工程施工现场关键岗位人员配备和在岗履职管理办法》规定的情形外，项目关键岗位成员不得擅自更换和撤离。如符合更换条件的，更换关键岗位人员的执业（职称）资格等级不得低于更换前，人员更换的比例原则上不得超过项目部关键岗位总人数的最高比例限值（其中，①实际工期12个月（含）以下的更换比例不得</w:t>
      </w:r>
      <w:r>
        <w:rPr>
          <w:rFonts w:hint="eastAsia" w:ascii="仿宋_GB2312" w:hAnsi="仿宋_GB2312" w:eastAsia="仿宋_GB2312" w:cs="仿宋_GB2312"/>
          <w:color w:val="auto"/>
          <w:sz w:val="32"/>
          <w:szCs w:val="32"/>
          <w:highlight w:val="none"/>
          <w:u w:val="none"/>
          <w:lang w:eastAsia="zh-CN"/>
        </w:rPr>
        <w:t>超过</w:t>
      </w:r>
      <w:r>
        <w:rPr>
          <w:rFonts w:hint="eastAsia" w:ascii="仿宋_GB2312" w:hAnsi="仿宋_GB2312" w:eastAsia="仿宋_GB2312" w:cs="仿宋_GB2312"/>
          <w:color w:val="auto"/>
          <w:sz w:val="32"/>
          <w:szCs w:val="32"/>
          <w:highlight w:val="none"/>
          <w:u w:val="none"/>
        </w:rPr>
        <w:t>30%；②实际工期大于12个月（不含）的更换比例不得</w:t>
      </w:r>
      <w:r>
        <w:rPr>
          <w:rFonts w:hint="eastAsia" w:ascii="仿宋_GB2312" w:hAnsi="仿宋_GB2312" w:eastAsia="仿宋_GB2312" w:cs="仿宋_GB2312"/>
          <w:color w:val="auto"/>
          <w:sz w:val="32"/>
          <w:szCs w:val="32"/>
          <w:highlight w:val="none"/>
          <w:u w:val="none"/>
          <w:lang w:eastAsia="zh-CN"/>
        </w:rPr>
        <w:t>超过</w:t>
      </w:r>
      <w:r>
        <w:rPr>
          <w:rFonts w:hint="eastAsia" w:ascii="仿宋_GB2312" w:hAnsi="仿宋_GB2312" w:eastAsia="仿宋_GB2312" w:cs="仿宋_GB2312"/>
          <w:color w:val="auto"/>
          <w:sz w:val="32"/>
          <w:szCs w:val="32"/>
          <w:highlight w:val="none"/>
          <w:u w:val="none"/>
        </w:rPr>
        <w:t>50%）。项目关键岗位成员更换需经过发包人同意并报上级主管部门备案，承包人还需按《海南省建筑市场诚信评价管理办法（试行）》的规定向发包人缴纳违约金，具体如下：</w:t>
      </w:r>
    </w:p>
    <w:p w14:paraId="4C5B6D0A">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①未经发包人书面同意，承包人擅自更换工程总承包项目经理或工程总承包项目经理兼职</w:t>
      </w:r>
      <w:r>
        <w:rPr>
          <w:rFonts w:hint="eastAsia" w:ascii="仿宋_GB2312" w:hAnsi="仿宋_GB2312" w:eastAsia="仿宋_GB2312" w:cs="仿宋_GB2312"/>
          <w:color w:val="auto"/>
          <w:sz w:val="32"/>
          <w:szCs w:val="32"/>
          <w:highlight w:val="none"/>
          <w:u w:val="none"/>
          <w:lang w:eastAsia="zh-CN"/>
        </w:rPr>
        <w:t>其他</w:t>
      </w:r>
      <w:r>
        <w:rPr>
          <w:rFonts w:hint="eastAsia" w:ascii="仿宋_GB2312" w:hAnsi="仿宋_GB2312" w:eastAsia="仿宋_GB2312" w:cs="仿宋_GB2312"/>
          <w:color w:val="auto"/>
          <w:sz w:val="32"/>
          <w:szCs w:val="32"/>
          <w:highlight w:val="none"/>
          <w:u w:val="none"/>
        </w:rPr>
        <w:t>在建项目的关键岗位的，承包人每次向发包人支付签约合同总价金额5‰的违约金，每次最低不少于人民币20万元；</w:t>
      </w:r>
    </w:p>
    <w:p w14:paraId="6448A23A">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②未经发包人书面同意，承包人擅自更换</w:t>
      </w:r>
      <w:r>
        <w:rPr>
          <w:rFonts w:hint="eastAsia" w:ascii="仿宋_GB2312" w:hAnsi="仿宋_GB2312" w:eastAsia="仿宋_GB2312" w:cs="仿宋_GB2312"/>
          <w:color w:val="auto"/>
          <w:sz w:val="32"/>
          <w:szCs w:val="32"/>
          <w:highlight w:val="none"/>
          <w:u w:val="none"/>
          <w:lang w:eastAsia="zh-CN"/>
        </w:rPr>
        <w:t>其他</w:t>
      </w:r>
      <w:r>
        <w:rPr>
          <w:rFonts w:hint="eastAsia" w:ascii="仿宋_GB2312" w:hAnsi="仿宋_GB2312" w:eastAsia="仿宋_GB2312" w:cs="仿宋_GB2312"/>
          <w:color w:val="auto"/>
          <w:sz w:val="32"/>
          <w:szCs w:val="32"/>
          <w:highlight w:val="none"/>
          <w:u w:val="none"/>
        </w:rPr>
        <w:t>关键岗位人员</w:t>
      </w:r>
      <w:r>
        <w:rPr>
          <w:rFonts w:hint="eastAsia" w:ascii="仿宋_GB2312" w:hAnsi="仿宋_GB2312" w:eastAsia="仿宋_GB2312" w:cs="仿宋_GB2312"/>
          <w:color w:val="auto"/>
          <w:sz w:val="32"/>
          <w:szCs w:val="32"/>
          <w:highlight w:val="none"/>
          <w:u w:val="none"/>
          <w:lang w:eastAsia="zh-CN"/>
        </w:rPr>
        <w:t>或其他</w:t>
      </w:r>
      <w:r>
        <w:rPr>
          <w:rFonts w:hint="eastAsia" w:ascii="仿宋_GB2312" w:hAnsi="仿宋_GB2312" w:eastAsia="仿宋_GB2312" w:cs="仿宋_GB2312"/>
          <w:color w:val="auto"/>
          <w:sz w:val="32"/>
          <w:szCs w:val="32"/>
          <w:highlight w:val="none"/>
          <w:u w:val="none"/>
        </w:rPr>
        <w:t>关键岗位人员兼职其他在建项目的关键岗位的，承包人每人次向发包人支付签约合同价1‰的违约金，每人次最低不少于人民币2万元；</w:t>
      </w:r>
    </w:p>
    <w:p w14:paraId="2D33DD62">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③关键岗位人员更换比例超过最高比例限值的，承包人应进行整改，拒不整改的，发包人有权解除合同。</w:t>
      </w:r>
    </w:p>
    <w:p w14:paraId="15773AF6">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④事先征得发包人的书面同意，每更换一次项目经理，处以违约金10万元；施工企业其他关键岗位人员每更换一人次，处以2万元违约金。</w:t>
      </w:r>
    </w:p>
    <w:p w14:paraId="28C52814">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违约处罚金限期10日历天内缴纳至发包人财务管理部，逾期不缴纳的，追究2倍违约处罚，拒不缴纳的，在工程进度款中3倍扣除，计入工程竣工结算。</w:t>
      </w:r>
    </w:p>
    <w:p w14:paraId="01E2D66B">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rPr>
        <w:t>3.2.4 承包人无正当理由拒绝更换项目经理的违约</w:t>
      </w:r>
      <w:r>
        <w:rPr>
          <w:rFonts w:hint="eastAsia" w:ascii="仿宋_GB2312" w:hAnsi="仿宋_GB2312" w:eastAsia="仿宋_GB2312" w:cs="仿宋_GB2312"/>
          <w:color w:val="auto"/>
          <w:sz w:val="32"/>
          <w:szCs w:val="32"/>
          <w:highlight w:val="none"/>
          <w:u w:val="none"/>
        </w:rPr>
        <w:t>责任：因项目经理不称职，不能满足工程需要，不胜任或不符合发包人要求，经发包人提出更换项目经理的，承包人必须在48小时内响应，自接到发包人通知后7天内更换项目经理，并调离本工程范围，每逾期1天承包人应向发包人支付0.5万元的违约金，由发包人从承包人工程款中扣除，逾期超过30天仍拒不更换的，发包人有权单方面解除合同，由此造成的损失由承包人承担。</w:t>
      </w:r>
    </w:p>
    <w:p w14:paraId="7488BCA1">
      <w:pPr>
        <w:pageBreakBefore w:val="0"/>
        <w:kinsoku/>
        <w:wordWrap/>
        <w:overflowPunct/>
        <w:topLinePunct w:val="0"/>
        <w:bidi w:val="0"/>
        <w:adjustRightInd w:val="0"/>
        <w:snapToGrid w:val="0"/>
        <w:spacing w:line="560" w:lineRule="exact"/>
        <w:ind w:firstLine="640" w:firstLineChars="200"/>
        <w:jc w:val="both"/>
        <w:outlineLvl w:val="9"/>
        <w:rPr>
          <w:rFonts w:hint="eastAsia" w:ascii="仿宋_GB2312" w:hAnsi="仿宋_GB2312" w:eastAsia="仿宋_GB2312" w:cs="仿宋_GB2312"/>
          <w:color w:val="auto"/>
          <w:sz w:val="32"/>
          <w:szCs w:val="32"/>
          <w:highlight w:val="none"/>
          <w:u w:val="none"/>
        </w:rPr>
      </w:pPr>
      <w:bookmarkStart w:id="1938" w:name="_Toc18157"/>
      <w:bookmarkStart w:id="1939" w:name="_Toc23101"/>
      <w:bookmarkStart w:id="1940" w:name="_Toc4057"/>
      <w:bookmarkStart w:id="1941" w:name="_Toc5388"/>
      <w:bookmarkStart w:id="1942" w:name="_Toc24070"/>
      <w:bookmarkStart w:id="1943" w:name="_Toc15436"/>
      <w:bookmarkStart w:id="1944" w:name="_Toc29161"/>
      <w:bookmarkStart w:id="1945" w:name="_Toc7869"/>
      <w:r>
        <w:rPr>
          <w:rFonts w:hint="eastAsia" w:ascii="仿宋_GB2312" w:hAnsi="仿宋_GB2312" w:eastAsia="仿宋_GB2312" w:cs="仿宋_GB2312"/>
          <w:color w:val="auto"/>
          <w:sz w:val="32"/>
          <w:szCs w:val="32"/>
          <w:highlight w:val="none"/>
          <w:u w:val="none"/>
        </w:rPr>
        <w:t>3.3 承包人人员</w:t>
      </w:r>
      <w:bookmarkEnd w:id="1938"/>
      <w:bookmarkEnd w:id="1939"/>
      <w:bookmarkEnd w:id="1940"/>
      <w:bookmarkEnd w:id="1941"/>
      <w:bookmarkEnd w:id="1942"/>
      <w:bookmarkEnd w:id="1943"/>
      <w:bookmarkEnd w:id="1944"/>
      <w:bookmarkEnd w:id="1945"/>
    </w:p>
    <w:p w14:paraId="4EDA39C0">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3.3.1 承包人提交项目管理机构及施工现场管理人员安排报告的期限：承包人应在接到开工通知后7天内，向监理人提交承包人项目管理机构及施工现场人员安排的报告，其内容应包括合同管理、施工、技术、材料、质量、安全、财务等主要施工管理人员名单及其岗位、注册执业资格等，以及各工种技术工人的安排情况，并同时提交主要施工管理人员与承包人之间的劳动关系证明和缴纳社会保险的有效证明。</w:t>
      </w:r>
    </w:p>
    <w:p w14:paraId="5470E389">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3.3.3 承包人无正当理由拒绝撤换主要施工管理人员的违约责任：因主要施工管理人员不称职，不能满足工程需要，不胜任或不符合发包人要求，经发包人提出更换主要施工管理人员（不包括项目经理），承包人无正当理由拒绝撤换主要施工管理人员的，需向发包人支付违约金0.1万元/人*天，并承担上述违约给发包人造成的一切损失。</w:t>
      </w:r>
    </w:p>
    <w:p w14:paraId="19673B98">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3.3.4 承包人主要施工管理人员离开施工现场的批准要求：承包人的主要施工管理人员离开施工现场每月累计不超过5天的，应报监理人同意，由总监理工程师批准</w:t>
      </w:r>
      <w:r>
        <w:rPr>
          <w:rFonts w:hint="eastAsia" w:ascii="仿宋_GB2312" w:hAnsi="仿宋_GB2312" w:eastAsia="仿宋_GB2312" w:cs="仿宋_GB2312"/>
          <w:color w:val="auto"/>
          <w:sz w:val="32"/>
          <w:szCs w:val="32"/>
          <w:highlight w:val="none"/>
          <w:u w:val="none"/>
          <w:lang w:eastAsia="zh-CN"/>
        </w:rPr>
        <w:t>，经</w:t>
      </w:r>
      <w:r>
        <w:rPr>
          <w:rFonts w:hint="eastAsia" w:ascii="仿宋_GB2312" w:hAnsi="仿宋_GB2312" w:eastAsia="仿宋_GB2312" w:cs="仿宋_GB2312"/>
          <w:color w:val="auto"/>
          <w:sz w:val="32"/>
          <w:szCs w:val="32"/>
          <w:highlight w:val="none"/>
          <w:u w:val="none"/>
        </w:rPr>
        <w:t>发包人批准后方可离开；离开施工现场每月累计超过5天的，应通知监理人，并征得发包人书面同意。主要施工管理人员离开施工现场前应指定一名有经验的人员临时代行其职责，该人员应具备履行相应职责的资格和能力，且应征得监理人或发包人的同意。</w:t>
      </w:r>
    </w:p>
    <w:p w14:paraId="3E049ED7">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3.3.5承包人擅自更换主要施工管理人员的违约责任：详见本合同专用条款3.2.3。</w:t>
      </w:r>
    </w:p>
    <w:p w14:paraId="039ACFF2">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承包人主要施工管理人员（不包括项目经理）擅自离开施工现场的违约责任：经发包人进行考核在岗率不满足的，每出现一次罚款0.3万元/人/次。</w:t>
      </w:r>
    </w:p>
    <w:p w14:paraId="11BCEC64">
      <w:pPr>
        <w:pageBreakBefore w:val="0"/>
        <w:kinsoku/>
        <w:wordWrap/>
        <w:overflowPunct/>
        <w:topLinePunct w:val="0"/>
        <w:bidi w:val="0"/>
        <w:adjustRightInd w:val="0"/>
        <w:snapToGrid w:val="0"/>
        <w:spacing w:line="560" w:lineRule="exact"/>
        <w:ind w:firstLine="640" w:firstLineChars="200"/>
        <w:jc w:val="both"/>
        <w:outlineLvl w:val="9"/>
        <w:rPr>
          <w:rFonts w:hint="eastAsia" w:ascii="仿宋_GB2312" w:hAnsi="仿宋_GB2312" w:eastAsia="仿宋_GB2312" w:cs="仿宋_GB2312"/>
          <w:color w:val="auto"/>
          <w:sz w:val="32"/>
          <w:szCs w:val="32"/>
          <w:highlight w:val="none"/>
          <w:u w:val="none"/>
          <w:lang w:val="en-US" w:eastAsia="zh-CN"/>
        </w:rPr>
      </w:pPr>
      <w:bookmarkStart w:id="1946" w:name="_Toc20757"/>
      <w:bookmarkStart w:id="1947" w:name="_Toc23313"/>
      <w:bookmarkStart w:id="1948" w:name="_Toc13763"/>
      <w:bookmarkStart w:id="1949" w:name="_Toc2610"/>
      <w:bookmarkStart w:id="1950" w:name="_Toc13593"/>
      <w:bookmarkStart w:id="1951" w:name="_Toc30581"/>
      <w:bookmarkStart w:id="1952" w:name="_Toc14336"/>
      <w:bookmarkStart w:id="1953" w:name="_Toc296944498"/>
      <w:bookmarkStart w:id="1954" w:name="_Toc297120459"/>
      <w:bookmarkStart w:id="1955" w:name="_Toc303539102"/>
      <w:bookmarkStart w:id="1956" w:name="_Toc304295523"/>
      <w:bookmarkStart w:id="1957" w:name="_Toc296347158"/>
      <w:bookmarkStart w:id="1958" w:name="_Toc292559869"/>
      <w:bookmarkStart w:id="1959" w:name="_Toc296503159"/>
      <w:bookmarkStart w:id="1960" w:name="_Toc297048345"/>
      <w:bookmarkStart w:id="1961" w:name="_Toc297123492"/>
      <w:bookmarkStart w:id="1962" w:name="_Toc10974"/>
      <w:bookmarkStart w:id="1963" w:name="_Toc16353"/>
      <w:bookmarkStart w:id="1964" w:name="_Toc300934945"/>
      <w:bookmarkStart w:id="1965" w:name="_Toc312677988"/>
      <w:bookmarkStart w:id="1966" w:name="_Toc296890987"/>
      <w:bookmarkStart w:id="1967" w:name="_Toc297216151"/>
      <w:bookmarkStart w:id="1968" w:name="_Toc296891199"/>
      <w:bookmarkStart w:id="1969" w:name="_Toc296346660"/>
      <w:bookmarkStart w:id="1970" w:name="_Toc292559364"/>
      <w:r>
        <w:rPr>
          <w:rFonts w:hint="eastAsia" w:ascii="仿宋_GB2312" w:hAnsi="仿宋_GB2312" w:eastAsia="仿宋_GB2312" w:cs="仿宋_GB2312"/>
          <w:color w:val="auto"/>
          <w:sz w:val="32"/>
          <w:szCs w:val="32"/>
          <w:highlight w:val="none"/>
          <w:u w:val="none"/>
          <w:lang w:val="en-US" w:eastAsia="zh-CN"/>
        </w:rPr>
        <w:t>3.3.6承包人应按投标文件承诺、招标文件要求及相关法律法规、地方管理办法（或地方条例）等的规定配备现场关键岗位人员；</w:t>
      </w:r>
      <w:r>
        <w:rPr>
          <w:rFonts w:hint="eastAsia" w:ascii="仿宋_GB2312" w:hAnsi="仿宋_GB2312" w:eastAsia="仿宋_GB2312" w:cs="仿宋_GB2312"/>
          <w:kern w:val="0"/>
          <w:sz w:val="32"/>
          <w:szCs w:val="32"/>
          <w:u w:val="none"/>
          <w:lang w:val="en-US" w:eastAsia="zh-CN"/>
        </w:rPr>
        <w:t>承包人应根据工程项目施工进度安排，编制人力资源配备计划，分阶段配备关键岗位人员，报发包人同意和项目所在地住房城乡建设主管部门（包括其委托的工程质量安全监督机构）备案后，按该人力资源配备计划实施。</w:t>
      </w:r>
      <w:r>
        <w:rPr>
          <w:rFonts w:hint="eastAsia" w:ascii="仿宋_GB2312" w:hAnsi="仿宋_GB2312" w:eastAsia="仿宋_GB2312" w:cs="仿宋_GB2312"/>
          <w:color w:val="auto"/>
          <w:sz w:val="32"/>
          <w:szCs w:val="32"/>
          <w:highlight w:val="none"/>
          <w:u w:val="none"/>
          <w:lang w:val="en-US" w:eastAsia="zh-CN"/>
        </w:rPr>
        <w:t>本项目配备的关键岗位人员不得重复参与其他项目投标；除发包人书面同意且现行《海南省建筑工程施工现场关键岗位人员配备和在岗履职管理办法》有明确规定外，关键岗位人员不得同时在其他建筑工程项目中任职，也不得在本项目上兼任其他岗位；承包人违反上述任一约定的，应按下列约定向发包人承担违约责任：①未按合同约定配备项目经理的，承包人应当按照发包人要求限期纠正违约行为并向发包人支付签约合同金额0.1‰/次的违约金，且每次最低不少于人民币1万元；②未按投标文件承诺配备其他关键岗位人员或其他关键岗位人员重复参与其他项目投标或在其他建筑工程项目中任职或在本项目上兼任其他岗位的，应当按照发包人要求限期纠正违约行为并按每人次向发包人支付签约合同金额0.05‰的违约金，且每人次最低不少于人民币0.5万元。同时发包人可视实际情况向行政主管部门上报，并有权单方解除合同。</w:t>
      </w:r>
      <w:bookmarkEnd w:id="1946"/>
      <w:bookmarkEnd w:id="1947"/>
      <w:bookmarkEnd w:id="1948"/>
      <w:bookmarkEnd w:id="1949"/>
      <w:bookmarkEnd w:id="1950"/>
      <w:bookmarkEnd w:id="1951"/>
      <w:bookmarkEnd w:id="1952"/>
    </w:p>
    <w:p w14:paraId="35DD526A">
      <w:pPr>
        <w:pageBreakBefore w:val="0"/>
        <w:kinsoku/>
        <w:wordWrap/>
        <w:overflowPunct/>
        <w:topLinePunct w:val="0"/>
        <w:bidi w:val="0"/>
        <w:adjustRightInd w:val="0"/>
        <w:snapToGrid w:val="0"/>
        <w:spacing w:line="560" w:lineRule="exact"/>
        <w:ind w:firstLine="640" w:firstLineChars="200"/>
        <w:jc w:val="both"/>
        <w:outlineLvl w:val="9"/>
        <w:rPr>
          <w:rFonts w:hint="eastAsia" w:ascii="仿宋_GB2312" w:hAnsi="仿宋_GB2312" w:eastAsia="仿宋_GB2312" w:cs="仿宋_GB2312"/>
          <w:color w:val="auto"/>
          <w:sz w:val="32"/>
          <w:szCs w:val="32"/>
          <w:highlight w:val="none"/>
          <w:u w:val="none"/>
        </w:rPr>
      </w:pPr>
      <w:bookmarkStart w:id="1971" w:name="_Toc26942"/>
      <w:bookmarkStart w:id="1972" w:name="_Toc31814"/>
      <w:bookmarkStart w:id="1973" w:name="_Toc10967"/>
      <w:bookmarkStart w:id="1974" w:name="_Toc23383"/>
      <w:bookmarkStart w:id="1975" w:name="_Toc15294"/>
      <w:bookmarkStart w:id="1976" w:name="_Toc12709"/>
      <w:r>
        <w:rPr>
          <w:rFonts w:hint="eastAsia" w:ascii="仿宋_GB2312" w:hAnsi="仿宋_GB2312" w:eastAsia="仿宋_GB2312" w:cs="仿宋_GB2312"/>
          <w:color w:val="auto"/>
          <w:sz w:val="32"/>
          <w:szCs w:val="32"/>
          <w:highlight w:val="none"/>
          <w:u w:val="none"/>
        </w:rPr>
        <w:t>3.5 分包</w:t>
      </w:r>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p>
    <w:p w14:paraId="4E01DFFD">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bookmarkStart w:id="1977" w:name="_Toc297216152"/>
      <w:bookmarkStart w:id="1978" w:name="_Toc297123493"/>
      <w:bookmarkStart w:id="1979" w:name="_Toc304295524"/>
      <w:bookmarkStart w:id="1980" w:name="_Toc296890988"/>
      <w:bookmarkStart w:id="1981" w:name="_Toc296891200"/>
      <w:bookmarkStart w:id="1982" w:name="_Toc296944499"/>
      <w:bookmarkStart w:id="1983" w:name="_Toc296346661"/>
      <w:bookmarkStart w:id="1984" w:name="_Toc296347159"/>
      <w:bookmarkStart w:id="1985" w:name="_Toc297120460"/>
      <w:bookmarkStart w:id="1986" w:name="_Toc300934946"/>
      <w:bookmarkStart w:id="1987" w:name="_Toc297048346"/>
      <w:bookmarkStart w:id="1988" w:name="_Toc292559870"/>
      <w:bookmarkStart w:id="1989" w:name="_Toc296503160"/>
      <w:bookmarkStart w:id="1990" w:name="_Toc303539103"/>
      <w:bookmarkStart w:id="1991" w:name="_Toc292559365"/>
      <w:bookmarkStart w:id="1992" w:name="_Toc318581158"/>
      <w:bookmarkStart w:id="1993" w:name="_Toc312677989"/>
      <w:r>
        <w:rPr>
          <w:rFonts w:hint="eastAsia" w:ascii="仿宋_GB2312" w:hAnsi="仿宋_GB2312" w:eastAsia="仿宋_GB2312" w:cs="仿宋_GB2312"/>
          <w:color w:val="auto"/>
          <w:sz w:val="32"/>
          <w:szCs w:val="32"/>
          <w:highlight w:val="none"/>
          <w:u w:val="none"/>
        </w:rPr>
        <w:t>3.5.1 分包的一般约定</w:t>
      </w:r>
    </w:p>
    <w:p w14:paraId="15AACFA1">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禁止分包的工程包括：</w:t>
      </w:r>
      <w:r>
        <w:rPr>
          <w:rFonts w:hint="eastAsia" w:ascii="仿宋_GB2312" w:hAnsi="仿宋_GB2312" w:eastAsia="仿宋_GB2312" w:cs="仿宋_GB2312"/>
          <w:sz w:val="32"/>
          <w:szCs w:val="32"/>
          <w:u w:val="none"/>
        </w:rPr>
        <w:t>工程主体结构、关键性工作、专业工程</w:t>
      </w:r>
      <w:r>
        <w:rPr>
          <w:rFonts w:hint="eastAsia" w:ascii="仿宋_GB2312" w:hAnsi="仿宋_GB2312" w:eastAsia="仿宋_GB2312" w:cs="仿宋_GB2312"/>
          <w:color w:val="auto"/>
          <w:sz w:val="32"/>
          <w:szCs w:val="32"/>
          <w:highlight w:val="none"/>
          <w:u w:val="none"/>
        </w:rPr>
        <w:t>，且承包人不得以劳务分包的名义转包或违法分包工程。</w:t>
      </w:r>
    </w:p>
    <w:p w14:paraId="4E0986DF">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主体结构、关键性工作的范围：按国家法律法规、部门规章及地方性法规及规范性文件规定执行</w:t>
      </w:r>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Start w:id="1994" w:name="_Toc297216153"/>
      <w:bookmarkStart w:id="1995" w:name="_Toc296890989"/>
      <w:bookmarkStart w:id="1996" w:name="_Toc300934947"/>
      <w:bookmarkStart w:id="1997" w:name="_Toc296346662"/>
      <w:bookmarkStart w:id="1998" w:name="_Toc304295525"/>
      <w:bookmarkStart w:id="1999" w:name="_Toc296944500"/>
      <w:bookmarkStart w:id="2000" w:name="_Toc296347160"/>
      <w:bookmarkStart w:id="2001" w:name="_Toc296891201"/>
      <w:bookmarkStart w:id="2002" w:name="_Toc297048347"/>
      <w:bookmarkStart w:id="2003" w:name="_Toc296503161"/>
      <w:bookmarkStart w:id="2004" w:name="_Toc297120461"/>
      <w:bookmarkStart w:id="2005" w:name="_Toc297123494"/>
      <w:bookmarkStart w:id="2006" w:name="_Toc303539104"/>
      <w:r>
        <w:rPr>
          <w:rFonts w:hint="eastAsia" w:ascii="仿宋_GB2312" w:hAnsi="仿宋_GB2312" w:eastAsia="仿宋_GB2312" w:cs="仿宋_GB2312"/>
          <w:color w:val="auto"/>
          <w:sz w:val="32"/>
          <w:szCs w:val="32"/>
          <w:highlight w:val="none"/>
          <w:u w:val="none"/>
        </w:rPr>
        <w:t>。</w:t>
      </w:r>
    </w:p>
    <w:p w14:paraId="5B660669">
      <w:pPr>
        <w:pageBreakBefore w:val="0"/>
        <w:widowControl/>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lang w:val="en-US" w:eastAsia="zh-CN"/>
        </w:rPr>
        <w:t>承包人</w:t>
      </w:r>
      <w:r>
        <w:rPr>
          <w:rFonts w:hint="eastAsia" w:ascii="仿宋_GB2312" w:hAnsi="仿宋_GB2312" w:eastAsia="仿宋_GB2312" w:cs="仿宋_GB2312"/>
          <w:color w:val="auto"/>
          <w:sz w:val="32"/>
          <w:szCs w:val="32"/>
          <w:highlight w:val="none"/>
          <w:u w:val="none"/>
        </w:rPr>
        <w:t>不</w:t>
      </w:r>
      <w:r>
        <w:rPr>
          <w:rFonts w:hint="eastAsia" w:ascii="仿宋_GB2312" w:hAnsi="仿宋_GB2312" w:eastAsia="仿宋_GB2312" w:cs="仿宋_GB2312"/>
          <w:color w:val="auto"/>
          <w:sz w:val="32"/>
          <w:szCs w:val="32"/>
          <w:highlight w:val="none"/>
          <w:u w:val="none"/>
          <w:lang w:val="en-US" w:eastAsia="zh-CN"/>
        </w:rPr>
        <w:t>得</w:t>
      </w:r>
      <w:r>
        <w:rPr>
          <w:rFonts w:hint="eastAsia" w:ascii="仿宋_GB2312" w:hAnsi="仿宋_GB2312" w:eastAsia="仿宋_GB2312" w:cs="仿宋_GB2312"/>
          <w:color w:val="auto"/>
          <w:sz w:val="32"/>
          <w:szCs w:val="32"/>
          <w:highlight w:val="none"/>
          <w:u w:val="none"/>
        </w:rPr>
        <w:t>转包或违法分包，若</w:t>
      </w:r>
      <w:r>
        <w:rPr>
          <w:rFonts w:hint="eastAsia" w:ascii="仿宋_GB2312" w:hAnsi="仿宋_GB2312" w:eastAsia="仿宋_GB2312" w:cs="仿宋_GB2312"/>
          <w:color w:val="auto"/>
          <w:sz w:val="32"/>
          <w:szCs w:val="32"/>
          <w:highlight w:val="none"/>
          <w:u w:val="none"/>
          <w:lang w:val="en-US" w:eastAsia="zh-CN"/>
        </w:rPr>
        <w:t>发现</w:t>
      </w:r>
      <w:r>
        <w:rPr>
          <w:rFonts w:hint="eastAsia" w:ascii="仿宋_GB2312" w:hAnsi="仿宋_GB2312" w:eastAsia="仿宋_GB2312" w:cs="仿宋_GB2312"/>
          <w:color w:val="auto"/>
          <w:sz w:val="32"/>
          <w:szCs w:val="32"/>
          <w:highlight w:val="none"/>
          <w:u w:val="none"/>
        </w:rPr>
        <w:t>承包人转包</w:t>
      </w:r>
      <w:r>
        <w:rPr>
          <w:rFonts w:hint="eastAsia" w:ascii="仿宋_GB2312" w:hAnsi="仿宋_GB2312" w:eastAsia="仿宋_GB2312" w:cs="仿宋_GB2312"/>
          <w:color w:val="auto"/>
          <w:sz w:val="32"/>
          <w:szCs w:val="32"/>
          <w:highlight w:val="none"/>
          <w:u w:val="none"/>
          <w:lang w:val="en-US" w:eastAsia="zh-CN"/>
        </w:rPr>
        <w:t>或</w:t>
      </w:r>
      <w:r>
        <w:rPr>
          <w:rFonts w:hint="eastAsia" w:ascii="仿宋_GB2312" w:hAnsi="仿宋_GB2312" w:eastAsia="仿宋_GB2312" w:cs="仿宋_GB2312"/>
          <w:color w:val="auto"/>
          <w:sz w:val="32"/>
          <w:szCs w:val="32"/>
          <w:highlight w:val="none"/>
          <w:u w:val="none"/>
        </w:rPr>
        <w:t>挂靠</w:t>
      </w:r>
      <w:r>
        <w:rPr>
          <w:rFonts w:hint="eastAsia" w:ascii="仿宋_GB2312" w:hAnsi="仿宋_GB2312" w:eastAsia="仿宋_GB2312" w:cs="仿宋_GB2312"/>
          <w:color w:val="auto"/>
          <w:sz w:val="32"/>
          <w:szCs w:val="32"/>
          <w:highlight w:val="none"/>
          <w:u w:val="none"/>
          <w:lang w:val="en-US" w:eastAsia="zh-CN"/>
        </w:rPr>
        <w:t>或</w:t>
      </w:r>
      <w:r>
        <w:rPr>
          <w:rFonts w:hint="eastAsia" w:ascii="仿宋_GB2312" w:hAnsi="仿宋_GB2312" w:eastAsia="仿宋_GB2312" w:cs="仿宋_GB2312"/>
          <w:color w:val="auto"/>
          <w:sz w:val="32"/>
          <w:szCs w:val="32"/>
          <w:highlight w:val="none"/>
          <w:u w:val="none"/>
        </w:rPr>
        <w:t>未经发包人书面</w:t>
      </w:r>
      <w:r>
        <w:rPr>
          <w:rFonts w:hint="eastAsia" w:ascii="仿宋_GB2312" w:hAnsi="仿宋_GB2312" w:eastAsia="仿宋_GB2312" w:cs="仿宋_GB2312"/>
          <w:color w:val="auto"/>
          <w:sz w:val="32"/>
          <w:szCs w:val="32"/>
          <w:highlight w:val="none"/>
          <w:u w:val="none"/>
          <w:lang w:val="en-US" w:eastAsia="zh-CN"/>
        </w:rPr>
        <w:t>同意</w:t>
      </w:r>
      <w:r>
        <w:rPr>
          <w:rFonts w:hint="eastAsia" w:ascii="仿宋_GB2312" w:hAnsi="仿宋_GB2312" w:eastAsia="仿宋_GB2312" w:cs="仿宋_GB2312"/>
          <w:color w:val="auto"/>
          <w:sz w:val="32"/>
          <w:szCs w:val="32"/>
          <w:highlight w:val="none"/>
          <w:u w:val="none"/>
        </w:rPr>
        <w:t>进行分包或任何其他第三方单位进场</w:t>
      </w:r>
      <w:r>
        <w:rPr>
          <w:rFonts w:hint="eastAsia" w:ascii="仿宋_GB2312" w:hAnsi="仿宋_GB2312" w:eastAsia="仿宋_GB2312" w:cs="仿宋_GB2312"/>
          <w:color w:val="auto"/>
          <w:sz w:val="32"/>
          <w:szCs w:val="32"/>
          <w:highlight w:val="none"/>
          <w:u w:val="none"/>
          <w:lang w:val="en-US" w:eastAsia="zh-CN"/>
        </w:rPr>
        <w:t>的</w:t>
      </w:r>
      <w:r>
        <w:rPr>
          <w:rFonts w:hint="eastAsia" w:ascii="仿宋_GB2312" w:hAnsi="仿宋_GB2312" w:eastAsia="仿宋_GB2312" w:cs="仿宋_GB2312"/>
          <w:color w:val="auto"/>
          <w:sz w:val="32"/>
          <w:szCs w:val="32"/>
          <w:highlight w:val="none"/>
          <w:u w:val="none"/>
        </w:rPr>
        <w:t>，发包人有权单方解除合同，一切损失和后果均由承包人承担，同时承包人</w:t>
      </w:r>
      <w:r>
        <w:rPr>
          <w:rFonts w:hint="eastAsia" w:ascii="仿宋_GB2312" w:hAnsi="仿宋_GB2312" w:eastAsia="仿宋_GB2312" w:cs="仿宋_GB2312"/>
          <w:color w:val="auto"/>
          <w:sz w:val="32"/>
          <w:szCs w:val="32"/>
          <w:highlight w:val="none"/>
          <w:u w:val="none"/>
          <w:lang w:val="en-US" w:eastAsia="zh-CN"/>
        </w:rPr>
        <w:t>应</w:t>
      </w:r>
      <w:r>
        <w:rPr>
          <w:rFonts w:hint="eastAsia" w:ascii="仿宋_GB2312" w:hAnsi="仿宋_GB2312" w:eastAsia="仿宋_GB2312" w:cs="仿宋_GB2312"/>
          <w:color w:val="auto"/>
          <w:sz w:val="32"/>
          <w:szCs w:val="32"/>
          <w:highlight w:val="none"/>
          <w:u w:val="none"/>
        </w:rPr>
        <w:t>向发包人支付</w:t>
      </w:r>
      <w:r>
        <w:rPr>
          <w:rFonts w:hint="eastAsia" w:ascii="仿宋_GB2312" w:hAnsi="仿宋_GB2312" w:eastAsia="仿宋_GB2312" w:cs="仿宋_GB2312"/>
          <w:color w:val="auto"/>
          <w:sz w:val="32"/>
          <w:szCs w:val="32"/>
          <w:highlight w:val="none"/>
          <w:u w:val="none"/>
          <w:lang w:val="en-US" w:eastAsia="zh-CN"/>
        </w:rPr>
        <w:t>签约</w:t>
      </w:r>
      <w:r>
        <w:rPr>
          <w:rFonts w:hint="eastAsia" w:ascii="仿宋_GB2312" w:hAnsi="仿宋_GB2312" w:eastAsia="仿宋_GB2312" w:cs="仿宋_GB2312"/>
          <w:color w:val="auto"/>
          <w:sz w:val="32"/>
          <w:szCs w:val="32"/>
          <w:highlight w:val="none"/>
          <w:u w:val="none"/>
        </w:rPr>
        <w:t>合同总价20%的违约金，同时承包人应当赔偿或承担发包人实际全部损失（该等损失包括但不限于律师费、诉讼费、鉴定费、评估费，以及发包人赔偿业主和第三者的违约金和影响发包人生产、经营活动造成的损失等），发包人并视情况向建设行政主管部门报告。</w:t>
      </w:r>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Start w:id="2007" w:name="_Toc312677990"/>
      <w:bookmarkStart w:id="2008" w:name="_Toc318581159"/>
    </w:p>
    <w:p w14:paraId="15448E31">
      <w:pPr>
        <w:pageBreakBefore w:val="0"/>
        <w:widowControl/>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3.5.2分包的确定</w:t>
      </w:r>
    </w:p>
    <w:p w14:paraId="7E8D5C3E">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rPr>
        <w:t>允</w:t>
      </w:r>
      <w:r>
        <w:rPr>
          <w:rFonts w:hint="eastAsia" w:ascii="仿宋_GB2312" w:hAnsi="仿宋_GB2312" w:eastAsia="仿宋_GB2312" w:cs="仿宋_GB2312"/>
          <w:color w:val="auto"/>
          <w:sz w:val="32"/>
          <w:szCs w:val="32"/>
          <w:highlight w:val="none"/>
          <w:u w:val="none"/>
        </w:rPr>
        <w:t>许分包的专业工程包括：根据拟分包工程规模，按国家标准分包给具有相应资质和实施能力的单位。承包人应经过发包人书面同意后进行分包、确定分包人。承包人应确保分包人具有相应的资质和能力。若分包工程出现工期延误、质量缺陷等问题的，发包人有权将该专业工程的承包权收回（即，承包人应在分包合同中明确与分包人约定如分包工程出现工期延误、质量缺陷等问题的，分包合同解除，由此造成的损失分包人自行承担），由发包人按相关规定另行确定分包单位，由此造成的工期延误、相关费用等由承包人负责，如属分包人责任的，承包人在承担责任后另行向分包人追偿，不得影响发包人向承包人主张权利。工程分包不减轻或免除承包人的责任和义务，承包人和分包人就分包工程深化设计、分包工程向发包人承担连带责任。</w:t>
      </w:r>
    </w:p>
    <w:p w14:paraId="2EA1B9EF">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single"/>
        </w:rPr>
      </w:pPr>
      <w:r>
        <w:rPr>
          <w:rFonts w:hint="eastAsia" w:ascii="仿宋_GB2312" w:hAnsi="仿宋_GB2312" w:eastAsia="仿宋_GB2312" w:cs="仿宋_GB2312"/>
          <w:sz w:val="32"/>
          <w:szCs w:val="32"/>
        </w:rPr>
        <w:t>其他关于分包的约定：</w:t>
      </w:r>
      <w:r>
        <w:rPr>
          <w:rFonts w:hint="eastAsia" w:ascii="仿宋_GB2312" w:hAnsi="仿宋_GB2312" w:eastAsia="仿宋_GB2312" w:cs="仿宋_GB2312"/>
          <w:sz w:val="32"/>
          <w:szCs w:val="32"/>
          <w:u w:val="single"/>
        </w:rPr>
        <w:t xml:space="preserve"> / </w:t>
      </w:r>
      <w:r>
        <w:rPr>
          <w:rFonts w:hint="eastAsia" w:ascii="仿宋_GB2312" w:hAnsi="仿宋_GB2312" w:eastAsia="仿宋_GB2312" w:cs="仿宋_GB2312"/>
          <w:sz w:val="32"/>
          <w:szCs w:val="32"/>
        </w:rPr>
        <w:t>。</w:t>
      </w:r>
    </w:p>
    <w:p w14:paraId="41EDB987">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3.5.4 分包合同价款</w:t>
      </w:r>
    </w:p>
    <w:p w14:paraId="073F3253">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rPr>
        <w:t>关于分包合同价款支付的约定：</w:t>
      </w:r>
      <w:r>
        <w:rPr>
          <w:rFonts w:hint="eastAsia" w:ascii="仿宋_GB2312" w:hAnsi="仿宋_GB2312" w:eastAsia="仿宋_GB2312" w:cs="仿宋_GB2312"/>
          <w:color w:val="auto"/>
          <w:sz w:val="32"/>
          <w:szCs w:val="32"/>
          <w:highlight w:val="none"/>
          <w:u w:val="none"/>
        </w:rPr>
        <w:t>发包人按本合同约定向承包人支付所有工程款，发包人不直接面对分包人支付，但承包人未及时向分包人支付工程款，造成分包工程延误或引起分包人投诉、起诉等情形，一经核实，</w:t>
      </w:r>
      <w:r>
        <w:rPr>
          <w:rFonts w:hint="eastAsia" w:ascii="仿宋_GB2312" w:hAnsi="仿宋_GB2312" w:eastAsia="仿宋_GB2312" w:cs="仿宋_GB2312"/>
          <w:color w:val="auto"/>
          <w:sz w:val="32"/>
          <w:szCs w:val="32"/>
          <w:highlight w:val="none"/>
          <w:u w:val="none"/>
          <w:lang w:val="en-US" w:eastAsia="zh-CN"/>
        </w:rPr>
        <w:t>就承包人与分包人已结算无误的部分，</w:t>
      </w:r>
      <w:r>
        <w:rPr>
          <w:rFonts w:hint="eastAsia" w:ascii="仿宋_GB2312" w:hAnsi="仿宋_GB2312" w:eastAsia="仿宋_GB2312" w:cs="仿宋_GB2312"/>
          <w:color w:val="auto"/>
          <w:sz w:val="32"/>
          <w:szCs w:val="32"/>
          <w:highlight w:val="none"/>
          <w:u w:val="none"/>
        </w:rPr>
        <w:t>发包人有权从应支付给承包人的工程款中直接扣除相应分包款项并直接支付给分包人，承包人</w:t>
      </w:r>
      <w:r>
        <w:rPr>
          <w:rFonts w:hint="eastAsia" w:ascii="仿宋_GB2312" w:hAnsi="仿宋_GB2312" w:eastAsia="仿宋_GB2312" w:cs="仿宋_GB2312"/>
          <w:color w:val="auto"/>
          <w:sz w:val="32"/>
          <w:szCs w:val="32"/>
          <w:highlight w:val="none"/>
          <w:u w:val="none"/>
          <w:lang w:val="en-US" w:eastAsia="zh-CN"/>
        </w:rPr>
        <w:t>应</w:t>
      </w:r>
      <w:r>
        <w:rPr>
          <w:rFonts w:hint="eastAsia" w:ascii="仿宋_GB2312" w:hAnsi="仿宋_GB2312" w:eastAsia="仿宋_GB2312" w:cs="仿宋_GB2312"/>
          <w:color w:val="auto"/>
          <w:sz w:val="32"/>
          <w:szCs w:val="32"/>
          <w:highlight w:val="none"/>
          <w:u w:val="none"/>
        </w:rPr>
        <w:t>无条件为上述发包人的付款行为提供委托付款证明，并承担由此产生的一切后果</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lang w:val="en-US" w:eastAsia="zh-CN"/>
        </w:rPr>
        <w:t>同时，承包人不得因此弱化对工程的管理。如承包人拒绝出具委托付款证明的，经发包人催告后仍不出具的，发包人有权直接支付。</w:t>
      </w:r>
      <w:bookmarkEnd w:id="2007"/>
      <w:bookmarkEnd w:id="2008"/>
    </w:p>
    <w:p w14:paraId="6A594749">
      <w:pPr>
        <w:pageBreakBefore w:val="0"/>
        <w:kinsoku/>
        <w:wordWrap/>
        <w:overflowPunct/>
        <w:topLinePunct w:val="0"/>
        <w:bidi w:val="0"/>
        <w:adjustRightInd w:val="0"/>
        <w:snapToGrid w:val="0"/>
        <w:spacing w:line="560" w:lineRule="exact"/>
        <w:ind w:firstLine="640" w:firstLineChars="200"/>
        <w:jc w:val="both"/>
        <w:outlineLvl w:val="9"/>
        <w:rPr>
          <w:rFonts w:hint="eastAsia" w:ascii="仿宋_GB2312" w:hAnsi="仿宋_GB2312" w:eastAsia="仿宋_GB2312" w:cs="仿宋_GB2312"/>
          <w:color w:val="auto"/>
          <w:sz w:val="32"/>
          <w:szCs w:val="32"/>
          <w:highlight w:val="none"/>
          <w:u w:val="none"/>
        </w:rPr>
      </w:pPr>
      <w:bookmarkStart w:id="2009" w:name="_Toc982"/>
      <w:bookmarkStart w:id="2010" w:name="_Toc19733"/>
      <w:bookmarkStart w:id="2011" w:name="_Toc17248"/>
      <w:bookmarkStart w:id="2012" w:name="_Toc11968"/>
      <w:bookmarkStart w:id="2013" w:name="_Toc12564"/>
      <w:bookmarkStart w:id="2014" w:name="_Toc3168"/>
      <w:bookmarkStart w:id="2015" w:name="_Toc4508"/>
      <w:bookmarkStart w:id="2016" w:name="_Toc21985"/>
      <w:r>
        <w:rPr>
          <w:rFonts w:hint="eastAsia" w:ascii="仿宋_GB2312" w:hAnsi="仿宋_GB2312" w:eastAsia="仿宋_GB2312" w:cs="仿宋_GB2312"/>
          <w:color w:val="auto"/>
          <w:sz w:val="32"/>
          <w:szCs w:val="32"/>
          <w:highlight w:val="none"/>
          <w:u w:val="none"/>
        </w:rPr>
        <w:t>3.6 工程照管与成品、半成品保护</w:t>
      </w:r>
      <w:bookmarkEnd w:id="2009"/>
      <w:bookmarkEnd w:id="2010"/>
      <w:bookmarkEnd w:id="2011"/>
      <w:bookmarkEnd w:id="2012"/>
      <w:bookmarkEnd w:id="2013"/>
      <w:bookmarkEnd w:id="2014"/>
      <w:bookmarkEnd w:id="2015"/>
      <w:bookmarkEnd w:id="2016"/>
    </w:p>
    <w:p w14:paraId="4B939728">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rPr>
        <w:t>承包人负责照管工程及工程相关的材料、工程设备的起始时间：对发包人供应的材料设备由承包人负责保护，自发包人向承包人移交施工现场之日起直至竣工验收合格为止，承包人应负责照管工程及工程相关的材料、工程设备，费用由承包人承担，相关费用</w:t>
      </w:r>
      <w:r>
        <w:rPr>
          <w:rFonts w:hint="eastAsia" w:ascii="仿宋_GB2312" w:hAnsi="仿宋_GB2312" w:eastAsia="仿宋_GB2312" w:cs="仿宋_GB2312"/>
          <w:color w:val="auto"/>
          <w:sz w:val="32"/>
          <w:szCs w:val="32"/>
          <w:highlight w:val="none"/>
          <w:u w:val="none"/>
        </w:rPr>
        <w:t>已包含在</w:t>
      </w:r>
      <w:r>
        <w:rPr>
          <w:rFonts w:hint="eastAsia" w:ascii="仿宋_GB2312" w:hAnsi="仿宋_GB2312" w:eastAsia="仿宋_GB2312" w:cs="仿宋_GB2312"/>
          <w:color w:val="auto"/>
          <w:sz w:val="32"/>
          <w:szCs w:val="32"/>
          <w:highlight w:val="none"/>
          <w:u w:val="none"/>
          <w:lang w:eastAsia="zh-CN"/>
        </w:rPr>
        <w:t>合同价款中的各分部分项或措施项目清单综合单价</w:t>
      </w:r>
      <w:r>
        <w:rPr>
          <w:rFonts w:hint="eastAsia" w:ascii="仿宋_GB2312" w:hAnsi="仿宋_GB2312" w:eastAsia="仿宋_GB2312" w:cs="仿宋_GB2312"/>
          <w:color w:val="auto"/>
          <w:sz w:val="32"/>
          <w:szCs w:val="32"/>
          <w:highlight w:val="none"/>
          <w:u w:val="none"/>
        </w:rPr>
        <w:t>中，发包人不另行支付</w:t>
      </w:r>
      <w:r>
        <w:rPr>
          <w:rFonts w:hint="eastAsia" w:ascii="仿宋_GB2312" w:hAnsi="仿宋_GB2312" w:eastAsia="仿宋_GB2312" w:cs="仿宋_GB2312"/>
          <w:color w:val="auto"/>
          <w:kern w:val="0"/>
          <w:sz w:val="32"/>
          <w:szCs w:val="32"/>
          <w:highlight w:val="none"/>
          <w:u w:val="none"/>
        </w:rPr>
        <w:t>施工期间发生的该类一切费用。</w:t>
      </w:r>
    </w:p>
    <w:p w14:paraId="7FF699BE">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rPr>
        <w:t>合同履约过程中如因变更签证或增减工作内容而产生的成品、半成品由承包人保护，由此产生的相关费用已包含在</w:t>
      </w:r>
      <w:r>
        <w:rPr>
          <w:rFonts w:hint="eastAsia" w:ascii="仿宋_GB2312" w:hAnsi="仿宋_GB2312" w:eastAsia="仿宋_GB2312" w:cs="仿宋_GB2312"/>
          <w:color w:val="auto"/>
          <w:kern w:val="0"/>
          <w:sz w:val="32"/>
          <w:szCs w:val="32"/>
          <w:highlight w:val="none"/>
          <w:u w:val="none"/>
          <w:lang w:eastAsia="zh-CN"/>
        </w:rPr>
        <w:t>合同价款中的各分部分项或措施项目清单综合单价</w:t>
      </w:r>
      <w:r>
        <w:rPr>
          <w:rFonts w:hint="eastAsia" w:ascii="仿宋_GB2312" w:hAnsi="仿宋_GB2312" w:eastAsia="仿宋_GB2312" w:cs="仿宋_GB2312"/>
          <w:color w:val="auto"/>
          <w:kern w:val="0"/>
          <w:sz w:val="32"/>
          <w:szCs w:val="32"/>
          <w:highlight w:val="none"/>
          <w:u w:val="none"/>
        </w:rPr>
        <w:t>中，发包人不另行支付。</w:t>
      </w:r>
    </w:p>
    <w:p w14:paraId="51497942">
      <w:pPr>
        <w:pageBreakBefore w:val="0"/>
        <w:kinsoku/>
        <w:wordWrap/>
        <w:overflowPunct/>
        <w:topLinePunct w:val="0"/>
        <w:bidi w:val="0"/>
        <w:adjustRightInd w:val="0"/>
        <w:snapToGrid w:val="0"/>
        <w:spacing w:line="560" w:lineRule="exact"/>
        <w:ind w:firstLine="640" w:firstLineChars="200"/>
        <w:jc w:val="both"/>
        <w:outlineLvl w:val="9"/>
        <w:rPr>
          <w:rFonts w:hint="eastAsia" w:ascii="仿宋_GB2312" w:hAnsi="仿宋_GB2312" w:eastAsia="仿宋_GB2312" w:cs="仿宋_GB2312"/>
          <w:color w:val="auto"/>
          <w:sz w:val="32"/>
          <w:szCs w:val="32"/>
          <w:highlight w:val="none"/>
        </w:rPr>
      </w:pPr>
      <w:bookmarkStart w:id="2017" w:name="_Toc5896"/>
      <w:bookmarkStart w:id="2018" w:name="_Toc617"/>
      <w:bookmarkStart w:id="2019" w:name="_Toc31910"/>
      <w:bookmarkStart w:id="2020" w:name="_Toc12433"/>
      <w:bookmarkStart w:id="2021" w:name="_Toc8016"/>
      <w:bookmarkStart w:id="2022" w:name="_Toc6934"/>
      <w:bookmarkStart w:id="2023" w:name="_Toc4645"/>
      <w:bookmarkStart w:id="2024" w:name="_Toc10539"/>
      <w:r>
        <w:rPr>
          <w:rFonts w:hint="eastAsia" w:ascii="仿宋_GB2312" w:hAnsi="仿宋_GB2312" w:eastAsia="仿宋_GB2312" w:cs="仿宋_GB2312"/>
          <w:color w:val="auto"/>
          <w:sz w:val="32"/>
          <w:szCs w:val="32"/>
          <w:highlight w:val="none"/>
        </w:rPr>
        <w:t>3.7 履约担保</w:t>
      </w:r>
      <w:bookmarkEnd w:id="2017"/>
      <w:bookmarkEnd w:id="2018"/>
      <w:bookmarkEnd w:id="2019"/>
      <w:bookmarkEnd w:id="2020"/>
      <w:bookmarkEnd w:id="2021"/>
      <w:bookmarkEnd w:id="2022"/>
      <w:bookmarkEnd w:id="2023"/>
      <w:bookmarkEnd w:id="2024"/>
    </w:p>
    <w:p w14:paraId="096D764F">
      <w:pPr>
        <w:pageBreakBefore w:val="0"/>
        <w:widowControl w:val="0"/>
        <w:kinsoku/>
        <w:wordWrap/>
        <w:overflowPunct/>
        <w:topLinePunct w:val="0"/>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承包人是否提供履约担保：</w:t>
      </w:r>
      <w:permStart w:id="60" w:edGrp="everyone"/>
      <w:r>
        <w:rPr>
          <w:rFonts w:hint="eastAsia" w:ascii="仿宋_GB2312" w:hAnsi="仿宋_GB2312" w:eastAsia="仿宋_GB2312" w:cs="仿宋_GB2312"/>
          <w:color w:val="auto"/>
          <w:sz w:val="32"/>
          <w:szCs w:val="32"/>
          <w:highlight w:val="none"/>
          <w:u w:val="single"/>
        </w:rPr>
        <w:t>是</w:t>
      </w:r>
      <w:permEnd w:id="60"/>
      <w:r>
        <w:rPr>
          <w:rFonts w:hint="eastAsia" w:ascii="仿宋_GB2312" w:hAnsi="仿宋_GB2312" w:eastAsia="仿宋_GB2312" w:cs="仿宋_GB2312"/>
          <w:color w:val="auto"/>
          <w:sz w:val="32"/>
          <w:szCs w:val="32"/>
          <w:highlight w:val="none"/>
        </w:rPr>
        <w:t>。</w:t>
      </w:r>
    </w:p>
    <w:p w14:paraId="4525D522">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single"/>
        </w:rPr>
      </w:pPr>
      <w:r>
        <w:rPr>
          <w:rFonts w:hint="eastAsia" w:ascii="仿宋_GB2312" w:hAnsi="仿宋_GB2312" w:eastAsia="仿宋_GB2312" w:cs="仿宋_GB2312"/>
          <w:color w:val="auto"/>
          <w:sz w:val="32"/>
          <w:szCs w:val="32"/>
          <w:highlight w:val="none"/>
        </w:rPr>
        <w:t>（1）承包人提供履约担保的</w:t>
      </w:r>
      <w:r>
        <w:rPr>
          <w:rFonts w:hint="eastAsia" w:ascii="仿宋_GB2312" w:hAnsi="仿宋_GB2312" w:eastAsia="仿宋_GB2312" w:cs="仿宋_GB2312"/>
          <w:color w:val="auto"/>
          <w:sz w:val="32"/>
          <w:szCs w:val="32"/>
          <w:highlight w:val="none"/>
          <w:lang w:val="en-US" w:eastAsia="zh-CN"/>
        </w:rPr>
        <w:t>方</w:t>
      </w:r>
      <w:r>
        <w:rPr>
          <w:rFonts w:hint="eastAsia" w:ascii="仿宋_GB2312" w:hAnsi="仿宋_GB2312" w:eastAsia="仿宋_GB2312" w:cs="仿宋_GB2312"/>
          <w:color w:val="auto"/>
          <w:sz w:val="32"/>
          <w:szCs w:val="32"/>
          <w:highlight w:val="none"/>
        </w:rPr>
        <w:t>式、金额及期限按下列第</w:t>
      </w:r>
      <w:permStart w:id="61" w:edGrp="everyone"/>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u w:val="single"/>
          <w:lang w:val="en-US" w:eastAsia="zh-CN"/>
        </w:rPr>
        <w:t>二</w:t>
      </w:r>
      <w:r>
        <w:rPr>
          <w:rFonts w:hint="eastAsia" w:ascii="仿宋_GB2312" w:hAnsi="仿宋_GB2312" w:eastAsia="仿宋_GB2312" w:cs="仿宋_GB2312"/>
          <w:color w:val="auto"/>
          <w:sz w:val="32"/>
          <w:szCs w:val="32"/>
          <w:highlight w:val="none"/>
          <w:u w:val="single"/>
        </w:rPr>
        <w:t xml:space="preserve"> </w:t>
      </w:r>
      <w:permEnd w:id="61"/>
      <w:r>
        <w:rPr>
          <w:rFonts w:hint="eastAsia" w:ascii="仿宋_GB2312" w:hAnsi="仿宋_GB2312" w:eastAsia="仿宋_GB2312" w:cs="仿宋_GB2312"/>
          <w:color w:val="auto"/>
          <w:sz w:val="32"/>
          <w:szCs w:val="32"/>
          <w:highlight w:val="none"/>
        </w:rPr>
        <w:t>种方式提供：</w:t>
      </w:r>
    </w:p>
    <w:p w14:paraId="2AB7B782">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lang w:val="en-US" w:eastAsia="zh-CN"/>
        </w:rPr>
        <w:t>第一种方式：</w:t>
      </w:r>
      <w:r>
        <w:rPr>
          <w:rFonts w:hint="eastAsia" w:ascii="仿宋_GB2312" w:hAnsi="仿宋_GB2312" w:eastAsia="仿宋_GB2312" w:cs="仿宋_GB2312"/>
          <w:color w:val="auto"/>
          <w:sz w:val="32"/>
          <w:szCs w:val="32"/>
          <w:highlight w:val="none"/>
          <w:u w:val="none"/>
        </w:rPr>
        <w:t>现金</w:t>
      </w:r>
      <w:r>
        <w:rPr>
          <w:rFonts w:hint="eastAsia" w:ascii="仿宋_GB2312" w:hAnsi="仿宋_GB2312" w:eastAsia="仿宋_GB2312" w:cs="仿宋_GB2312"/>
          <w:color w:val="auto"/>
          <w:sz w:val="32"/>
          <w:szCs w:val="32"/>
          <w:highlight w:val="none"/>
          <w:u w:val="none"/>
          <w:lang w:val="en-US" w:eastAsia="zh-CN"/>
        </w:rPr>
        <w:t>形式</w:t>
      </w:r>
      <w:r>
        <w:rPr>
          <w:rFonts w:hint="eastAsia" w:ascii="仿宋_GB2312" w:hAnsi="仿宋_GB2312" w:eastAsia="仿宋_GB2312" w:cs="仿宋_GB2312"/>
          <w:color w:val="auto"/>
          <w:sz w:val="32"/>
          <w:szCs w:val="32"/>
          <w:highlight w:val="none"/>
          <w:u w:val="none"/>
        </w:rPr>
        <w:t>，合同签订后30天内承包人将金额为签约合同价的10%作为履约保证金转账交予发包人，履约保证金不计利息。</w:t>
      </w:r>
    </w:p>
    <w:p w14:paraId="5F63AD32">
      <w:pPr>
        <w:pageBreakBefore w:val="0"/>
        <w:widowControl/>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lang w:eastAsia="zh-CN"/>
        </w:rPr>
      </w:pPr>
      <w:r>
        <w:rPr>
          <w:rFonts w:hint="eastAsia" w:ascii="仿宋_GB2312" w:hAnsi="仿宋_GB2312" w:eastAsia="仿宋_GB2312" w:cs="仿宋_GB2312"/>
          <w:color w:val="auto"/>
          <w:sz w:val="32"/>
          <w:szCs w:val="32"/>
          <w:highlight w:val="none"/>
          <w:u w:val="none"/>
          <w:lang w:val="en-US" w:eastAsia="zh-CN"/>
        </w:rPr>
        <w:t>第二种方式：</w:t>
      </w:r>
      <w:r>
        <w:rPr>
          <w:rFonts w:hint="eastAsia" w:ascii="仿宋_GB2312" w:hAnsi="仿宋_GB2312" w:eastAsia="仿宋_GB2312" w:cs="仿宋_GB2312"/>
          <w:color w:val="auto"/>
          <w:sz w:val="32"/>
          <w:szCs w:val="32"/>
          <w:highlight w:val="none"/>
          <w:u w:val="none"/>
        </w:rPr>
        <w:t>银行保函</w:t>
      </w:r>
      <w:r>
        <w:rPr>
          <w:rFonts w:hint="eastAsia" w:ascii="仿宋_GB2312" w:hAnsi="仿宋_GB2312" w:eastAsia="仿宋_GB2312" w:cs="仿宋_GB2312"/>
          <w:color w:val="auto"/>
          <w:sz w:val="32"/>
          <w:szCs w:val="32"/>
          <w:highlight w:val="none"/>
          <w:u w:val="none"/>
          <w:lang w:val="en-US" w:eastAsia="zh-CN"/>
        </w:rPr>
        <w:t>形式</w:t>
      </w:r>
      <w:r>
        <w:rPr>
          <w:rFonts w:hint="eastAsia" w:ascii="仿宋_GB2312" w:hAnsi="仿宋_GB2312" w:eastAsia="仿宋_GB2312" w:cs="仿宋_GB2312"/>
          <w:color w:val="auto"/>
          <w:sz w:val="32"/>
          <w:szCs w:val="32"/>
          <w:highlight w:val="none"/>
          <w:u w:val="none"/>
          <w:lang w:eastAsia="zh-CN"/>
        </w:rPr>
        <w:t>：</w:t>
      </w:r>
    </w:p>
    <w:p w14:paraId="6F05A8F7">
      <w:pPr>
        <w:pageBreakBefore w:val="0"/>
        <w:widowControl/>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lang w:val="en-US" w:eastAsia="zh-CN"/>
        </w:rPr>
        <w:t>①</w:t>
      </w:r>
      <w:r>
        <w:rPr>
          <w:rFonts w:hint="eastAsia" w:ascii="仿宋_GB2312" w:hAnsi="仿宋_GB2312" w:eastAsia="仿宋_GB2312" w:cs="仿宋_GB2312"/>
          <w:color w:val="auto"/>
          <w:sz w:val="32"/>
          <w:szCs w:val="32"/>
          <w:highlight w:val="none"/>
          <w:u w:val="none"/>
        </w:rPr>
        <w:t>合同签订后30天内承包人应按本合同附件</w:t>
      </w:r>
      <w:r>
        <w:rPr>
          <w:rFonts w:hint="eastAsia" w:ascii="仿宋_GB2312" w:hAnsi="仿宋_GB2312" w:eastAsia="仿宋_GB2312" w:cs="仿宋_GB2312"/>
          <w:color w:val="auto"/>
          <w:sz w:val="32"/>
          <w:szCs w:val="32"/>
          <w:highlight w:val="none"/>
          <w:u w:val="none"/>
          <w:lang w:val="en-US" w:eastAsia="zh-CN"/>
        </w:rPr>
        <w:t>19</w:t>
      </w:r>
      <w:r>
        <w:rPr>
          <w:rFonts w:hint="eastAsia" w:ascii="仿宋_GB2312" w:hAnsi="仿宋_GB2312" w:eastAsia="仿宋_GB2312" w:cs="仿宋_GB2312"/>
          <w:color w:val="auto"/>
          <w:sz w:val="32"/>
          <w:szCs w:val="32"/>
          <w:highlight w:val="none"/>
          <w:u w:val="none"/>
        </w:rPr>
        <w:t>约定的履约担保格式将金额为签约合同价10%的银行履约保函提交发包人</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lang w:val="en-US" w:eastAsia="zh-Hans"/>
        </w:rPr>
        <w:t>保函开立人</w:t>
      </w:r>
      <w:r>
        <w:rPr>
          <w:rFonts w:hint="eastAsia" w:ascii="仿宋_GB2312" w:hAnsi="仿宋_GB2312" w:eastAsia="仿宋_GB2312" w:cs="仿宋_GB2312"/>
          <w:color w:val="auto"/>
          <w:sz w:val="32"/>
          <w:szCs w:val="32"/>
          <w:highlight w:val="none"/>
          <w:u w:val="none"/>
          <w:lang w:val="en-US" w:eastAsia="zh-CN"/>
        </w:rPr>
        <w:t>应</w:t>
      </w:r>
      <w:r>
        <w:rPr>
          <w:rFonts w:hint="eastAsia" w:ascii="仿宋_GB2312" w:hAnsi="仿宋_GB2312" w:eastAsia="仿宋_GB2312" w:cs="仿宋_GB2312"/>
          <w:color w:val="auto"/>
          <w:sz w:val="32"/>
          <w:szCs w:val="32"/>
          <w:highlight w:val="none"/>
          <w:u w:val="none"/>
        </w:rPr>
        <w:t>是海南省内注册或设有分支机构并有资格的银行，须有查询码或二维码，保函</w:t>
      </w:r>
      <w:r>
        <w:rPr>
          <w:rFonts w:hint="eastAsia" w:ascii="仿宋_GB2312" w:hAnsi="仿宋_GB2312" w:eastAsia="仿宋_GB2312" w:cs="仿宋_GB2312"/>
          <w:color w:val="auto"/>
          <w:sz w:val="32"/>
          <w:szCs w:val="32"/>
          <w:highlight w:val="none"/>
          <w:u w:val="none"/>
          <w:lang w:val="en-US" w:eastAsia="zh-CN"/>
        </w:rPr>
        <w:t>须为</w:t>
      </w:r>
      <w:r>
        <w:rPr>
          <w:rFonts w:hint="eastAsia" w:ascii="仿宋_GB2312" w:hAnsi="仿宋_GB2312" w:eastAsia="仿宋_GB2312" w:cs="仿宋_GB2312"/>
          <w:color w:val="auto"/>
          <w:sz w:val="32"/>
          <w:szCs w:val="32"/>
          <w:highlight w:val="none"/>
          <w:u w:val="none"/>
        </w:rPr>
        <w:t>不可撤销、不可转让且</w:t>
      </w:r>
      <w:r>
        <w:rPr>
          <w:rFonts w:hint="eastAsia" w:ascii="仿宋_GB2312" w:hAnsi="仿宋_GB2312" w:eastAsia="仿宋_GB2312" w:cs="仿宋_GB2312"/>
          <w:color w:val="auto"/>
          <w:sz w:val="32"/>
          <w:szCs w:val="32"/>
          <w:highlight w:val="none"/>
          <w:u w:val="none"/>
          <w:lang w:val="en-US" w:eastAsia="zh-CN"/>
        </w:rPr>
        <w:t>无条件</w:t>
      </w:r>
      <w:r>
        <w:rPr>
          <w:rFonts w:hint="eastAsia" w:ascii="仿宋_GB2312" w:hAnsi="仿宋_GB2312" w:eastAsia="仿宋_GB2312" w:cs="仿宋_GB2312"/>
          <w:color w:val="auto"/>
          <w:sz w:val="32"/>
          <w:szCs w:val="32"/>
          <w:highlight w:val="none"/>
          <w:u w:val="none"/>
        </w:rPr>
        <w:t>见索即付，保函自银行开立之日起生效，所需的费用（含相关保函延期的费用）由承包人承担，否则发包人将依据本合同专用条款第16.2.2条第（16）款追究承包人的违约责任。</w:t>
      </w:r>
    </w:p>
    <w:p w14:paraId="274CFB68">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lang w:eastAsia="zh-Hans" w:bidi="ar"/>
        </w:rPr>
      </w:pPr>
      <w:r>
        <w:rPr>
          <w:rFonts w:hint="eastAsia" w:ascii="仿宋_GB2312" w:hAnsi="仿宋_GB2312" w:eastAsia="仿宋_GB2312" w:cs="仿宋_GB2312"/>
          <w:sz w:val="32"/>
          <w:szCs w:val="32"/>
        </w:rPr>
        <w:t>②履约保函的有效期限为：</w:t>
      </w:r>
      <w:r>
        <w:rPr>
          <w:rFonts w:hint="eastAsia" w:ascii="仿宋_GB2312" w:hAnsi="仿宋_GB2312" w:eastAsia="仿宋_GB2312" w:cs="仿宋_GB2312"/>
          <w:color w:val="auto"/>
          <w:sz w:val="32"/>
          <w:szCs w:val="32"/>
          <w:highlight w:val="none"/>
          <w:u w:val="none"/>
          <w:lang w:bidi="ar"/>
        </w:rPr>
        <w:t>自</w:t>
      </w:r>
      <w:r>
        <w:rPr>
          <w:rFonts w:hint="eastAsia" w:ascii="仿宋_GB2312" w:hAnsi="仿宋_GB2312" w:eastAsia="仿宋_GB2312" w:cs="仿宋_GB2312"/>
          <w:color w:val="auto"/>
          <w:sz w:val="32"/>
          <w:szCs w:val="32"/>
          <w:highlight w:val="none"/>
          <w:u w:val="none"/>
          <w:lang w:val="en-US" w:eastAsia="zh-Hans" w:bidi="ar"/>
        </w:rPr>
        <w:t>保函开立</w:t>
      </w:r>
      <w:r>
        <w:rPr>
          <w:rFonts w:hint="eastAsia" w:ascii="仿宋_GB2312" w:hAnsi="仿宋_GB2312" w:eastAsia="仿宋_GB2312" w:cs="仿宋_GB2312"/>
          <w:color w:val="auto"/>
          <w:sz w:val="32"/>
          <w:szCs w:val="32"/>
          <w:highlight w:val="none"/>
          <w:u w:val="none"/>
          <w:lang w:bidi="ar"/>
        </w:rPr>
        <w:t>之日起至本合同约定工程全部完工且经竣工验收达到合同约定的质量等级、</w:t>
      </w:r>
      <w:r>
        <w:rPr>
          <w:rFonts w:hint="eastAsia" w:ascii="仿宋_GB2312" w:hAnsi="仿宋_GB2312" w:eastAsia="仿宋_GB2312" w:cs="仿宋_GB2312"/>
          <w:color w:val="auto"/>
          <w:sz w:val="32"/>
          <w:szCs w:val="32"/>
          <w:highlight w:val="none"/>
          <w:u w:val="none"/>
          <w:lang w:val="en-US" w:eastAsia="zh-CN" w:bidi="ar"/>
        </w:rPr>
        <w:t>发包人签发</w:t>
      </w:r>
      <w:r>
        <w:rPr>
          <w:rFonts w:hint="eastAsia" w:ascii="仿宋_GB2312" w:hAnsi="仿宋_GB2312" w:eastAsia="仿宋_GB2312" w:cs="仿宋_GB2312"/>
          <w:color w:val="auto"/>
          <w:sz w:val="32"/>
          <w:szCs w:val="32"/>
          <w:highlight w:val="none"/>
          <w:u w:val="none"/>
          <w:lang w:val="en-US" w:eastAsia="zh-Hans"/>
        </w:rPr>
        <w:t>本项目</w:t>
      </w:r>
      <w:r>
        <w:rPr>
          <w:rFonts w:hint="eastAsia" w:ascii="仿宋_GB2312" w:hAnsi="仿宋_GB2312" w:eastAsia="仿宋_GB2312" w:cs="仿宋_GB2312"/>
          <w:color w:val="auto"/>
          <w:sz w:val="32"/>
          <w:szCs w:val="32"/>
          <w:highlight w:val="none"/>
          <w:u w:val="none"/>
        </w:rPr>
        <w:t>工程接收证书</w:t>
      </w:r>
      <w:r>
        <w:rPr>
          <w:rFonts w:hint="eastAsia" w:ascii="仿宋_GB2312" w:hAnsi="仿宋_GB2312" w:eastAsia="仿宋_GB2312" w:cs="仿宋_GB2312"/>
          <w:color w:val="auto"/>
          <w:kern w:val="2"/>
          <w:sz w:val="32"/>
          <w:szCs w:val="32"/>
          <w:highlight w:val="none"/>
          <w:u w:val="none"/>
          <w:lang w:bidi="ar"/>
        </w:rPr>
        <w:t>且</w:t>
      </w:r>
      <w:r>
        <w:rPr>
          <w:rFonts w:hint="eastAsia" w:ascii="仿宋_GB2312" w:hAnsi="仿宋_GB2312" w:eastAsia="仿宋_GB2312" w:cs="仿宋_GB2312"/>
          <w:color w:val="auto"/>
          <w:kern w:val="2"/>
          <w:sz w:val="32"/>
          <w:szCs w:val="32"/>
          <w:highlight w:val="none"/>
          <w:u w:val="none"/>
          <w:lang w:val="en-US" w:eastAsia="zh-CN" w:bidi="ar"/>
        </w:rPr>
        <w:t>经发包人方书面确认</w:t>
      </w:r>
      <w:r>
        <w:rPr>
          <w:rFonts w:hint="eastAsia" w:ascii="仿宋_GB2312" w:hAnsi="仿宋_GB2312" w:eastAsia="仿宋_GB2312" w:cs="仿宋_GB2312"/>
          <w:color w:val="auto"/>
          <w:kern w:val="2"/>
          <w:sz w:val="32"/>
          <w:szCs w:val="32"/>
          <w:highlight w:val="none"/>
          <w:u w:val="none"/>
          <w:lang w:bidi="ar"/>
        </w:rPr>
        <w:t>承包人提交了竣工验收备案办理</w:t>
      </w:r>
      <w:r>
        <w:rPr>
          <w:rFonts w:hint="eastAsia" w:ascii="仿宋_GB2312" w:hAnsi="仿宋_GB2312" w:eastAsia="仿宋_GB2312" w:cs="仿宋_GB2312"/>
          <w:color w:val="auto"/>
          <w:kern w:val="2"/>
          <w:sz w:val="32"/>
          <w:szCs w:val="32"/>
          <w:highlight w:val="none"/>
          <w:u w:val="none"/>
          <w:lang w:val="en-US" w:eastAsia="zh-CN" w:bidi="ar"/>
        </w:rPr>
        <w:t>所需</w:t>
      </w:r>
      <w:r>
        <w:rPr>
          <w:rFonts w:hint="eastAsia" w:ascii="仿宋_GB2312" w:hAnsi="仿宋_GB2312" w:eastAsia="仿宋_GB2312" w:cs="仿宋_GB2312"/>
          <w:color w:val="auto"/>
          <w:kern w:val="2"/>
          <w:sz w:val="32"/>
          <w:szCs w:val="32"/>
          <w:highlight w:val="none"/>
          <w:u w:val="none"/>
          <w:lang w:bidi="ar"/>
        </w:rPr>
        <w:t>资料及</w:t>
      </w:r>
      <w:r>
        <w:rPr>
          <w:rFonts w:hint="eastAsia" w:ascii="仿宋_GB2312" w:hAnsi="仿宋_GB2312" w:eastAsia="仿宋_GB2312" w:cs="仿宋_GB2312"/>
          <w:color w:val="auto"/>
          <w:kern w:val="2"/>
          <w:sz w:val="32"/>
          <w:szCs w:val="32"/>
          <w:highlight w:val="none"/>
          <w:u w:val="none"/>
          <w:lang w:val="en-US" w:eastAsia="zh-Hans" w:bidi="ar"/>
        </w:rPr>
        <w:t>其他</w:t>
      </w:r>
      <w:r>
        <w:rPr>
          <w:rFonts w:hint="eastAsia" w:ascii="仿宋_GB2312" w:hAnsi="仿宋_GB2312" w:eastAsia="仿宋_GB2312" w:cs="仿宋_GB2312"/>
          <w:color w:val="auto"/>
          <w:kern w:val="2"/>
          <w:sz w:val="32"/>
          <w:szCs w:val="32"/>
          <w:highlight w:val="none"/>
          <w:u w:val="none"/>
          <w:lang w:bidi="ar"/>
        </w:rPr>
        <w:t>需要承包人提交或准备的全部资料后28日止</w:t>
      </w:r>
      <w:r>
        <w:rPr>
          <w:rFonts w:hint="eastAsia" w:ascii="仿宋_GB2312" w:hAnsi="仿宋_GB2312" w:eastAsia="仿宋_GB2312" w:cs="仿宋_GB2312"/>
          <w:color w:val="auto"/>
          <w:sz w:val="32"/>
          <w:szCs w:val="32"/>
          <w:highlight w:val="none"/>
          <w:u w:val="none"/>
          <w:lang w:bidi="ar"/>
        </w:rPr>
        <w:t>。</w:t>
      </w:r>
      <w:r>
        <w:rPr>
          <w:rFonts w:hint="eastAsia" w:ascii="仿宋_GB2312" w:hAnsi="仿宋_GB2312" w:eastAsia="仿宋_GB2312" w:cs="仿宋_GB2312"/>
          <w:color w:val="auto"/>
          <w:sz w:val="32"/>
          <w:szCs w:val="32"/>
          <w:highlight w:val="none"/>
          <w:u w:val="none"/>
          <w:lang w:val="en-US" w:eastAsia="zh-Hans" w:bidi="ar"/>
        </w:rPr>
        <w:t>保函需延期的</w:t>
      </w:r>
      <w:r>
        <w:rPr>
          <w:rFonts w:hint="eastAsia" w:ascii="仿宋_GB2312" w:hAnsi="仿宋_GB2312" w:eastAsia="仿宋_GB2312" w:cs="仿宋_GB2312"/>
          <w:color w:val="auto"/>
          <w:sz w:val="32"/>
          <w:szCs w:val="32"/>
          <w:highlight w:val="none"/>
          <w:u w:val="none"/>
          <w:lang w:eastAsia="zh-Hans" w:bidi="ar"/>
        </w:rPr>
        <w:t>，</w:t>
      </w:r>
      <w:r>
        <w:rPr>
          <w:rFonts w:hint="eastAsia" w:ascii="仿宋_GB2312" w:hAnsi="仿宋_GB2312" w:eastAsia="仿宋_GB2312" w:cs="仿宋_GB2312"/>
          <w:color w:val="auto"/>
          <w:sz w:val="32"/>
          <w:szCs w:val="32"/>
          <w:highlight w:val="none"/>
          <w:u w:val="none"/>
          <w:lang w:val="en-US" w:eastAsia="zh-Hans" w:bidi="ar"/>
        </w:rPr>
        <w:t>经发包人书面通知</w:t>
      </w:r>
      <w:r>
        <w:rPr>
          <w:rFonts w:hint="eastAsia" w:ascii="仿宋_GB2312" w:hAnsi="仿宋_GB2312" w:eastAsia="仿宋_GB2312" w:cs="仿宋_GB2312"/>
          <w:color w:val="auto"/>
          <w:sz w:val="32"/>
          <w:szCs w:val="32"/>
          <w:highlight w:val="none"/>
          <w:u w:val="none"/>
          <w:lang w:eastAsia="zh-Hans" w:bidi="ar"/>
        </w:rPr>
        <w:t>，</w:t>
      </w:r>
      <w:r>
        <w:rPr>
          <w:rFonts w:hint="eastAsia" w:ascii="仿宋_GB2312" w:hAnsi="仿宋_GB2312" w:eastAsia="仿宋_GB2312" w:cs="仿宋_GB2312"/>
          <w:color w:val="auto"/>
          <w:sz w:val="32"/>
          <w:szCs w:val="32"/>
          <w:highlight w:val="none"/>
          <w:u w:val="none"/>
          <w:lang w:val="en-US" w:eastAsia="zh-Hans" w:bidi="ar"/>
        </w:rPr>
        <w:t>承包人</w:t>
      </w:r>
      <w:r>
        <w:rPr>
          <w:rFonts w:hint="eastAsia" w:ascii="仿宋_GB2312" w:hAnsi="仿宋_GB2312" w:eastAsia="仿宋_GB2312" w:cs="仿宋_GB2312"/>
          <w:color w:val="auto"/>
          <w:sz w:val="32"/>
          <w:szCs w:val="32"/>
          <w:highlight w:val="none"/>
          <w:u w:val="none"/>
          <w:lang w:val="en-US" w:eastAsia="zh-CN" w:bidi="ar"/>
        </w:rPr>
        <w:t>应</w:t>
      </w:r>
      <w:r>
        <w:rPr>
          <w:rFonts w:hint="eastAsia" w:ascii="仿宋_GB2312" w:hAnsi="仿宋_GB2312" w:eastAsia="仿宋_GB2312" w:cs="仿宋_GB2312"/>
          <w:color w:val="auto"/>
          <w:sz w:val="32"/>
          <w:szCs w:val="32"/>
          <w:highlight w:val="none"/>
          <w:u w:val="none"/>
          <w:lang w:val="en-US" w:eastAsia="zh-Hans" w:bidi="ar"/>
        </w:rPr>
        <w:t>无条件将保函进行延期</w:t>
      </w:r>
      <w:r>
        <w:rPr>
          <w:rFonts w:hint="eastAsia" w:ascii="仿宋_GB2312" w:hAnsi="仿宋_GB2312" w:eastAsia="仿宋_GB2312" w:cs="仿宋_GB2312"/>
          <w:color w:val="auto"/>
          <w:sz w:val="32"/>
          <w:szCs w:val="32"/>
          <w:highlight w:val="none"/>
          <w:u w:val="none"/>
          <w:lang w:eastAsia="zh-Hans" w:bidi="ar"/>
        </w:rPr>
        <w:t>。</w:t>
      </w:r>
    </w:p>
    <w:p w14:paraId="354E315A">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lang w:val="en-US" w:eastAsia="zh-CN" w:bidi="ar"/>
        </w:rPr>
      </w:pPr>
      <w:r>
        <w:rPr>
          <w:rFonts w:hint="eastAsia" w:ascii="仿宋_GB2312" w:hAnsi="仿宋_GB2312" w:eastAsia="仿宋_GB2312" w:cs="仿宋_GB2312"/>
          <w:color w:val="auto"/>
          <w:sz w:val="32"/>
          <w:szCs w:val="32"/>
          <w:highlight w:val="none"/>
          <w:u w:val="none"/>
          <w:lang w:val="en-US" w:eastAsia="zh-CN" w:bidi="ar"/>
        </w:rPr>
        <w:t>如承包人因其自身原因导致担保人不予办理银行保函延期手续（含新开保函，下同）的，承包人可向发包人提供担保人不予办理银行保函延期手续或开立新保函的相关证明文件并提交更改履约担保的书面申请，发包人有权核实上述相关证明的真实性，经发包人同意后双方签订补充协议方可更改履约担保方式，如发包人不同意或双方对更改后的履约担保方式无法达成一致意见的，承包人仍应按照合同原约定办理银行保函延期手续或开立新的银行履约保函。</w:t>
      </w:r>
    </w:p>
    <w:p w14:paraId="09A095C5">
      <w:pPr>
        <w:pageBreakBefore w:val="0"/>
        <w:kinsoku/>
        <w:wordWrap/>
        <w:overflowPunct/>
        <w:topLinePunct w:val="0"/>
        <w:bidi w:val="0"/>
        <w:adjustRightInd w:val="0"/>
        <w:snapToGrid w:val="0"/>
        <w:spacing w:line="560" w:lineRule="exact"/>
        <w:ind w:firstLine="560"/>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highlight w:val="none"/>
          <w:u w:val="none"/>
          <w:lang w:val="en-US" w:eastAsia="zh-CN"/>
        </w:rPr>
        <w:t>第三种方式：</w:t>
      </w:r>
      <w:r>
        <w:rPr>
          <w:rFonts w:hint="eastAsia" w:ascii="仿宋_GB2312" w:hAnsi="仿宋_GB2312" w:eastAsia="仿宋_GB2312" w:cs="仿宋_GB2312"/>
          <w:kern w:val="2"/>
          <w:sz w:val="32"/>
          <w:szCs w:val="32"/>
          <w:u w:val="none"/>
          <w:lang w:val="en-US" w:eastAsia="zh-CN"/>
        </w:rPr>
        <w:t>非银行金融机构</w:t>
      </w:r>
      <w:r>
        <w:rPr>
          <w:rFonts w:hint="eastAsia" w:ascii="仿宋_GB2312" w:hAnsi="仿宋_GB2312" w:eastAsia="仿宋_GB2312" w:cs="仿宋_GB2312"/>
          <w:sz w:val="32"/>
          <w:szCs w:val="32"/>
          <w:u w:val="none"/>
        </w:rPr>
        <w:t>保函</w:t>
      </w:r>
      <w:r>
        <w:rPr>
          <w:rFonts w:hint="eastAsia" w:ascii="仿宋_GB2312" w:hAnsi="仿宋_GB2312" w:eastAsia="仿宋_GB2312" w:cs="仿宋_GB2312"/>
          <w:sz w:val="32"/>
          <w:szCs w:val="32"/>
          <w:highlight w:val="none"/>
          <w:u w:val="none"/>
          <w:lang w:val="en-US" w:eastAsia="zh-CN"/>
        </w:rPr>
        <w:t>形式</w:t>
      </w:r>
      <w:r>
        <w:rPr>
          <w:rFonts w:hint="eastAsia" w:ascii="仿宋_GB2312" w:hAnsi="仿宋_GB2312" w:eastAsia="仿宋_GB2312" w:cs="仿宋_GB2312"/>
          <w:sz w:val="32"/>
          <w:szCs w:val="32"/>
          <w:u w:val="none"/>
        </w:rPr>
        <w:t>：</w:t>
      </w:r>
    </w:p>
    <w:p w14:paraId="06479859">
      <w:pPr>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lang w:val="en-US" w:eastAsia="zh-CN"/>
        </w:rPr>
        <w:t>①</w:t>
      </w:r>
      <w:r>
        <w:rPr>
          <w:rFonts w:hint="eastAsia" w:ascii="仿宋_GB2312" w:hAnsi="仿宋_GB2312" w:eastAsia="仿宋_GB2312" w:cs="仿宋_GB2312"/>
          <w:sz w:val="32"/>
          <w:szCs w:val="32"/>
          <w:u w:val="none"/>
        </w:rPr>
        <w:t>合同签订后30天内承包人应按本合同附件</w:t>
      </w:r>
      <w:r>
        <w:rPr>
          <w:rFonts w:hint="eastAsia" w:ascii="仿宋_GB2312" w:hAnsi="仿宋_GB2312" w:eastAsia="仿宋_GB2312" w:cs="仿宋_GB2312"/>
          <w:sz w:val="32"/>
          <w:szCs w:val="32"/>
          <w:u w:val="none"/>
          <w:lang w:val="en-US" w:eastAsia="zh-CN"/>
        </w:rPr>
        <w:t>19</w:t>
      </w:r>
      <w:r>
        <w:rPr>
          <w:rFonts w:hint="eastAsia" w:ascii="仿宋_GB2312" w:hAnsi="仿宋_GB2312" w:eastAsia="仿宋_GB2312" w:cs="仿宋_GB2312"/>
          <w:sz w:val="32"/>
          <w:szCs w:val="32"/>
          <w:u w:val="none"/>
        </w:rPr>
        <w:t>约定的履约担保格式将金额为签约合同价10%的履约保函提交发包人</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rPr>
        <w:t>保函开立人应是</w:t>
      </w:r>
      <w:r>
        <w:rPr>
          <w:rFonts w:hint="eastAsia" w:ascii="仿宋_GB2312" w:hAnsi="仿宋_GB2312" w:eastAsia="仿宋_GB2312" w:cs="仿宋_GB2312"/>
          <w:sz w:val="32"/>
          <w:szCs w:val="32"/>
          <w:u w:val="none"/>
          <w:lang w:val="en-US" w:eastAsia="zh-CN"/>
        </w:rPr>
        <w:t>经甲方认可的非银行金融机构</w:t>
      </w:r>
      <w:r>
        <w:rPr>
          <w:rFonts w:hint="eastAsia" w:ascii="仿宋_GB2312" w:hAnsi="仿宋_GB2312" w:eastAsia="仿宋_GB2312" w:cs="仿宋_GB2312"/>
          <w:sz w:val="32"/>
          <w:szCs w:val="32"/>
          <w:u w:val="none"/>
        </w:rPr>
        <w:t>，保函须为不可撤销、不可转让且无条件见索即付，保函自</w:t>
      </w:r>
      <w:r>
        <w:rPr>
          <w:rFonts w:hint="eastAsia" w:ascii="仿宋_GB2312" w:hAnsi="仿宋_GB2312" w:eastAsia="仿宋_GB2312" w:cs="仿宋_GB2312"/>
          <w:sz w:val="32"/>
          <w:szCs w:val="32"/>
          <w:u w:val="none"/>
          <w:lang w:val="en-US" w:eastAsia="zh-CN"/>
        </w:rPr>
        <w:t>开立人</w:t>
      </w:r>
      <w:r>
        <w:rPr>
          <w:rFonts w:hint="eastAsia" w:ascii="仿宋_GB2312" w:hAnsi="仿宋_GB2312" w:eastAsia="仿宋_GB2312" w:cs="仿宋_GB2312"/>
          <w:sz w:val="32"/>
          <w:szCs w:val="32"/>
          <w:u w:val="none"/>
        </w:rPr>
        <w:t>开立之日起生效且须有查询码或二维码，开立所需的费用（含保函延期的所有相关费用）由承包人承担，否则发包人将依据本合同专用条款第16.2.2条第（1</w:t>
      </w:r>
      <w:r>
        <w:rPr>
          <w:rFonts w:hint="eastAsia" w:ascii="仿宋_GB2312" w:hAnsi="仿宋_GB2312" w:eastAsia="仿宋_GB2312" w:cs="仿宋_GB2312"/>
          <w:sz w:val="32"/>
          <w:szCs w:val="32"/>
          <w:u w:val="none"/>
          <w:lang w:val="en-US" w:eastAsia="zh-CN"/>
        </w:rPr>
        <w:t>6</w:t>
      </w:r>
      <w:r>
        <w:rPr>
          <w:rFonts w:hint="eastAsia" w:ascii="仿宋_GB2312" w:hAnsi="仿宋_GB2312" w:eastAsia="仿宋_GB2312" w:cs="仿宋_GB2312"/>
          <w:sz w:val="32"/>
          <w:szCs w:val="32"/>
          <w:u w:val="none"/>
        </w:rPr>
        <w:t>）款追究承包人的违约责任。</w:t>
      </w:r>
    </w:p>
    <w:p w14:paraId="1985A5FC">
      <w:pPr>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②履约保函的有效期限为：自保函开立之日起至本合同约定工程全部完工且经竣工验收达到合同约定的质量等级、发包人签发本项目工程接收证书且经发包人方书面确认承包人提交了竣工验收备案办理所需资料及其他需要承包人提交或准备的全部资料后28日止。保函需延期的，经发包人书面通知，承包人应无条件将保函进行延期。</w:t>
      </w:r>
    </w:p>
    <w:p w14:paraId="51B0A2B8">
      <w:pPr>
        <w:pageBreakBefore w:val="0"/>
        <w:kinsoku/>
        <w:wordWrap/>
        <w:overflowPunct/>
        <w:topLinePunct w:val="0"/>
        <w:bidi w:val="0"/>
        <w:adjustRightInd w:val="0"/>
        <w:snapToGrid w:val="0"/>
        <w:spacing w:line="560" w:lineRule="exact"/>
        <w:ind w:firstLine="640" w:firstLineChars="200"/>
        <w:rPr>
          <w:rFonts w:hint="eastAsia" w:ascii="仿宋_GB2312" w:hAnsi="仿宋_GB2312" w:eastAsia="仿宋_GB2312" w:cs="仿宋_GB2312"/>
          <w:sz w:val="32"/>
          <w:szCs w:val="32"/>
          <w:u w:val="none"/>
          <w:lang w:eastAsia="zh-CN"/>
        </w:rPr>
      </w:pPr>
      <w:r>
        <w:rPr>
          <w:rFonts w:hint="eastAsia" w:ascii="仿宋_GB2312" w:hAnsi="仿宋_GB2312" w:eastAsia="仿宋_GB2312" w:cs="仿宋_GB2312"/>
          <w:sz w:val="32"/>
          <w:szCs w:val="32"/>
          <w:u w:val="none"/>
          <w:lang w:eastAsia="zh-CN"/>
        </w:rPr>
        <w:t>如承包人因其自身原因导致担保人不予办理保函延期手续（含新开保函，下同）的，承包人可向发包人提供担保人不予办理保函延期手续或开立新保函的相关证明文件并提交更改履约担保的书面申请，发包人有权核实上述相关证明的真实性，经发包人同意后双方签订补充协议方可更改履约担保方式，如发包人不同意或双方对更改后的履约担保方式无法达成一致意见的，承包人仍应按照合同原约定办理保函延期手续或开立新的履约保函。</w:t>
      </w:r>
    </w:p>
    <w:p w14:paraId="1263C30B">
      <w:pPr>
        <w:pageBreakBefore w:val="0"/>
        <w:kinsoku/>
        <w:wordWrap/>
        <w:overflowPunct/>
        <w:topLinePunct w:val="0"/>
        <w:bidi w:val="0"/>
        <w:adjustRightInd w:val="0"/>
        <w:snapToGrid w:val="0"/>
        <w:spacing w:line="560" w:lineRule="exact"/>
        <w:ind w:firstLine="560"/>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highlight w:val="none"/>
          <w:u w:val="none"/>
          <w:lang w:val="en-US" w:eastAsia="zh-CN"/>
        </w:rPr>
        <w:t>第四种方式：连带责任保证形式</w:t>
      </w:r>
      <w:r>
        <w:rPr>
          <w:rFonts w:hint="eastAsia" w:ascii="仿宋_GB2312" w:hAnsi="仿宋_GB2312" w:eastAsia="仿宋_GB2312" w:cs="仿宋_GB2312"/>
          <w:sz w:val="32"/>
          <w:szCs w:val="32"/>
          <w:u w:val="none"/>
        </w:rPr>
        <w:t>：</w:t>
      </w:r>
    </w:p>
    <w:p w14:paraId="4343E907">
      <w:pPr>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lang w:val="en-US" w:eastAsia="zh-CN"/>
        </w:rPr>
        <w:t>①</w:t>
      </w:r>
      <w:r>
        <w:rPr>
          <w:rFonts w:hint="eastAsia" w:ascii="仿宋_GB2312" w:hAnsi="仿宋_GB2312" w:eastAsia="仿宋_GB2312" w:cs="仿宋_GB2312"/>
          <w:sz w:val="32"/>
          <w:szCs w:val="32"/>
          <w:u w:val="none"/>
        </w:rPr>
        <w:t>合同签订后30天内承包人应按本合同附件</w:t>
      </w:r>
      <w:r>
        <w:rPr>
          <w:rFonts w:hint="eastAsia" w:ascii="仿宋_GB2312" w:hAnsi="仿宋_GB2312" w:eastAsia="仿宋_GB2312" w:cs="仿宋_GB2312"/>
          <w:sz w:val="32"/>
          <w:szCs w:val="32"/>
          <w:u w:val="none"/>
          <w:lang w:val="en-US" w:eastAsia="zh-CN"/>
        </w:rPr>
        <w:t>19</w:t>
      </w:r>
      <w:r>
        <w:rPr>
          <w:rFonts w:hint="eastAsia" w:ascii="仿宋_GB2312" w:hAnsi="仿宋_GB2312" w:eastAsia="仿宋_GB2312" w:cs="仿宋_GB2312"/>
          <w:sz w:val="32"/>
          <w:szCs w:val="32"/>
          <w:u w:val="none"/>
        </w:rPr>
        <w:t>约定的履约担保格式将</w:t>
      </w:r>
      <w:r>
        <w:rPr>
          <w:rFonts w:hint="eastAsia" w:ascii="仿宋_GB2312" w:hAnsi="仿宋_GB2312" w:eastAsia="仿宋_GB2312" w:cs="仿宋_GB2312"/>
          <w:sz w:val="32"/>
          <w:szCs w:val="32"/>
          <w:highlight w:val="none"/>
          <w:u w:val="none"/>
          <w:lang w:val="en-US" w:eastAsia="zh-CN"/>
        </w:rPr>
        <w:t>连带责任保证</w:t>
      </w:r>
      <w:r>
        <w:rPr>
          <w:rFonts w:hint="eastAsia" w:ascii="仿宋_GB2312" w:hAnsi="仿宋_GB2312" w:eastAsia="仿宋_GB2312" w:cs="仿宋_GB2312"/>
          <w:sz w:val="32"/>
          <w:szCs w:val="32"/>
          <w:u w:val="none"/>
        </w:rPr>
        <w:t>函提交发包人</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highlight w:val="none"/>
          <w:u w:val="none"/>
          <w:lang w:val="en-US" w:eastAsia="zh-CN"/>
        </w:rPr>
        <w:t>连带责任保证</w:t>
      </w:r>
      <w:r>
        <w:rPr>
          <w:rFonts w:hint="eastAsia" w:ascii="仿宋_GB2312" w:hAnsi="仿宋_GB2312" w:eastAsia="仿宋_GB2312" w:cs="仿宋_GB2312"/>
          <w:sz w:val="32"/>
          <w:szCs w:val="32"/>
          <w:u w:val="none"/>
        </w:rPr>
        <w:t>人应是</w:t>
      </w:r>
      <w:r>
        <w:rPr>
          <w:rFonts w:hint="eastAsia" w:ascii="仿宋_GB2312" w:hAnsi="仿宋_GB2312" w:eastAsia="仿宋_GB2312" w:cs="仿宋_GB2312"/>
          <w:sz w:val="32"/>
          <w:szCs w:val="32"/>
          <w:u w:val="none"/>
          <w:lang w:val="en-US" w:eastAsia="zh-CN"/>
        </w:rPr>
        <w:t>经甲方认可的机构</w:t>
      </w:r>
      <w:r>
        <w:rPr>
          <w:rFonts w:hint="eastAsia" w:ascii="仿宋_GB2312" w:hAnsi="仿宋_GB2312" w:eastAsia="仿宋_GB2312" w:cs="仿宋_GB2312"/>
          <w:sz w:val="32"/>
          <w:szCs w:val="32"/>
          <w:u w:val="none"/>
        </w:rPr>
        <w:t>，</w:t>
      </w:r>
      <w:r>
        <w:rPr>
          <w:rFonts w:hint="eastAsia" w:ascii="仿宋_GB2312" w:hAnsi="仿宋_GB2312" w:eastAsia="仿宋_GB2312" w:cs="仿宋_GB2312"/>
          <w:sz w:val="32"/>
          <w:szCs w:val="32"/>
          <w:u w:val="none"/>
          <w:lang w:val="en-US" w:eastAsia="zh-CN"/>
        </w:rPr>
        <w:t>连带责任保证</w:t>
      </w:r>
      <w:r>
        <w:rPr>
          <w:rFonts w:hint="eastAsia" w:ascii="仿宋_GB2312" w:hAnsi="仿宋_GB2312" w:eastAsia="仿宋_GB2312" w:cs="仿宋_GB2312"/>
          <w:sz w:val="32"/>
          <w:szCs w:val="32"/>
          <w:u w:val="none"/>
        </w:rPr>
        <w:t>须为不可撤销、不可转让且无条件见索即付，</w:t>
      </w:r>
      <w:r>
        <w:rPr>
          <w:rFonts w:hint="eastAsia" w:ascii="仿宋_GB2312" w:hAnsi="仿宋_GB2312" w:eastAsia="仿宋_GB2312" w:cs="仿宋_GB2312"/>
          <w:sz w:val="32"/>
          <w:szCs w:val="32"/>
          <w:u w:val="none"/>
          <w:lang w:val="en-US" w:eastAsia="zh-CN"/>
        </w:rPr>
        <w:t>连带责任保证</w:t>
      </w:r>
      <w:r>
        <w:rPr>
          <w:rFonts w:hint="eastAsia" w:ascii="仿宋_GB2312" w:hAnsi="仿宋_GB2312" w:eastAsia="仿宋_GB2312" w:cs="仿宋_GB2312"/>
          <w:sz w:val="32"/>
          <w:szCs w:val="32"/>
          <w:u w:val="none"/>
        </w:rPr>
        <w:t>函自</w:t>
      </w:r>
      <w:r>
        <w:rPr>
          <w:rFonts w:hint="eastAsia" w:ascii="仿宋_GB2312" w:hAnsi="仿宋_GB2312" w:eastAsia="仿宋_GB2312" w:cs="仿宋_GB2312"/>
          <w:sz w:val="32"/>
          <w:szCs w:val="32"/>
          <w:u w:val="none"/>
          <w:lang w:val="en-US" w:eastAsia="zh-CN"/>
        </w:rPr>
        <w:t>保证人签字盖章</w:t>
      </w:r>
      <w:r>
        <w:rPr>
          <w:rFonts w:hint="eastAsia" w:ascii="仿宋_GB2312" w:hAnsi="仿宋_GB2312" w:eastAsia="仿宋_GB2312" w:cs="仿宋_GB2312"/>
          <w:sz w:val="32"/>
          <w:szCs w:val="32"/>
          <w:u w:val="none"/>
        </w:rPr>
        <w:t>之日起生效，开立所需的费用（含</w:t>
      </w:r>
      <w:r>
        <w:rPr>
          <w:rFonts w:hint="eastAsia" w:ascii="仿宋_GB2312" w:hAnsi="仿宋_GB2312" w:eastAsia="仿宋_GB2312" w:cs="仿宋_GB2312"/>
          <w:sz w:val="32"/>
          <w:szCs w:val="32"/>
          <w:u w:val="none"/>
          <w:lang w:val="en-US" w:eastAsia="zh-CN"/>
        </w:rPr>
        <w:t>保证函</w:t>
      </w:r>
      <w:r>
        <w:rPr>
          <w:rFonts w:hint="eastAsia" w:ascii="仿宋_GB2312" w:hAnsi="仿宋_GB2312" w:eastAsia="仿宋_GB2312" w:cs="仿宋_GB2312"/>
          <w:sz w:val="32"/>
          <w:szCs w:val="32"/>
          <w:u w:val="none"/>
        </w:rPr>
        <w:t>延期的所有相关费用）由承包人承担，否则发包人将依据本合同专用条款第16.2.2条第（1</w:t>
      </w:r>
      <w:r>
        <w:rPr>
          <w:rFonts w:hint="eastAsia" w:ascii="仿宋_GB2312" w:hAnsi="仿宋_GB2312" w:eastAsia="仿宋_GB2312" w:cs="仿宋_GB2312"/>
          <w:sz w:val="32"/>
          <w:szCs w:val="32"/>
          <w:u w:val="none"/>
          <w:lang w:val="en-US" w:eastAsia="zh-CN"/>
        </w:rPr>
        <w:t>6</w:t>
      </w:r>
      <w:r>
        <w:rPr>
          <w:rFonts w:hint="eastAsia" w:ascii="仿宋_GB2312" w:hAnsi="仿宋_GB2312" w:eastAsia="仿宋_GB2312" w:cs="仿宋_GB2312"/>
          <w:sz w:val="32"/>
          <w:szCs w:val="32"/>
          <w:u w:val="none"/>
        </w:rPr>
        <w:t>）款追究承包人的违约责任。</w:t>
      </w:r>
    </w:p>
    <w:p w14:paraId="0BF64675">
      <w:pPr>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z w:val="32"/>
          <w:szCs w:val="32"/>
          <w:highlight w:val="none"/>
          <w:u w:val="none"/>
        </w:rPr>
        <w:t>②</w:t>
      </w:r>
      <w:r>
        <w:rPr>
          <w:rFonts w:hint="eastAsia" w:ascii="仿宋_GB2312" w:hAnsi="仿宋_GB2312" w:eastAsia="仿宋_GB2312" w:cs="仿宋_GB2312"/>
          <w:sz w:val="32"/>
          <w:szCs w:val="32"/>
          <w:highlight w:val="none"/>
          <w:u w:val="none"/>
          <w:lang w:val="en-US" w:eastAsia="zh-CN"/>
        </w:rPr>
        <w:t>如连带责任保证</w:t>
      </w:r>
      <w:r>
        <w:rPr>
          <w:rFonts w:hint="eastAsia" w:ascii="仿宋_GB2312" w:hAnsi="仿宋_GB2312" w:eastAsia="仿宋_GB2312" w:cs="仿宋_GB2312"/>
          <w:sz w:val="32"/>
          <w:szCs w:val="32"/>
          <w:highlight w:val="none"/>
          <w:u w:val="none"/>
        </w:rPr>
        <w:t>函</w:t>
      </w:r>
      <w:r>
        <w:rPr>
          <w:rFonts w:hint="eastAsia" w:ascii="仿宋_GB2312" w:hAnsi="仿宋_GB2312" w:eastAsia="仿宋_GB2312" w:cs="仿宋_GB2312"/>
          <w:sz w:val="32"/>
          <w:szCs w:val="32"/>
          <w:highlight w:val="none"/>
          <w:u w:val="none"/>
          <w:lang w:val="en-US" w:eastAsia="zh-CN"/>
        </w:rPr>
        <w:t>在本合同约定工程全部完工且经竣工验收达到合同约定的质量等级、</w:t>
      </w:r>
      <w:r>
        <w:rPr>
          <w:rFonts w:hint="eastAsia" w:ascii="仿宋_GB2312" w:hAnsi="仿宋_GB2312" w:eastAsia="仿宋_GB2312" w:cs="仿宋_GB2312"/>
          <w:sz w:val="32"/>
          <w:szCs w:val="32"/>
          <w:highlight w:val="none"/>
          <w:u w:val="none"/>
        </w:rPr>
        <w:t>发包人签发本项目工程接收证书且经发包人方书面确认承包人提交了竣工验收备案办理所需资料及其他需要承包人提交或准备的全部资料</w:t>
      </w:r>
      <w:r>
        <w:rPr>
          <w:rFonts w:hint="eastAsia" w:ascii="仿宋_GB2312" w:hAnsi="仿宋_GB2312" w:eastAsia="仿宋_GB2312" w:cs="仿宋_GB2312"/>
          <w:sz w:val="32"/>
          <w:szCs w:val="32"/>
          <w:highlight w:val="none"/>
          <w:u w:val="none"/>
          <w:lang w:val="en-US" w:eastAsia="zh-CN"/>
        </w:rPr>
        <w:t>前失效（或担保期限届满的）的，承包人应无条件按本合同约定办理连带责任保证函延期（新开）手续</w:t>
      </w:r>
      <w:r>
        <w:rPr>
          <w:rFonts w:hint="eastAsia" w:ascii="仿宋_GB2312" w:hAnsi="仿宋_GB2312" w:eastAsia="仿宋_GB2312" w:cs="仿宋_GB2312"/>
          <w:sz w:val="32"/>
          <w:szCs w:val="32"/>
          <w:highlight w:val="none"/>
          <w:u w:val="none"/>
        </w:rPr>
        <w:t>。</w:t>
      </w:r>
      <w:r>
        <w:rPr>
          <w:rFonts w:hint="eastAsia" w:ascii="仿宋_GB2312" w:hAnsi="仿宋_GB2312" w:eastAsia="仿宋_GB2312" w:cs="仿宋_GB2312"/>
          <w:sz w:val="32"/>
          <w:szCs w:val="32"/>
          <w:highlight w:val="none"/>
          <w:u w:val="none"/>
          <w:lang w:val="en-US" w:eastAsia="zh-CN"/>
        </w:rPr>
        <w:t>连带责任保证</w:t>
      </w:r>
      <w:r>
        <w:rPr>
          <w:rFonts w:hint="eastAsia" w:ascii="仿宋_GB2312" w:hAnsi="仿宋_GB2312" w:eastAsia="仿宋_GB2312" w:cs="仿宋_GB2312"/>
          <w:sz w:val="32"/>
          <w:szCs w:val="32"/>
          <w:highlight w:val="none"/>
          <w:u w:val="none"/>
        </w:rPr>
        <w:t>函需延期</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lang w:val="en-US" w:eastAsia="zh-CN"/>
        </w:rPr>
        <w:t>新开）</w:t>
      </w:r>
      <w:r>
        <w:rPr>
          <w:rFonts w:hint="eastAsia" w:ascii="仿宋_GB2312" w:hAnsi="仿宋_GB2312" w:eastAsia="仿宋_GB2312" w:cs="仿宋_GB2312"/>
          <w:sz w:val="32"/>
          <w:szCs w:val="32"/>
          <w:highlight w:val="none"/>
          <w:u w:val="none"/>
        </w:rPr>
        <w:t>的，经发包人书面通知，承包人应无条件将</w:t>
      </w:r>
      <w:r>
        <w:rPr>
          <w:rFonts w:hint="eastAsia" w:ascii="仿宋_GB2312" w:hAnsi="仿宋_GB2312" w:eastAsia="仿宋_GB2312" w:cs="仿宋_GB2312"/>
          <w:sz w:val="32"/>
          <w:szCs w:val="32"/>
          <w:highlight w:val="none"/>
          <w:u w:val="none"/>
          <w:lang w:val="en-US" w:eastAsia="zh-CN"/>
        </w:rPr>
        <w:t>连带责任保证</w:t>
      </w:r>
      <w:r>
        <w:rPr>
          <w:rFonts w:hint="eastAsia" w:ascii="仿宋_GB2312" w:hAnsi="仿宋_GB2312" w:eastAsia="仿宋_GB2312" w:cs="仿宋_GB2312"/>
          <w:sz w:val="32"/>
          <w:szCs w:val="32"/>
          <w:highlight w:val="none"/>
          <w:u w:val="none"/>
        </w:rPr>
        <w:t>函进行延期</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lang w:val="en-US" w:eastAsia="zh-CN"/>
        </w:rPr>
        <w:t>新开）</w:t>
      </w:r>
      <w:r>
        <w:rPr>
          <w:rFonts w:hint="eastAsia" w:ascii="仿宋_GB2312" w:hAnsi="仿宋_GB2312" w:eastAsia="仿宋_GB2312" w:cs="仿宋_GB2312"/>
          <w:sz w:val="32"/>
          <w:szCs w:val="32"/>
          <w:highlight w:val="none"/>
          <w:u w:val="none"/>
        </w:rPr>
        <w:t>。</w:t>
      </w:r>
    </w:p>
    <w:p w14:paraId="3A39F7B9">
      <w:pPr>
        <w:pageBreakBefore w:val="0"/>
        <w:kinsoku/>
        <w:wordWrap/>
        <w:overflowPunct/>
        <w:topLinePunct w:val="0"/>
        <w:bidi w:val="0"/>
        <w:adjustRightInd w:val="0"/>
        <w:snapToGrid w:val="0"/>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highlight w:val="none"/>
          <w:u w:val="none"/>
          <w:lang w:eastAsia="zh-CN"/>
        </w:rPr>
        <w:t>如承包人因其自身原因导致担保人不予办理</w:t>
      </w:r>
      <w:r>
        <w:rPr>
          <w:rFonts w:hint="eastAsia" w:ascii="仿宋_GB2312" w:hAnsi="仿宋_GB2312" w:eastAsia="仿宋_GB2312" w:cs="仿宋_GB2312"/>
          <w:sz w:val="32"/>
          <w:szCs w:val="32"/>
          <w:highlight w:val="none"/>
          <w:u w:val="none"/>
          <w:lang w:val="en-US" w:eastAsia="zh-CN"/>
        </w:rPr>
        <w:t>连带责任保证</w:t>
      </w:r>
      <w:r>
        <w:rPr>
          <w:rFonts w:hint="eastAsia" w:ascii="仿宋_GB2312" w:hAnsi="仿宋_GB2312" w:eastAsia="仿宋_GB2312" w:cs="仿宋_GB2312"/>
          <w:sz w:val="32"/>
          <w:szCs w:val="32"/>
          <w:highlight w:val="none"/>
          <w:u w:val="none"/>
        </w:rPr>
        <w:t>函</w:t>
      </w:r>
      <w:r>
        <w:rPr>
          <w:rFonts w:hint="eastAsia" w:ascii="仿宋_GB2312" w:hAnsi="仿宋_GB2312" w:eastAsia="仿宋_GB2312" w:cs="仿宋_GB2312"/>
          <w:sz w:val="32"/>
          <w:szCs w:val="32"/>
          <w:highlight w:val="none"/>
          <w:u w:val="none"/>
          <w:lang w:eastAsia="zh-CN"/>
        </w:rPr>
        <w:t>延期手续（含新开</w:t>
      </w:r>
      <w:r>
        <w:rPr>
          <w:rFonts w:hint="eastAsia" w:ascii="仿宋_GB2312" w:hAnsi="仿宋_GB2312" w:eastAsia="仿宋_GB2312" w:cs="仿宋_GB2312"/>
          <w:sz w:val="32"/>
          <w:szCs w:val="32"/>
          <w:highlight w:val="none"/>
          <w:u w:val="none"/>
          <w:lang w:val="en-US" w:eastAsia="zh-CN"/>
        </w:rPr>
        <w:t>连带责任保证</w:t>
      </w:r>
      <w:r>
        <w:rPr>
          <w:rFonts w:hint="eastAsia" w:ascii="仿宋_GB2312" w:hAnsi="仿宋_GB2312" w:eastAsia="仿宋_GB2312" w:cs="仿宋_GB2312"/>
          <w:sz w:val="32"/>
          <w:szCs w:val="32"/>
          <w:highlight w:val="none"/>
          <w:u w:val="none"/>
        </w:rPr>
        <w:t>函</w:t>
      </w:r>
      <w:r>
        <w:rPr>
          <w:rFonts w:hint="eastAsia" w:ascii="仿宋_GB2312" w:hAnsi="仿宋_GB2312" w:eastAsia="仿宋_GB2312" w:cs="仿宋_GB2312"/>
          <w:sz w:val="32"/>
          <w:szCs w:val="32"/>
          <w:highlight w:val="none"/>
          <w:u w:val="none"/>
          <w:lang w:eastAsia="zh-CN"/>
        </w:rPr>
        <w:t>，下同）的，承包人可向发包人提供担保人不予办理</w:t>
      </w:r>
      <w:r>
        <w:rPr>
          <w:rFonts w:hint="eastAsia" w:ascii="仿宋_GB2312" w:hAnsi="仿宋_GB2312" w:eastAsia="仿宋_GB2312" w:cs="仿宋_GB2312"/>
          <w:sz w:val="32"/>
          <w:szCs w:val="32"/>
          <w:highlight w:val="none"/>
          <w:u w:val="none"/>
          <w:lang w:val="en-US" w:eastAsia="zh-CN"/>
        </w:rPr>
        <w:t>连带责任保证</w:t>
      </w:r>
      <w:r>
        <w:rPr>
          <w:rFonts w:hint="eastAsia" w:ascii="仿宋_GB2312" w:hAnsi="仿宋_GB2312" w:eastAsia="仿宋_GB2312" w:cs="仿宋_GB2312"/>
          <w:sz w:val="32"/>
          <w:szCs w:val="32"/>
          <w:highlight w:val="none"/>
          <w:u w:val="none"/>
        </w:rPr>
        <w:t>函</w:t>
      </w:r>
      <w:r>
        <w:rPr>
          <w:rFonts w:hint="eastAsia" w:ascii="仿宋_GB2312" w:hAnsi="仿宋_GB2312" w:eastAsia="仿宋_GB2312" w:cs="仿宋_GB2312"/>
          <w:sz w:val="32"/>
          <w:szCs w:val="32"/>
          <w:highlight w:val="none"/>
          <w:u w:val="none"/>
          <w:lang w:eastAsia="zh-CN"/>
        </w:rPr>
        <w:t>延期手续或开立新</w:t>
      </w:r>
      <w:r>
        <w:rPr>
          <w:rFonts w:hint="eastAsia" w:ascii="仿宋_GB2312" w:hAnsi="仿宋_GB2312" w:eastAsia="仿宋_GB2312" w:cs="仿宋_GB2312"/>
          <w:sz w:val="32"/>
          <w:szCs w:val="32"/>
          <w:highlight w:val="none"/>
          <w:u w:val="none"/>
          <w:lang w:val="en-US" w:eastAsia="zh-CN"/>
        </w:rPr>
        <w:t>连带责任保证</w:t>
      </w:r>
      <w:r>
        <w:rPr>
          <w:rFonts w:hint="eastAsia" w:ascii="仿宋_GB2312" w:hAnsi="仿宋_GB2312" w:eastAsia="仿宋_GB2312" w:cs="仿宋_GB2312"/>
          <w:sz w:val="32"/>
          <w:szCs w:val="32"/>
          <w:highlight w:val="none"/>
          <w:u w:val="none"/>
        </w:rPr>
        <w:t>函</w:t>
      </w:r>
      <w:r>
        <w:rPr>
          <w:rFonts w:hint="eastAsia" w:ascii="仿宋_GB2312" w:hAnsi="仿宋_GB2312" w:eastAsia="仿宋_GB2312" w:cs="仿宋_GB2312"/>
          <w:sz w:val="32"/>
          <w:szCs w:val="32"/>
          <w:highlight w:val="none"/>
          <w:u w:val="none"/>
          <w:lang w:eastAsia="zh-CN"/>
        </w:rPr>
        <w:t>的相关证明文件并提交更改履约担保的书面申请，发包人有权核实上述相关证明的真实性，经发包人同意后双方签订补充协议方可更改履约担保方式，如发包人不同意或双方对更改后的履约担保方式无法达成一致意见的，承包人仍应按照合同原约定办理</w:t>
      </w:r>
      <w:r>
        <w:rPr>
          <w:rFonts w:hint="eastAsia" w:ascii="仿宋_GB2312" w:hAnsi="仿宋_GB2312" w:eastAsia="仿宋_GB2312" w:cs="仿宋_GB2312"/>
          <w:sz w:val="32"/>
          <w:szCs w:val="32"/>
          <w:highlight w:val="none"/>
          <w:u w:val="none"/>
          <w:lang w:val="en-US" w:eastAsia="zh-CN"/>
        </w:rPr>
        <w:t>连带责任保证</w:t>
      </w:r>
      <w:r>
        <w:rPr>
          <w:rFonts w:hint="eastAsia" w:ascii="仿宋_GB2312" w:hAnsi="仿宋_GB2312" w:eastAsia="仿宋_GB2312" w:cs="仿宋_GB2312"/>
          <w:sz w:val="32"/>
          <w:szCs w:val="32"/>
          <w:highlight w:val="none"/>
          <w:u w:val="none"/>
        </w:rPr>
        <w:t>函</w:t>
      </w:r>
      <w:r>
        <w:rPr>
          <w:rFonts w:hint="eastAsia" w:ascii="仿宋_GB2312" w:hAnsi="仿宋_GB2312" w:eastAsia="仿宋_GB2312" w:cs="仿宋_GB2312"/>
          <w:sz w:val="32"/>
          <w:szCs w:val="32"/>
          <w:highlight w:val="none"/>
          <w:u w:val="none"/>
          <w:lang w:eastAsia="zh-CN"/>
        </w:rPr>
        <w:t>延期手续或开立新的</w:t>
      </w:r>
      <w:r>
        <w:rPr>
          <w:rFonts w:hint="eastAsia" w:ascii="仿宋_GB2312" w:hAnsi="仿宋_GB2312" w:eastAsia="仿宋_GB2312" w:cs="仿宋_GB2312"/>
          <w:sz w:val="32"/>
          <w:szCs w:val="32"/>
          <w:highlight w:val="none"/>
          <w:u w:val="none"/>
          <w:lang w:val="en-US" w:eastAsia="zh-CN"/>
        </w:rPr>
        <w:t>连带责任保证</w:t>
      </w:r>
      <w:r>
        <w:rPr>
          <w:rFonts w:hint="eastAsia" w:ascii="仿宋_GB2312" w:hAnsi="仿宋_GB2312" w:eastAsia="仿宋_GB2312" w:cs="仿宋_GB2312"/>
          <w:sz w:val="32"/>
          <w:szCs w:val="32"/>
          <w:highlight w:val="none"/>
          <w:u w:val="none"/>
        </w:rPr>
        <w:t>函</w:t>
      </w:r>
      <w:r>
        <w:rPr>
          <w:rFonts w:hint="eastAsia" w:ascii="仿宋_GB2312" w:hAnsi="仿宋_GB2312" w:eastAsia="仿宋_GB2312" w:cs="仿宋_GB2312"/>
          <w:sz w:val="32"/>
          <w:szCs w:val="32"/>
          <w:highlight w:val="none"/>
          <w:u w:val="none"/>
          <w:lang w:eastAsia="zh-CN"/>
        </w:rPr>
        <w:t>。</w:t>
      </w:r>
    </w:p>
    <w:p w14:paraId="506A0210">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single"/>
        </w:rPr>
      </w:pPr>
      <w:r>
        <w:rPr>
          <w:rFonts w:hint="eastAsia" w:ascii="仿宋_GB2312" w:hAnsi="仿宋_GB2312" w:eastAsia="仿宋_GB2312" w:cs="仿宋_GB2312"/>
          <w:color w:val="auto"/>
          <w:sz w:val="32"/>
          <w:szCs w:val="32"/>
          <w:highlight w:val="none"/>
        </w:rPr>
        <w:t>（2）履约担保按下列第</w:t>
      </w:r>
      <w:permStart w:id="62" w:edGrp="everyone"/>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u w:val="single"/>
          <w:lang w:val="en-US" w:eastAsia="zh-CN"/>
        </w:rPr>
        <w:t>二</w:t>
      </w:r>
      <w:r>
        <w:rPr>
          <w:rFonts w:hint="eastAsia" w:ascii="仿宋_GB2312" w:hAnsi="仿宋_GB2312" w:eastAsia="仿宋_GB2312" w:cs="仿宋_GB2312"/>
          <w:color w:val="auto"/>
          <w:sz w:val="32"/>
          <w:szCs w:val="32"/>
          <w:highlight w:val="none"/>
          <w:u w:val="single"/>
        </w:rPr>
        <w:t xml:space="preserve"> </w:t>
      </w:r>
      <w:permEnd w:id="62"/>
      <w:r>
        <w:rPr>
          <w:rFonts w:hint="eastAsia" w:ascii="仿宋_GB2312" w:hAnsi="仿宋_GB2312" w:eastAsia="仿宋_GB2312" w:cs="仿宋_GB2312"/>
          <w:color w:val="auto"/>
          <w:sz w:val="32"/>
          <w:szCs w:val="32"/>
          <w:highlight w:val="none"/>
        </w:rPr>
        <w:t>种方式返还：</w:t>
      </w:r>
    </w:p>
    <w:p w14:paraId="3A7F12D8">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lang w:val="en-US" w:eastAsia="zh-CN"/>
        </w:rPr>
        <w:t>第一种方式：</w:t>
      </w:r>
      <w:r>
        <w:rPr>
          <w:rFonts w:hint="eastAsia" w:ascii="仿宋_GB2312" w:hAnsi="仿宋_GB2312" w:eastAsia="仿宋_GB2312" w:cs="仿宋_GB2312"/>
          <w:color w:val="auto"/>
          <w:sz w:val="32"/>
          <w:szCs w:val="32"/>
          <w:highlight w:val="none"/>
          <w:u w:val="none"/>
        </w:rPr>
        <w:t>现金</w:t>
      </w:r>
      <w:r>
        <w:rPr>
          <w:rFonts w:hint="eastAsia" w:ascii="仿宋_GB2312" w:hAnsi="仿宋_GB2312" w:eastAsia="仿宋_GB2312" w:cs="仿宋_GB2312"/>
          <w:color w:val="auto"/>
          <w:sz w:val="32"/>
          <w:szCs w:val="32"/>
          <w:highlight w:val="none"/>
          <w:u w:val="none"/>
          <w:lang w:val="en-US" w:eastAsia="zh-CN"/>
        </w:rPr>
        <w:t>形式</w:t>
      </w:r>
      <w:r>
        <w:rPr>
          <w:rFonts w:hint="eastAsia" w:ascii="仿宋_GB2312" w:hAnsi="仿宋_GB2312" w:eastAsia="仿宋_GB2312" w:cs="仿宋_GB2312"/>
          <w:color w:val="auto"/>
          <w:sz w:val="32"/>
          <w:szCs w:val="32"/>
          <w:highlight w:val="none"/>
          <w:u w:val="none"/>
        </w:rPr>
        <w:t>，</w:t>
      </w:r>
      <w:r>
        <w:rPr>
          <w:rFonts w:hint="eastAsia" w:ascii="仿宋_GB2312" w:hAnsi="仿宋_GB2312" w:eastAsia="仿宋_GB2312" w:cs="仿宋_GB2312"/>
          <w:sz w:val="32"/>
          <w:szCs w:val="32"/>
          <w:u w:val="none"/>
        </w:rPr>
        <w:t>当本合同约定工程全部完工</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rPr>
        <w:t>经竣工验收达到合同约定的质量等级且发包人签发本项目工程接收证书且经发包人方书面确认承包人提交了竣工验收备案办理所需资料及其他需要承包人提交或准备的全部资料后，承包人向发包人提出返还履约保证金的申请，经发包人批准后28天内退还承包人履约保证金（扣减承包人应付未付的经济补偿金</w:t>
      </w:r>
      <w:r>
        <w:rPr>
          <w:rFonts w:hint="eastAsia" w:ascii="仿宋_GB2312" w:hAnsi="仿宋_GB2312" w:eastAsia="仿宋_GB2312" w:cs="仿宋_GB2312"/>
          <w:sz w:val="32"/>
          <w:szCs w:val="32"/>
          <w:u w:val="none"/>
          <w:lang w:val="en-US" w:eastAsia="zh-CN"/>
        </w:rPr>
        <w:t>后的履约保证金</w:t>
      </w:r>
      <w:r>
        <w:rPr>
          <w:rFonts w:hint="eastAsia" w:ascii="仿宋_GB2312" w:hAnsi="仿宋_GB2312" w:eastAsia="仿宋_GB2312" w:cs="仿宋_GB2312"/>
          <w:sz w:val="32"/>
          <w:szCs w:val="32"/>
          <w:u w:val="none"/>
        </w:rPr>
        <w:t>）</w:t>
      </w:r>
      <w:r>
        <w:rPr>
          <w:rFonts w:hint="eastAsia" w:ascii="仿宋_GB2312" w:hAnsi="仿宋_GB2312" w:eastAsia="仿宋_GB2312" w:cs="仿宋_GB2312"/>
          <w:color w:val="auto"/>
          <w:sz w:val="32"/>
          <w:szCs w:val="32"/>
          <w:highlight w:val="none"/>
          <w:u w:val="none"/>
        </w:rPr>
        <w:t>。</w:t>
      </w:r>
    </w:p>
    <w:p w14:paraId="609DF080">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lang w:val="en-US" w:eastAsia="zh-CN"/>
        </w:rPr>
        <w:t>第二种方式：</w:t>
      </w:r>
      <w:r>
        <w:rPr>
          <w:rFonts w:hint="eastAsia" w:ascii="仿宋_GB2312" w:hAnsi="仿宋_GB2312" w:eastAsia="仿宋_GB2312" w:cs="仿宋_GB2312"/>
          <w:color w:val="auto"/>
          <w:sz w:val="32"/>
          <w:szCs w:val="32"/>
          <w:highlight w:val="none"/>
          <w:u w:val="none"/>
        </w:rPr>
        <w:t>银行保函</w:t>
      </w:r>
      <w:r>
        <w:rPr>
          <w:rFonts w:hint="eastAsia" w:ascii="仿宋_GB2312" w:hAnsi="仿宋_GB2312" w:eastAsia="仿宋_GB2312" w:cs="仿宋_GB2312"/>
          <w:color w:val="auto"/>
          <w:sz w:val="32"/>
          <w:szCs w:val="32"/>
          <w:highlight w:val="none"/>
          <w:u w:val="none"/>
          <w:lang w:val="en-US" w:eastAsia="zh-CN"/>
        </w:rPr>
        <w:t>形式</w:t>
      </w:r>
      <w:r>
        <w:rPr>
          <w:rFonts w:hint="eastAsia" w:ascii="仿宋_GB2312" w:hAnsi="仿宋_GB2312" w:eastAsia="仿宋_GB2312" w:cs="仿宋_GB2312"/>
          <w:sz w:val="32"/>
          <w:szCs w:val="32"/>
          <w:u w:val="none"/>
          <w:lang w:val="en-US" w:eastAsia="zh-CN"/>
        </w:rPr>
        <w:t>或非银行金融机构保函或连带责任保证</w:t>
      </w:r>
      <w:r>
        <w:rPr>
          <w:rFonts w:hint="eastAsia" w:ascii="仿宋_GB2312" w:hAnsi="仿宋_GB2312" w:eastAsia="仿宋_GB2312" w:cs="仿宋_GB2312"/>
          <w:sz w:val="32"/>
          <w:szCs w:val="32"/>
          <w:u w:val="none"/>
        </w:rPr>
        <w:t>函</w:t>
      </w:r>
      <w:r>
        <w:rPr>
          <w:rFonts w:hint="eastAsia" w:ascii="仿宋_GB2312" w:hAnsi="仿宋_GB2312" w:eastAsia="仿宋_GB2312" w:cs="仿宋_GB2312"/>
          <w:sz w:val="32"/>
          <w:szCs w:val="32"/>
          <w:u w:val="none"/>
          <w:lang w:val="en-US" w:eastAsia="zh-CN"/>
        </w:rPr>
        <w:t>形式（下称履约担保）</w:t>
      </w:r>
      <w:r>
        <w:rPr>
          <w:rFonts w:hint="eastAsia" w:ascii="仿宋_GB2312" w:hAnsi="仿宋_GB2312" w:eastAsia="仿宋_GB2312" w:cs="仿宋_GB2312"/>
          <w:color w:val="auto"/>
          <w:sz w:val="32"/>
          <w:szCs w:val="32"/>
          <w:highlight w:val="none"/>
          <w:u w:val="none"/>
        </w:rPr>
        <w:t>，</w:t>
      </w:r>
      <w:r>
        <w:rPr>
          <w:rFonts w:hint="eastAsia" w:ascii="仿宋_GB2312" w:hAnsi="仿宋_GB2312" w:eastAsia="仿宋_GB2312" w:cs="仿宋_GB2312"/>
          <w:sz w:val="32"/>
          <w:szCs w:val="32"/>
          <w:u w:val="none"/>
        </w:rPr>
        <w:t>当</w:t>
      </w:r>
      <w:r>
        <w:rPr>
          <w:rFonts w:hint="eastAsia" w:ascii="仿宋_GB2312" w:hAnsi="仿宋_GB2312" w:eastAsia="仿宋_GB2312" w:cs="仿宋_GB2312"/>
          <w:color w:val="auto"/>
          <w:sz w:val="32"/>
          <w:szCs w:val="32"/>
          <w:highlight w:val="none"/>
          <w:u w:val="none"/>
          <w:lang w:bidi="ar"/>
        </w:rPr>
        <w:t>本合同约定工程全部完工</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rPr>
        <w:t>经竣工验收达到合同约定的质量等级且发包人签发本项目工程接收证书且经发包人方书面确认承包人提交了竣工验收备案办理所需资料及其他需要承包人提交或准备的全部资料后，承包人向发包人提出退还银行履约保函的申请，经发包人</w:t>
      </w:r>
      <w:r>
        <w:rPr>
          <w:rFonts w:hint="eastAsia" w:ascii="仿宋_GB2312" w:hAnsi="仿宋_GB2312" w:eastAsia="仿宋_GB2312" w:cs="仿宋_GB2312"/>
          <w:sz w:val="32"/>
          <w:szCs w:val="32"/>
          <w:u w:val="none"/>
          <w:lang w:val="en-US" w:eastAsia="zh-CN"/>
        </w:rPr>
        <w:t>同意</w:t>
      </w:r>
      <w:r>
        <w:rPr>
          <w:rFonts w:hint="eastAsia" w:ascii="仿宋_GB2312" w:hAnsi="仿宋_GB2312" w:eastAsia="仿宋_GB2312" w:cs="仿宋_GB2312"/>
          <w:sz w:val="32"/>
          <w:szCs w:val="32"/>
          <w:u w:val="none"/>
        </w:rPr>
        <w:t>后28天内将银行履约保函退还承包人，由承包人办理银行履约保函的解除手续</w:t>
      </w:r>
      <w:r>
        <w:rPr>
          <w:rFonts w:hint="eastAsia" w:ascii="仿宋_GB2312" w:hAnsi="仿宋_GB2312" w:eastAsia="仿宋_GB2312" w:cs="仿宋_GB2312"/>
          <w:color w:val="auto"/>
          <w:sz w:val="32"/>
          <w:szCs w:val="32"/>
          <w:highlight w:val="none"/>
          <w:u w:val="none"/>
        </w:rPr>
        <w:t>。</w:t>
      </w:r>
    </w:p>
    <w:p w14:paraId="51AF9831">
      <w:pPr>
        <w:pageBreakBefore w:val="0"/>
        <w:widowControl w:val="0"/>
        <w:kinsoku/>
        <w:wordWrap/>
        <w:overflowPunct/>
        <w:topLinePunct w:val="0"/>
        <w:bidi w:val="0"/>
        <w:adjustRightInd w:val="0"/>
        <w:snapToGrid w:val="0"/>
        <w:spacing w:line="560" w:lineRule="exact"/>
        <w:ind w:firstLine="640" w:firstLineChars="200"/>
        <w:jc w:val="both"/>
        <w:textAlignment w:val="auto"/>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履约保函应在担保期满前2个月内办理延期手续，否则发包人将依据本合同专用条款第16.2.2条第（</w:t>
      </w:r>
      <w:r>
        <w:rPr>
          <w:rFonts w:hint="eastAsia" w:ascii="仿宋_GB2312" w:hAnsi="仿宋_GB2312" w:eastAsia="仿宋_GB2312" w:cs="仿宋_GB2312"/>
          <w:sz w:val="32"/>
          <w:szCs w:val="32"/>
          <w:u w:val="none"/>
          <w:lang w:val="en-US" w:eastAsia="zh-CN"/>
        </w:rPr>
        <w:t>16</w:t>
      </w:r>
      <w:r>
        <w:rPr>
          <w:rFonts w:hint="eastAsia" w:ascii="仿宋_GB2312" w:hAnsi="仿宋_GB2312" w:eastAsia="仿宋_GB2312" w:cs="仿宋_GB2312"/>
          <w:sz w:val="32"/>
          <w:szCs w:val="32"/>
          <w:u w:val="none"/>
        </w:rPr>
        <w:t>）款追究承包人的违约责任。如因征地或不可抗力原因造成停工，经发包人请示</w:t>
      </w:r>
      <w:r>
        <w:rPr>
          <w:rFonts w:hint="eastAsia" w:ascii="仿宋_GB2312" w:hAnsi="仿宋_GB2312" w:eastAsia="仿宋_GB2312" w:cs="仿宋_GB2312"/>
          <w:sz w:val="32"/>
          <w:szCs w:val="32"/>
          <w:u w:val="none"/>
          <w:lang w:val="en-US" w:eastAsia="zh-CN"/>
        </w:rPr>
        <w:t>上级</w:t>
      </w:r>
      <w:r>
        <w:rPr>
          <w:rFonts w:hint="eastAsia" w:ascii="仿宋_GB2312" w:hAnsi="仿宋_GB2312" w:eastAsia="仿宋_GB2312" w:cs="仿宋_GB2312"/>
          <w:sz w:val="32"/>
          <w:szCs w:val="32"/>
          <w:u w:val="none"/>
        </w:rPr>
        <w:t>主管部门同意进行甩项验收后，则甩项验收内容达到合同约定的质量等级且发包人签发本项目工程接收证书且经发包人方书面确认承包人提交了竣工验收备案办理所需资料及其他需要承包人提交或准备的全部资料后，承包人向发包人提出退还银行履约保函的申请，经发包人批准后28天内退还承包人银行履约保函；如甩项验收后需继续履约，则承包人应重新出具继续履约内容的履约保函，逾期未提供的，发包人有权扣留相应工程款作为本合同履约担保或解除合同。</w:t>
      </w:r>
    </w:p>
    <w:p w14:paraId="01B140EC">
      <w:pPr>
        <w:pageBreakBefore w:val="0"/>
        <w:widowControl w:val="0"/>
        <w:kinsoku/>
        <w:wordWrap/>
        <w:overflowPunct/>
        <w:topLinePunct w:val="0"/>
        <w:bidi w:val="0"/>
        <w:adjustRightInd w:val="0"/>
        <w:snapToGrid w:val="0"/>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u w:val="none"/>
        </w:rPr>
        <w:t>履约保函</w:t>
      </w:r>
      <w:r>
        <w:rPr>
          <w:rFonts w:hint="eastAsia" w:ascii="仿宋_GB2312" w:hAnsi="仿宋_GB2312" w:eastAsia="仿宋_GB2312" w:cs="仿宋_GB2312"/>
          <w:sz w:val="32"/>
          <w:szCs w:val="32"/>
          <w:u w:val="none"/>
          <w:lang w:val="en-US" w:eastAsia="zh-CN"/>
        </w:rPr>
        <w:t>失效</w:t>
      </w:r>
      <w:r>
        <w:rPr>
          <w:rFonts w:hint="eastAsia" w:ascii="仿宋_GB2312" w:hAnsi="仿宋_GB2312" w:eastAsia="仿宋_GB2312" w:cs="仿宋_GB2312"/>
          <w:sz w:val="32"/>
          <w:szCs w:val="32"/>
          <w:u w:val="none"/>
        </w:rPr>
        <w:t>时间如早于本合同约定工程全部完工且经竣工验收达到合同约定的质量等级、发包人签发本项目工程接收证书且经发包人方书面确认承包人提交了竣工验收备案办理所需资料及其他需要承包人提交或准备的全部资料</w:t>
      </w:r>
      <w:r>
        <w:rPr>
          <w:rFonts w:hint="eastAsia" w:ascii="仿宋_GB2312" w:hAnsi="仿宋_GB2312" w:eastAsia="仿宋_GB2312" w:cs="仿宋_GB2312"/>
          <w:sz w:val="32"/>
          <w:szCs w:val="32"/>
          <w:u w:val="none"/>
          <w:lang w:val="en-US" w:eastAsia="zh-CN"/>
        </w:rPr>
        <w:t>时间</w:t>
      </w:r>
      <w:r>
        <w:rPr>
          <w:rFonts w:hint="eastAsia" w:ascii="仿宋_GB2312" w:hAnsi="仿宋_GB2312" w:eastAsia="仿宋_GB2312" w:cs="仿宋_GB2312"/>
          <w:sz w:val="32"/>
          <w:szCs w:val="32"/>
          <w:u w:val="none"/>
        </w:rPr>
        <w:t>的，承包人需继续提供相应的履约担保，增加的费用由承包人承担。因延期需重新开具的履约保函以剩余工程产值为基准，具体金额由双方协商确定</w:t>
      </w:r>
      <w:r>
        <w:rPr>
          <w:rFonts w:hint="eastAsia" w:ascii="仿宋_GB2312" w:hAnsi="仿宋_GB2312" w:eastAsia="仿宋_GB2312" w:cs="仿宋_GB2312"/>
          <w:sz w:val="32"/>
          <w:szCs w:val="32"/>
        </w:rPr>
        <w:t>。</w:t>
      </w:r>
    </w:p>
    <w:p w14:paraId="56D82025">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履约保函证明材料要求银行开具的履约保函应满足条件如下：</w:t>
      </w:r>
    </w:p>
    <w:p w14:paraId="1532773E">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a.合同约定的履约保函必须为不可撤销不可转让见索即付的履约保函；</w:t>
      </w:r>
    </w:p>
    <w:p w14:paraId="55A0C234">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b.履约保函的有效期必须覆盖整个合同工期；</w:t>
      </w:r>
    </w:p>
    <w:p w14:paraId="0B9200E2">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c.履约保函的纠纷解决地应约定为工程所在地；</w:t>
      </w:r>
    </w:p>
    <w:p w14:paraId="00389C60">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d.如遇不可抗力因素导致施工延迟，履约保函有效期相应延迟。</w:t>
      </w:r>
    </w:p>
    <w:p w14:paraId="52F90969">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如发包人要求提供办理履约担保的相关证明材料，承包人须提交。</w:t>
      </w:r>
      <w:bookmarkStart w:id="2025" w:name="_Toc351203636"/>
    </w:p>
    <w:p w14:paraId="2AA55C1E">
      <w:pPr>
        <w:pageBreakBefore w:val="0"/>
        <w:kinsoku/>
        <w:wordWrap/>
        <w:overflowPunct/>
        <w:topLinePunct w:val="0"/>
        <w:bidi w:val="0"/>
        <w:adjustRightInd w:val="0"/>
        <w:snapToGrid w:val="0"/>
        <w:spacing w:line="560" w:lineRule="exact"/>
        <w:ind w:firstLine="640" w:firstLineChars="200"/>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lang w:val="en-US" w:eastAsia="zh-CN"/>
        </w:rPr>
        <w:t>连带责任保证</w:t>
      </w:r>
      <w:r>
        <w:rPr>
          <w:rFonts w:hint="eastAsia" w:ascii="仿宋_GB2312" w:hAnsi="仿宋_GB2312" w:eastAsia="仿宋_GB2312" w:cs="仿宋_GB2312"/>
          <w:sz w:val="32"/>
          <w:szCs w:val="32"/>
          <w:u w:val="none"/>
        </w:rPr>
        <w:t>证明材料</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rPr>
        <w:t>要求开具的</w:t>
      </w:r>
      <w:r>
        <w:rPr>
          <w:rFonts w:hint="eastAsia" w:ascii="仿宋_GB2312" w:hAnsi="仿宋_GB2312" w:eastAsia="仿宋_GB2312" w:cs="仿宋_GB2312"/>
          <w:sz w:val="32"/>
          <w:szCs w:val="32"/>
          <w:u w:val="none"/>
          <w:lang w:val="en-US" w:eastAsia="zh-CN"/>
        </w:rPr>
        <w:t>连带责任保证</w:t>
      </w:r>
      <w:r>
        <w:rPr>
          <w:rFonts w:hint="eastAsia" w:ascii="仿宋_GB2312" w:hAnsi="仿宋_GB2312" w:eastAsia="仿宋_GB2312" w:cs="仿宋_GB2312"/>
          <w:sz w:val="32"/>
          <w:szCs w:val="32"/>
          <w:u w:val="none"/>
        </w:rPr>
        <w:t>应满足条件如下：</w:t>
      </w:r>
    </w:p>
    <w:p w14:paraId="2FE994AA">
      <w:pPr>
        <w:pageBreakBefore w:val="0"/>
        <w:kinsoku/>
        <w:wordWrap/>
        <w:overflowPunct/>
        <w:topLinePunct w:val="0"/>
        <w:bidi w:val="0"/>
        <w:adjustRightInd w:val="0"/>
        <w:snapToGrid w:val="0"/>
        <w:spacing w:line="560" w:lineRule="exact"/>
        <w:ind w:firstLine="640" w:firstLineChars="200"/>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a.合同约定的</w:t>
      </w:r>
      <w:r>
        <w:rPr>
          <w:rFonts w:hint="eastAsia" w:ascii="仿宋_GB2312" w:hAnsi="仿宋_GB2312" w:eastAsia="仿宋_GB2312" w:cs="仿宋_GB2312"/>
          <w:sz w:val="32"/>
          <w:szCs w:val="32"/>
          <w:u w:val="none"/>
          <w:lang w:val="en-US" w:eastAsia="zh-CN"/>
        </w:rPr>
        <w:t>连带责任保证</w:t>
      </w:r>
      <w:r>
        <w:rPr>
          <w:rFonts w:hint="eastAsia" w:ascii="仿宋_GB2312" w:hAnsi="仿宋_GB2312" w:eastAsia="仿宋_GB2312" w:cs="仿宋_GB2312"/>
          <w:sz w:val="32"/>
          <w:szCs w:val="32"/>
          <w:u w:val="none"/>
        </w:rPr>
        <w:t>必须为不可撤销不可转让</w:t>
      </w:r>
      <w:r>
        <w:rPr>
          <w:rFonts w:hint="eastAsia" w:ascii="仿宋_GB2312" w:hAnsi="仿宋_GB2312" w:eastAsia="仿宋_GB2312" w:cs="仿宋_GB2312"/>
          <w:sz w:val="32"/>
          <w:szCs w:val="32"/>
          <w:u w:val="none"/>
          <w:lang w:val="en-US" w:eastAsia="zh-CN"/>
        </w:rPr>
        <w:t>见索即付</w:t>
      </w:r>
      <w:r>
        <w:rPr>
          <w:rFonts w:hint="eastAsia" w:ascii="仿宋_GB2312" w:hAnsi="仿宋_GB2312" w:eastAsia="仿宋_GB2312" w:cs="仿宋_GB2312"/>
          <w:sz w:val="32"/>
          <w:szCs w:val="32"/>
          <w:u w:val="none"/>
        </w:rPr>
        <w:t>的</w:t>
      </w:r>
      <w:r>
        <w:rPr>
          <w:rFonts w:hint="eastAsia" w:ascii="仿宋_GB2312" w:hAnsi="仿宋_GB2312" w:eastAsia="仿宋_GB2312" w:cs="仿宋_GB2312"/>
          <w:sz w:val="32"/>
          <w:szCs w:val="32"/>
          <w:u w:val="none"/>
          <w:lang w:val="en-US" w:eastAsia="zh-CN"/>
        </w:rPr>
        <w:t>连带责任保证</w:t>
      </w:r>
      <w:r>
        <w:rPr>
          <w:rFonts w:hint="eastAsia" w:ascii="仿宋_GB2312" w:hAnsi="仿宋_GB2312" w:eastAsia="仿宋_GB2312" w:cs="仿宋_GB2312"/>
          <w:sz w:val="32"/>
          <w:szCs w:val="32"/>
          <w:u w:val="none"/>
        </w:rPr>
        <w:t>；</w:t>
      </w:r>
    </w:p>
    <w:p w14:paraId="44FC080B">
      <w:pPr>
        <w:pageBreakBefore w:val="0"/>
        <w:kinsoku/>
        <w:wordWrap/>
        <w:overflowPunct/>
        <w:topLinePunct w:val="0"/>
        <w:bidi w:val="0"/>
        <w:adjustRightInd w:val="0"/>
        <w:snapToGrid w:val="0"/>
        <w:spacing w:line="560" w:lineRule="exact"/>
        <w:ind w:firstLine="640" w:firstLineChars="200"/>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b.</w:t>
      </w:r>
      <w:r>
        <w:rPr>
          <w:rFonts w:hint="eastAsia" w:ascii="仿宋_GB2312" w:hAnsi="仿宋_GB2312" w:eastAsia="仿宋_GB2312" w:cs="仿宋_GB2312"/>
          <w:sz w:val="32"/>
          <w:szCs w:val="32"/>
          <w:u w:val="none"/>
          <w:lang w:val="en-US" w:eastAsia="zh-CN"/>
        </w:rPr>
        <w:t>连带责任担保期限为主债务履行期限届满之日起三年</w:t>
      </w:r>
      <w:r>
        <w:rPr>
          <w:rFonts w:hint="eastAsia" w:ascii="仿宋_GB2312" w:hAnsi="仿宋_GB2312" w:eastAsia="仿宋_GB2312" w:cs="仿宋_GB2312"/>
          <w:sz w:val="32"/>
          <w:szCs w:val="32"/>
          <w:u w:val="none"/>
          <w:lang w:eastAsia="zh-CN"/>
        </w:rPr>
        <w:t>。</w:t>
      </w:r>
    </w:p>
    <w:p w14:paraId="174AEF3F">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rPr>
        <w:t>如</w:t>
      </w:r>
      <w:r>
        <w:rPr>
          <w:rFonts w:hint="eastAsia" w:ascii="仿宋_GB2312" w:hAnsi="仿宋_GB2312" w:eastAsia="仿宋_GB2312" w:cs="仿宋_GB2312"/>
          <w:sz w:val="32"/>
          <w:szCs w:val="32"/>
          <w:u w:val="none"/>
          <w:lang w:val="en-US" w:eastAsia="zh-CN"/>
        </w:rPr>
        <w:t>发包</w:t>
      </w:r>
      <w:r>
        <w:rPr>
          <w:rFonts w:hint="eastAsia" w:ascii="仿宋_GB2312" w:hAnsi="仿宋_GB2312" w:eastAsia="仿宋_GB2312" w:cs="仿宋_GB2312"/>
          <w:sz w:val="32"/>
          <w:szCs w:val="32"/>
          <w:u w:val="none"/>
        </w:rPr>
        <w:t>人要求提供办理履约担保的</w:t>
      </w:r>
      <w:r>
        <w:rPr>
          <w:rFonts w:hint="eastAsia" w:ascii="仿宋_GB2312" w:hAnsi="仿宋_GB2312" w:eastAsia="仿宋_GB2312" w:cs="仿宋_GB2312"/>
          <w:sz w:val="32"/>
          <w:szCs w:val="32"/>
          <w:u w:val="none"/>
          <w:lang w:val="en-US" w:eastAsia="zh-CN"/>
        </w:rPr>
        <w:t>其他</w:t>
      </w:r>
      <w:r>
        <w:rPr>
          <w:rFonts w:hint="eastAsia" w:ascii="仿宋_GB2312" w:hAnsi="仿宋_GB2312" w:eastAsia="仿宋_GB2312" w:cs="仿宋_GB2312"/>
          <w:sz w:val="32"/>
          <w:szCs w:val="32"/>
          <w:u w:val="none"/>
        </w:rPr>
        <w:t>相关证明材料，</w:t>
      </w:r>
      <w:r>
        <w:rPr>
          <w:rFonts w:hint="eastAsia" w:ascii="仿宋_GB2312" w:hAnsi="仿宋_GB2312" w:eastAsia="仿宋_GB2312" w:cs="仿宋_GB2312"/>
          <w:sz w:val="32"/>
          <w:szCs w:val="32"/>
          <w:u w:val="none"/>
          <w:lang w:val="en-US" w:eastAsia="zh-CN"/>
        </w:rPr>
        <w:t>承包</w:t>
      </w:r>
      <w:r>
        <w:rPr>
          <w:rFonts w:hint="eastAsia" w:ascii="仿宋_GB2312" w:hAnsi="仿宋_GB2312" w:eastAsia="仿宋_GB2312" w:cs="仿宋_GB2312"/>
          <w:sz w:val="32"/>
          <w:szCs w:val="32"/>
          <w:u w:val="none"/>
        </w:rPr>
        <w:t>人须提交。</w:t>
      </w:r>
    </w:p>
    <w:p w14:paraId="0B1E3D53">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sz w:val="32"/>
          <w:szCs w:val="32"/>
          <w:u w:val="none"/>
          <w:lang w:val="en-US" w:eastAsia="zh-CN"/>
        </w:rPr>
        <w:t>（3）</w:t>
      </w:r>
      <w:r>
        <w:rPr>
          <w:rFonts w:hint="eastAsia" w:ascii="仿宋_GB2312" w:hAnsi="仿宋_GB2312" w:eastAsia="仿宋_GB2312" w:cs="仿宋_GB2312"/>
          <w:sz w:val="32"/>
          <w:szCs w:val="32"/>
          <w:u w:val="none"/>
        </w:rPr>
        <w:t>本合同履行期间，承包人出现按本合同约定应对发包人给付经济赔偿的情况时，发包人有权从履约保证金（或履约担保，下同）中取得赔偿金额，履约保证金不足以赔付的，承包人应按发包人给定的限期内支付剩余的赔付金额，同时补足履约保证金。承包人</w:t>
      </w:r>
      <w:r>
        <w:rPr>
          <w:rFonts w:hint="eastAsia" w:ascii="仿宋_GB2312" w:hAnsi="仿宋_GB2312" w:eastAsia="仿宋_GB2312" w:cs="仿宋_GB2312"/>
          <w:sz w:val="32"/>
          <w:szCs w:val="32"/>
          <w:u w:val="none"/>
          <w:lang w:val="en-US" w:eastAsia="zh-CN"/>
        </w:rPr>
        <w:t>未</w:t>
      </w:r>
      <w:r>
        <w:rPr>
          <w:rFonts w:hint="eastAsia" w:ascii="仿宋_GB2312" w:hAnsi="仿宋_GB2312" w:eastAsia="仿宋_GB2312" w:cs="仿宋_GB2312"/>
          <w:sz w:val="32"/>
          <w:szCs w:val="32"/>
          <w:u w:val="none"/>
        </w:rPr>
        <w:t>补足履约保证金的，视为承包人未按合同约定提交履约担保，发包人将依据本合同专用条款第16.2.2条第（1</w:t>
      </w:r>
      <w:r>
        <w:rPr>
          <w:rFonts w:hint="eastAsia" w:ascii="仿宋_GB2312" w:hAnsi="仿宋_GB2312" w:eastAsia="仿宋_GB2312" w:cs="仿宋_GB2312"/>
          <w:sz w:val="32"/>
          <w:szCs w:val="32"/>
          <w:u w:val="none"/>
          <w:lang w:val="en-US" w:eastAsia="zh-CN"/>
        </w:rPr>
        <w:t>6</w:t>
      </w:r>
      <w:r>
        <w:rPr>
          <w:rFonts w:hint="eastAsia" w:ascii="仿宋_GB2312" w:hAnsi="仿宋_GB2312" w:eastAsia="仿宋_GB2312" w:cs="仿宋_GB2312"/>
          <w:sz w:val="32"/>
          <w:szCs w:val="32"/>
          <w:u w:val="none"/>
        </w:rPr>
        <w:t>）款追究承包人的违约责任。</w:t>
      </w:r>
    </w:p>
    <w:p w14:paraId="45371B43">
      <w:pPr>
        <w:pageBreakBefore w:val="0"/>
        <w:widowControl/>
        <w:kinsoku/>
        <w:wordWrap/>
        <w:overflowPunct/>
        <w:topLinePunct w:val="0"/>
        <w:bidi w:val="0"/>
        <w:adjustRightInd w:val="0"/>
        <w:snapToGrid w:val="0"/>
        <w:spacing w:line="560" w:lineRule="exact"/>
        <w:ind w:firstLine="640" w:firstLineChars="200"/>
        <w:jc w:val="both"/>
        <w:outlineLvl w:val="9"/>
        <w:rPr>
          <w:rFonts w:hint="eastAsia" w:ascii="黑体" w:hAnsi="黑体" w:eastAsia="黑体" w:cs="黑体"/>
          <w:b w:val="0"/>
          <w:bCs/>
          <w:color w:val="auto"/>
          <w:sz w:val="32"/>
          <w:szCs w:val="32"/>
          <w:highlight w:val="none"/>
        </w:rPr>
      </w:pPr>
      <w:bookmarkStart w:id="2026" w:name="_Toc296347161"/>
      <w:bookmarkStart w:id="2027" w:name="_Toc296891202"/>
      <w:bookmarkStart w:id="2028" w:name="_Toc292559366"/>
      <w:bookmarkStart w:id="2029" w:name="_Toc292559871"/>
      <w:bookmarkStart w:id="2030" w:name="_Toc297120462"/>
      <w:bookmarkStart w:id="2031" w:name="_Toc296346663"/>
      <w:bookmarkStart w:id="2032" w:name="_Toc296890990"/>
      <w:bookmarkStart w:id="2033" w:name="_Toc296944501"/>
      <w:bookmarkStart w:id="2034" w:name="_Toc296503162"/>
      <w:bookmarkStart w:id="2035" w:name="_Toc267251413"/>
      <w:bookmarkStart w:id="2036" w:name="_Toc297048348"/>
      <w:bookmarkStart w:id="2037" w:name="_Toc14133"/>
      <w:bookmarkStart w:id="2038" w:name="_Toc23821"/>
      <w:bookmarkStart w:id="2039" w:name="_Toc20336"/>
      <w:bookmarkStart w:id="2040" w:name="_Toc2135"/>
      <w:bookmarkStart w:id="2041" w:name="_Toc20993"/>
      <w:bookmarkStart w:id="2042" w:name="_Toc22005"/>
      <w:bookmarkStart w:id="2043" w:name="_Toc17289"/>
      <w:bookmarkStart w:id="2044" w:name="_Toc31832"/>
      <w:bookmarkStart w:id="2045" w:name="_Toc13481"/>
      <w:bookmarkStart w:id="2046" w:name="_Toc6483"/>
      <w:r>
        <w:rPr>
          <w:rFonts w:hint="eastAsia" w:ascii="黑体" w:hAnsi="黑体" w:eastAsia="黑体" w:cs="黑体"/>
          <w:b w:val="0"/>
          <w:bCs/>
          <w:color w:val="auto"/>
          <w:sz w:val="32"/>
          <w:szCs w:val="32"/>
          <w:highlight w:val="none"/>
        </w:rPr>
        <w:t xml:space="preserve">4. </w:t>
      </w:r>
      <w:bookmarkEnd w:id="2026"/>
      <w:bookmarkEnd w:id="2027"/>
      <w:bookmarkEnd w:id="2028"/>
      <w:bookmarkEnd w:id="2029"/>
      <w:bookmarkEnd w:id="2030"/>
      <w:bookmarkEnd w:id="2031"/>
      <w:bookmarkEnd w:id="2032"/>
      <w:bookmarkEnd w:id="2033"/>
      <w:bookmarkEnd w:id="2034"/>
      <w:bookmarkEnd w:id="2035"/>
      <w:bookmarkEnd w:id="2036"/>
      <w:r>
        <w:rPr>
          <w:rFonts w:hint="eastAsia" w:ascii="黑体" w:hAnsi="黑体" w:eastAsia="黑体" w:cs="黑体"/>
          <w:b w:val="0"/>
          <w:bCs/>
          <w:color w:val="auto"/>
          <w:sz w:val="32"/>
          <w:szCs w:val="32"/>
          <w:highlight w:val="none"/>
        </w:rPr>
        <w:t>监理</w:t>
      </w:r>
      <w:bookmarkEnd w:id="2025"/>
      <w:r>
        <w:rPr>
          <w:rFonts w:hint="eastAsia" w:ascii="黑体" w:hAnsi="黑体" w:eastAsia="黑体" w:cs="黑体"/>
          <w:b w:val="0"/>
          <w:bCs/>
          <w:color w:val="auto"/>
          <w:sz w:val="32"/>
          <w:szCs w:val="32"/>
          <w:highlight w:val="none"/>
        </w:rPr>
        <w:t>人</w:t>
      </w:r>
      <w:bookmarkEnd w:id="2037"/>
      <w:bookmarkEnd w:id="2038"/>
      <w:bookmarkEnd w:id="2039"/>
      <w:bookmarkEnd w:id="2040"/>
      <w:bookmarkEnd w:id="2041"/>
      <w:bookmarkEnd w:id="2042"/>
      <w:bookmarkEnd w:id="2043"/>
      <w:bookmarkEnd w:id="2044"/>
      <w:bookmarkEnd w:id="2045"/>
      <w:bookmarkEnd w:id="2046"/>
    </w:p>
    <w:p w14:paraId="59D89541">
      <w:pPr>
        <w:pageBreakBefore w:val="0"/>
        <w:kinsoku/>
        <w:wordWrap/>
        <w:overflowPunct/>
        <w:topLinePunct w:val="0"/>
        <w:bidi w:val="0"/>
        <w:adjustRightInd w:val="0"/>
        <w:snapToGrid w:val="0"/>
        <w:spacing w:line="560" w:lineRule="exact"/>
        <w:ind w:firstLine="640" w:firstLineChars="200"/>
        <w:jc w:val="both"/>
        <w:outlineLvl w:val="9"/>
        <w:rPr>
          <w:rFonts w:hint="eastAsia" w:ascii="仿宋_GB2312" w:hAnsi="仿宋_GB2312" w:eastAsia="仿宋_GB2312" w:cs="仿宋_GB2312"/>
          <w:color w:val="auto"/>
          <w:sz w:val="32"/>
          <w:szCs w:val="32"/>
          <w:highlight w:val="none"/>
        </w:rPr>
      </w:pPr>
      <w:bookmarkStart w:id="2047" w:name="_Toc14281"/>
      <w:bookmarkStart w:id="2048" w:name="_Toc18332"/>
      <w:bookmarkStart w:id="2049" w:name="_Toc24800"/>
      <w:bookmarkStart w:id="2050" w:name="_Toc29100"/>
      <w:bookmarkStart w:id="2051" w:name="_Toc5570"/>
      <w:bookmarkStart w:id="2052" w:name="_Toc9165"/>
      <w:bookmarkStart w:id="2053" w:name="_Toc2900"/>
      <w:bookmarkStart w:id="2054" w:name="_Toc27622"/>
      <w:r>
        <w:rPr>
          <w:rFonts w:hint="eastAsia" w:ascii="仿宋_GB2312" w:hAnsi="仿宋_GB2312" w:eastAsia="仿宋_GB2312" w:cs="仿宋_GB2312"/>
          <w:color w:val="auto"/>
          <w:sz w:val="32"/>
          <w:szCs w:val="32"/>
          <w:highlight w:val="none"/>
        </w:rPr>
        <w:t>4.1监理人的一般规定</w:t>
      </w:r>
      <w:bookmarkEnd w:id="2047"/>
      <w:bookmarkEnd w:id="2048"/>
      <w:bookmarkEnd w:id="2049"/>
      <w:bookmarkEnd w:id="2050"/>
      <w:bookmarkEnd w:id="2051"/>
      <w:bookmarkEnd w:id="2052"/>
      <w:bookmarkEnd w:id="2053"/>
      <w:bookmarkEnd w:id="2054"/>
    </w:p>
    <w:p w14:paraId="3AC8C0DF">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关于监理人的监理内容：</w:t>
      </w:r>
      <w:r>
        <w:rPr>
          <w:rFonts w:hint="eastAsia" w:ascii="仿宋_GB2312" w:hAnsi="仿宋_GB2312" w:eastAsia="仿宋_GB2312" w:cs="仿宋_GB2312"/>
          <w:color w:val="auto"/>
          <w:sz w:val="32"/>
          <w:szCs w:val="32"/>
          <w:highlight w:val="none"/>
          <w:u w:val="none"/>
        </w:rPr>
        <w:t>按照发包人与监理</w:t>
      </w:r>
      <w:r>
        <w:rPr>
          <w:rFonts w:hint="eastAsia" w:ascii="仿宋_GB2312" w:hAnsi="仿宋_GB2312" w:eastAsia="仿宋_GB2312" w:cs="仿宋_GB2312"/>
          <w:color w:val="auto"/>
          <w:sz w:val="32"/>
          <w:szCs w:val="32"/>
          <w:highlight w:val="none"/>
          <w:u w:val="none"/>
          <w:lang w:val="en-US" w:eastAsia="zh-CN"/>
        </w:rPr>
        <w:t>人</w:t>
      </w:r>
      <w:r>
        <w:rPr>
          <w:rFonts w:hint="eastAsia" w:ascii="仿宋_GB2312" w:hAnsi="仿宋_GB2312" w:eastAsia="仿宋_GB2312" w:cs="仿宋_GB2312"/>
          <w:color w:val="auto"/>
          <w:sz w:val="32"/>
          <w:szCs w:val="32"/>
          <w:highlight w:val="none"/>
          <w:u w:val="none"/>
        </w:rPr>
        <w:t>签订的合同，依照合同和有关法律法规，负责和主持整个项目的监理工作，在合同规定范围内，对工程项目进行全过程监理（包括工程质量控制、工期进度控制、安全文明施工管理、工程量与工程款的审核等）</w:t>
      </w:r>
      <w:r>
        <w:rPr>
          <w:rFonts w:hint="eastAsia" w:ascii="仿宋_GB2312" w:hAnsi="仿宋_GB2312" w:eastAsia="仿宋_GB2312" w:cs="仿宋_GB2312"/>
          <w:color w:val="auto"/>
          <w:sz w:val="32"/>
          <w:szCs w:val="32"/>
          <w:highlight w:val="none"/>
        </w:rPr>
        <w:t>。</w:t>
      </w:r>
    </w:p>
    <w:p w14:paraId="7B925492">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关于监理人的监理权限：</w:t>
      </w:r>
      <w:r>
        <w:rPr>
          <w:rFonts w:hint="eastAsia" w:ascii="仿宋_GB2312" w:hAnsi="仿宋_GB2312" w:eastAsia="仿宋_GB2312" w:cs="仿宋_GB2312"/>
          <w:sz w:val="32"/>
          <w:szCs w:val="32"/>
          <w:u w:val="none"/>
        </w:rPr>
        <w:t>按本工程的《建设工程监理合同》约定的内容进行监理</w:t>
      </w:r>
      <w:r>
        <w:rPr>
          <w:rFonts w:hint="eastAsia" w:ascii="仿宋_GB2312" w:hAnsi="仿宋_GB2312" w:eastAsia="仿宋_GB2312" w:cs="仿宋_GB2312"/>
          <w:color w:val="auto"/>
          <w:sz w:val="32"/>
          <w:szCs w:val="32"/>
          <w:highlight w:val="none"/>
        </w:rPr>
        <w:t xml:space="preserve">。 </w:t>
      </w:r>
    </w:p>
    <w:p w14:paraId="4E46B5BD">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关于监理人在施工现场的办公场所、生活场所的提供和费用承担的约定：</w:t>
      </w:r>
      <w:r>
        <w:rPr>
          <w:rFonts w:hint="eastAsia" w:ascii="仿宋_GB2312" w:hAnsi="仿宋_GB2312" w:eastAsia="仿宋_GB2312" w:cs="仿宋_GB2312"/>
          <w:sz w:val="32"/>
          <w:szCs w:val="32"/>
          <w:u w:val="none"/>
        </w:rPr>
        <w:t>由承包人免费向监理人提供满足项目办公需求</w:t>
      </w:r>
      <w:r>
        <w:rPr>
          <w:rFonts w:hint="eastAsia" w:ascii="仿宋_GB2312" w:hAnsi="仿宋_GB2312" w:eastAsia="仿宋_GB2312" w:cs="仿宋_GB2312"/>
          <w:sz w:val="32"/>
          <w:szCs w:val="32"/>
          <w:u w:val="none"/>
          <w:lang w:val="en-US" w:eastAsia="zh-CN"/>
        </w:rPr>
        <w:t>的</w:t>
      </w:r>
      <w:r>
        <w:rPr>
          <w:rFonts w:hint="eastAsia" w:ascii="仿宋_GB2312" w:hAnsi="仿宋_GB2312" w:eastAsia="仿宋_GB2312" w:cs="仿宋_GB2312"/>
          <w:sz w:val="32"/>
          <w:szCs w:val="32"/>
          <w:u w:val="none"/>
        </w:rPr>
        <w:t>用房（带空调及办公家具）</w:t>
      </w:r>
      <w:r>
        <w:rPr>
          <w:rFonts w:hint="eastAsia" w:ascii="仿宋_GB2312" w:hAnsi="仿宋_GB2312" w:eastAsia="仿宋_GB2312" w:cs="仿宋_GB2312"/>
          <w:color w:val="auto"/>
          <w:sz w:val="32"/>
          <w:szCs w:val="32"/>
          <w:highlight w:val="none"/>
        </w:rPr>
        <w:t>。</w:t>
      </w:r>
    </w:p>
    <w:p w14:paraId="718552C8">
      <w:pPr>
        <w:pageBreakBefore w:val="0"/>
        <w:kinsoku/>
        <w:wordWrap/>
        <w:overflowPunct/>
        <w:topLinePunct w:val="0"/>
        <w:bidi w:val="0"/>
        <w:adjustRightInd w:val="0"/>
        <w:snapToGrid w:val="0"/>
        <w:spacing w:line="560" w:lineRule="exact"/>
        <w:ind w:firstLine="640" w:firstLineChars="200"/>
        <w:jc w:val="both"/>
        <w:outlineLvl w:val="9"/>
        <w:rPr>
          <w:rFonts w:hint="eastAsia" w:ascii="仿宋_GB2312" w:hAnsi="仿宋_GB2312" w:eastAsia="仿宋_GB2312" w:cs="仿宋_GB2312"/>
          <w:color w:val="auto"/>
          <w:sz w:val="32"/>
          <w:szCs w:val="32"/>
          <w:highlight w:val="none"/>
        </w:rPr>
      </w:pPr>
      <w:bookmarkStart w:id="2055" w:name="_Toc2244"/>
      <w:bookmarkStart w:id="2056" w:name="_Toc2611"/>
      <w:bookmarkStart w:id="2057" w:name="_Toc6765"/>
      <w:bookmarkStart w:id="2058" w:name="_Toc5822"/>
      <w:bookmarkStart w:id="2059" w:name="_Toc16818"/>
      <w:bookmarkStart w:id="2060" w:name="_Toc1175"/>
      <w:bookmarkStart w:id="2061" w:name="_Toc18297"/>
      <w:bookmarkStart w:id="2062" w:name="_Toc10314"/>
      <w:r>
        <w:rPr>
          <w:rFonts w:hint="eastAsia" w:ascii="仿宋_GB2312" w:hAnsi="仿宋_GB2312" w:eastAsia="仿宋_GB2312" w:cs="仿宋_GB2312"/>
          <w:color w:val="auto"/>
          <w:sz w:val="32"/>
          <w:szCs w:val="32"/>
          <w:highlight w:val="none"/>
        </w:rPr>
        <w:t>4.2 监理人员</w:t>
      </w:r>
      <w:bookmarkEnd w:id="2055"/>
      <w:bookmarkEnd w:id="2056"/>
      <w:bookmarkEnd w:id="2057"/>
      <w:bookmarkEnd w:id="2058"/>
      <w:bookmarkEnd w:id="2059"/>
      <w:bookmarkEnd w:id="2060"/>
      <w:bookmarkEnd w:id="2061"/>
      <w:bookmarkEnd w:id="2062"/>
    </w:p>
    <w:p w14:paraId="54010588">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总监理工程师：</w:t>
      </w:r>
      <w:r>
        <w:rPr>
          <w:rFonts w:hint="eastAsia" w:ascii="仿宋_GB2312" w:hAnsi="仿宋_GB2312" w:eastAsia="仿宋_GB2312" w:cs="仿宋_GB2312"/>
          <w:color w:val="auto"/>
          <w:sz w:val="32"/>
          <w:szCs w:val="32"/>
          <w:highlight w:val="none"/>
          <w:u w:val="single"/>
          <w:lang w:val="en-US" w:eastAsia="zh-CN"/>
        </w:rPr>
        <w:t>具体详见附件15</w:t>
      </w:r>
      <w:r>
        <w:rPr>
          <w:rFonts w:hint="eastAsia" w:ascii="仿宋_GB2312" w:hAnsi="仿宋_GB2312" w:eastAsia="仿宋_GB2312" w:cs="仿宋_GB2312"/>
          <w:color w:val="auto"/>
          <w:sz w:val="32"/>
          <w:szCs w:val="32"/>
          <w:highlight w:val="none"/>
          <w:lang w:val="en-US" w:eastAsia="zh-CN"/>
        </w:rPr>
        <w:t>。</w:t>
      </w:r>
    </w:p>
    <w:p w14:paraId="758AF03E">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rPr>
        <w:t>关于监理人的其他约</w:t>
      </w:r>
      <w:r>
        <w:rPr>
          <w:rFonts w:hint="eastAsia" w:ascii="仿宋_GB2312" w:hAnsi="仿宋_GB2312" w:eastAsia="仿宋_GB2312" w:cs="仿宋_GB2312"/>
          <w:color w:val="auto"/>
          <w:sz w:val="32"/>
          <w:szCs w:val="32"/>
          <w:highlight w:val="none"/>
          <w:u w:val="none"/>
        </w:rPr>
        <w:t>定：发包人授予监理人对工程实施监理的权利由监理人派驻施工现场的监理人员行使，监理人员包括总监理工程师、总监理工程师代表（如有）、专业监理工程师、监理员及见证员。监理人应将授权的监理人员的姓名及授权范围以书面形式提前通知承包人。更换总监理工程师的，</w:t>
      </w:r>
      <w:r>
        <w:rPr>
          <w:rFonts w:hint="eastAsia" w:ascii="仿宋_GB2312" w:hAnsi="仿宋_GB2312" w:eastAsia="仿宋_GB2312" w:cs="仿宋_GB2312"/>
          <w:color w:val="auto"/>
          <w:sz w:val="32"/>
          <w:szCs w:val="32"/>
          <w:highlight w:val="none"/>
          <w:u w:val="none"/>
          <w:lang w:val="en-US" w:eastAsia="zh-CN"/>
        </w:rPr>
        <w:t>发包</w:t>
      </w:r>
      <w:r>
        <w:rPr>
          <w:rFonts w:hint="eastAsia" w:ascii="仿宋_GB2312" w:hAnsi="仿宋_GB2312" w:eastAsia="仿宋_GB2312" w:cs="仿宋_GB2312"/>
          <w:color w:val="auto"/>
          <w:sz w:val="32"/>
          <w:szCs w:val="32"/>
          <w:highlight w:val="none"/>
          <w:u w:val="none"/>
        </w:rPr>
        <w:t>人应提前7天书面通知承包人；更换其他监理人员，</w:t>
      </w:r>
      <w:r>
        <w:rPr>
          <w:rFonts w:hint="eastAsia" w:ascii="仿宋_GB2312" w:hAnsi="仿宋_GB2312" w:eastAsia="仿宋_GB2312" w:cs="仿宋_GB2312"/>
          <w:color w:val="auto"/>
          <w:sz w:val="32"/>
          <w:szCs w:val="32"/>
          <w:highlight w:val="none"/>
          <w:u w:val="none"/>
          <w:lang w:eastAsia="zh-CN"/>
        </w:rPr>
        <w:t>发包人</w:t>
      </w:r>
      <w:r>
        <w:rPr>
          <w:rFonts w:hint="eastAsia" w:ascii="仿宋_GB2312" w:hAnsi="仿宋_GB2312" w:eastAsia="仿宋_GB2312" w:cs="仿宋_GB2312"/>
          <w:color w:val="auto"/>
          <w:sz w:val="32"/>
          <w:szCs w:val="32"/>
          <w:highlight w:val="none"/>
          <w:u w:val="none"/>
        </w:rPr>
        <w:t>应提前48小时书面通知承包人。</w:t>
      </w:r>
    </w:p>
    <w:p w14:paraId="3A351F88">
      <w:pPr>
        <w:pageBreakBefore w:val="0"/>
        <w:kinsoku/>
        <w:wordWrap/>
        <w:overflowPunct/>
        <w:topLinePunct w:val="0"/>
        <w:bidi w:val="0"/>
        <w:adjustRightInd w:val="0"/>
        <w:snapToGrid w:val="0"/>
        <w:spacing w:line="560" w:lineRule="exact"/>
        <w:ind w:firstLine="640" w:firstLineChars="200"/>
        <w:jc w:val="both"/>
        <w:outlineLvl w:val="9"/>
        <w:rPr>
          <w:rFonts w:hint="eastAsia" w:ascii="仿宋_GB2312" w:hAnsi="仿宋_GB2312" w:eastAsia="仿宋_GB2312" w:cs="仿宋_GB2312"/>
          <w:color w:val="auto"/>
          <w:sz w:val="32"/>
          <w:szCs w:val="32"/>
          <w:highlight w:val="none"/>
        </w:rPr>
      </w:pPr>
      <w:bookmarkStart w:id="2063" w:name="_Toc8276"/>
      <w:bookmarkStart w:id="2064" w:name="_Toc15743"/>
      <w:bookmarkStart w:id="2065" w:name="_Toc21587"/>
      <w:bookmarkStart w:id="2066" w:name="_Toc8901"/>
      <w:bookmarkStart w:id="2067" w:name="_Toc3074"/>
      <w:bookmarkStart w:id="2068" w:name="_Toc24554"/>
      <w:bookmarkStart w:id="2069" w:name="_Toc3876"/>
      <w:bookmarkStart w:id="2070" w:name="_Toc17128"/>
      <w:r>
        <w:rPr>
          <w:rFonts w:hint="eastAsia" w:ascii="仿宋_GB2312" w:hAnsi="仿宋_GB2312" w:eastAsia="仿宋_GB2312" w:cs="仿宋_GB2312"/>
          <w:color w:val="auto"/>
          <w:sz w:val="32"/>
          <w:szCs w:val="32"/>
          <w:highlight w:val="none"/>
        </w:rPr>
        <w:t>4.4 商定或确定</w:t>
      </w:r>
      <w:bookmarkEnd w:id="2063"/>
      <w:bookmarkEnd w:id="2064"/>
      <w:bookmarkEnd w:id="2065"/>
      <w:bookmarkEnd w:id="2066"/>
      <w:bookmarkEnd w:id="2067"/>
      <w:bookmarkEnd w:id="2068"/>
      <w:bookmarkEnd w:id="2069"/>
      <w:bookmarkEnd w:id="2070"/>
      <w:bookmarkStart w:id="2071" w:name="_Toc267251418"/>
    </w:p>
    <w:p w14:paraId="078E0F94">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在发包人和承包人不能通过协商达成一致意见时，发包人授权监理人对以下事项进行确定：</w:t>
      </w:r>
    </w:p>
    <w:p w14:paraId="216701FE">
      <w:pPr>
        <w:pageBreakBefore w:val="0"/>
        <w:kinsoku/>
        <w:wordWrap/>
        <w:overflowPunct/>
        <w:topLinePunct w:val="0"/>
        <w:autoSpaceDE w:val="0"/>
        <w:autoSpaceDN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w:t>
      </w:r>
      <w:r>
        <w:rPr>
          <w:rFonts w:hint="eastAsia" w:ascii="仿宋_GB2312" w:hAnsi="仿宋_GB2312" w:eastAsia="仿宋_GB2312" w:cs="仿宋_GB2312"/>
          <w:color w:val="auto"/>
          <w:sz w:val="32"/>
          <w:szCs w:val="32"/>
          <w:highlight w:val="none"/>
          <w:u w:val="single"/>
        </w:rPr>
        <w:t>按通用条款执行</w:t>
      </w:r>
      <w:r>
        <w:rPr>
          <w:rFonts w:hint="eastAsia" w:ascii="仿宋_GB2312" w:hAnsi="仿宋_GB2312" w:eastAsia="仿宋_GB2312" w:cs="仿宋_GB2312"/>
          <w:color w:val="auto"/>
          <w:sz w:val="32"/>
          <w:szCs w:val="32"/>
          <w:highlight w:val="none"/>
        </w:rPr>
        <w:t>；</w:t>
      </w:r>
    </w:p>
    <w:p w14:paraId="5D5DCDA4">
      <w:pPr>
        <w:pageBreakBefore w:val="0"/>
        <w:kinsoku/>
        <w:wordWrap/>
        <w:overflowPunct/>
        <w:topLinePunct w:val="0"/>
        <w:autoSpaceDE w:val="0"/>
        <w:autoSpaceDN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（2）</w:t>
      </w:r>
      <w:r>
        <w:rPr>
          <w:rFonts w:hint="eastAsia" w:ascii="仿宋_GB2312" w:hAnsi="仿宋_GB2312" w:eastAsia="仿宋_GB2312" w:cs="仿宋_GB2312"/>
          <w:color w:val="auto"/>
          <w:sz w:val="32"/>
          <w:szCs w:val="32"/>
          <w:highlight w:val="none"/>
          <w:u w:val="single"/>
        </w:rPr>
        <w:t xml:space="preserve">       /      </w:t>
      </w:r>
      <w:r>
        <w:rPr>
          <w:rFonts w:hint="eastAsia" w:ascii="仿宋_GB2312" w:hAnsi="仿宋_GB2312" w:eastAsia="仿宋_GB2312" w:cs="仿宋_GB2312"/>
          <w:color w:val="auto"/>
          <w:sz w:val="32"/>
          <w:szCs w:val="32"/>
          <w:highlight w:val="none"/>
        </w:rPr>
        <w:t>；</w:t>
      </w:r>
    </w:p>
    <w:p w14:paraId="45E5166F">
      <w:pPr>
        <w:pageBreakBefore w:val="0"/>
        <w:kinsoku/>
        <w:wordWrap/>
        <w:overflowPunct/>
        <w:topLinePunct w:val="0"/>
        <w:autoSpaceDE w:val="0"/>
        <w:autoSpaceDN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（3）</w:t>
      </w:r>
      <w:r>
        <w:rPr>
          <w:rFonts w:hint="eastAsia" w:ascii="仿宋_GB2312" w:hAnsi="仿宋_GB2312" w:eastAsia="仿宋_GB2312" w:cs="仿宋_GB2312"/>
          <w:color w:val="auto"/>
          <w:sz w:val="32"/>
          <w:szCs w:val="32"/>
          <w:highlight w:val="none"/>
          <w:u w:val="single"/>
        </w:rPr>
        <w:t xml:space="preserve">       /    </w:t>
      </w:r>
      <w:r>
        <w:rPr>
          <w:rFonts w:hint="eastAsia" w:ascii="仿宋_GB2312" w:hAnsi="仿宋_GB2312" w:eastAsia="仿宋_GB2312" w:cs="仿宋_GB2312"/>
          <w:color w:val="auto"/>
          <w:sz w:val="32"/>
          <w:szCs w:val="32"/>
          <w:highlight w:val="none"/>
          <w:u w:val="single"/>
          <w:lang w:val="en-US" w:eastAsia="zh-CN"/>
        </w:rPr>
        <w:t xml:space="preserve"> </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w:t>
      </w:r>
      <w:bookmarkStart w:id="2072" w:name="_Toc351203637"/>
    </w:p>
    <w:bookmarkEnd w:id="2071"/>
    <w:p w14:paraId="4DDB4136">
      <w:pPr>
        <w:pageBreakBefore w:val="0"/>
        <w:widowControl/>
        <w:kinsoku/>
        <w:wordWrap/>
        <w:overflowPunct/>
        <w:topLinePunct w:val="0"/>
        <w:bidi w:val="0"/>
        <w:adjustRightInd w:val="0"/>
        <w:snapToGrid w:val="0"/>
        <w:spacing w:line="560" w:lineRule="exact"/>
        <w:ind w:firstLine="640" w:firstLineChars="200"/>
        <w:jc w:val="both"/>
        <w:outlineLvl w:val="9"/>
        <w:rPr>
          <w:rFonts w:hint="eastAsia" w:ascii="黑体" w:hAnsi="黑体" w:eastAsia="黑体" w:cs="黑体"/>
          <w:b w:val="0"/>
          <w:bCs/>
          <w:color w:val="auto"/>
          <w:sz w:val="32"/>
          <w:szCs w:val="32"/>
          <w:highlight w:val="none"/>
        </w:rPr>
      </w:pPr>
      <w:bookmarkStart w:id="2073" w:name="_Toc7873"/>
      <w:bookmarkStart w:id="2074" w:name="_Toc28514"/>
      <w:bookmarkStart w:id="2075" w:name="_Toc20434"/>
      <w:bookmarkStart w:id="2076" w:name="_Toc4536"/>
      <w:bookmarkStart w:id="2077" w:name="_Toc30944"/>
      <w:bookmarkStart w:id="2078" w:name="_Toc19575"/>
      <w:bookmarkStart w:id="2079" w:name="_Toc6353"/>
      <w:bookmarkStart w:id="2080" w:name="_Toc15310"/>
      <w:bookmarkStart w:id="2081" w:name="_Toc10085"/>
      <w:bookmarkStart w:id="2082" w:name="_Toc4019"/>
      <w:bookmarkStart w:id="2083" w:name="_Toc292559872"/>
      <w:bookmarkStart w:id="2084" w:name="_Toc297048349"/>
      <w:bookmarkStart w:id="2085" w:name="_Toc292559367"/>
      <w:bookmarkStart w:id="2086" w:name="_Toc296346664"/>
      <w:bookmarkStart w:id="2087" w:name="_Toc296347162"/>
      <w:bookmarkStart w:id="2088" w:name="_Toc297120463"/>
      <w:bookmarkStart w:id="2089" w:name="_Toc296503163"/>
      <w:bookmarkStart w:id="2090" w:name="_Toc296891203"/>
      <w:bookmarkStart w:id="2091" w:name="_Toc296890991"/>
      <w:bookmarkStart w:id="2092" w:name="_Toc296944502"/>
      <w:r>
        <w:rPr>
          <w:rFonts w:hint="eastAsia" w:ascii="黑体" w:hAnsi="黑体" w:eastAsia="黑体" w:cs="黑体"/>
          <w:b w:val="0"/>
          <w:bCs/>
          <w:color w:val="auto"/>
          <w:sz w:val="32"/>
          <w:szCs w:val="32"/>
          <w:highlight w:val="none"/>
        </w:rPr>
        <w:t>5. 工程质</w:t>
      </w:r>
      <w:bookmarkEnd w:id="2072"/>
      <w:r>
        <w:rPr>
          <w:rFonts w:hint="eastAsia" w:ascii="黑体" w:hAnsi="黑体" w:eastAsia="黑体" w:cs="黑体"/>
          <w:b w:val="0"/>
          <w:bCs/>
          <w:color w:val="auto"/>
          <w:sz w:val="32"/>
          <w:szCs w:val="32"/>
          <w:highlight w:val="none"/>
        </w:rPr>
        <w:t>量</w:t>
      </w:r>
      <w:bookmarkEnd w:id="2073"/>
      <w:bookmarkEnd w:id="2074"/>
      <w:bookmarkEnd w:id="2075"/>
      <w:bookmarkEnd w:id="2076"/>
      <w:bookmarkEnd w:id="2077"/>
      <w:bookmarkEnd w:id="2078"/>
      <w:bookmarkEnd w:id="2079"/>
      <w:bookmarkEnd w:id="2080"/>
      <w:bookmarkEnd w:id="2081"/>
      <w:bookmarkEnd w:id="2082"/>
    </w:p>
    <w:p w14:paraId="39B8CE77">
      <w:pPr>
        <w:pageBreakBefore w:val="0"/>
        <w:kinsoku/>
        <w:wordWrap/>
        <w:overflowPunct/>
        <w:topLinePunct w:val="0"/>
        <w:bidi w:val="0"/>
        <w:adjustRightInd w:val="0"/>
        <w:snapToGrid w:val="0"/>
        <w:spacing w:line="560" w:lineRule="exact"/>
        <w:ind w:firstLine="640" w:firstLineChars="200"/>
        <w:jc w:val="both"/>
        <w:outlineLvl w:val="9"/>
        <w:rPr>
          <w:rFonts w:hint="eastAsia" w:ascii="仿宋_GB2312" w:hAnsi="仿宋_GB2312" w:eastAsia="仿宋_GB2312" w:cs="仿宋_GB2312"/>
          <w:color w:val="auto"/>
          <w:sz w:val="32"/>
          <w:szCs w:val="32"/>
          <w:highlight w:val="none"/>
        </w:rPr>
      </w:pPr>
      <w:bookmarkStart w:id="2093" w:name="_Toc1663"/>
      <w:bookmarkStart w:id="2094" w:name="_Toc22664"/>
      <w:bookmarkStart w:id="2095" w:name="_Toc3016"/>
      <w:bookmarkStart w:id="2096" w:name="_Toc18559"/>
      <w:bookmarkStart w:id="2097" w:name="_Toc21445"/>
      <w:bookmarkStart w:id="2098" w:name="_Toc15808"/>
      <w:bookmarkStart w:id="2099" w:name="_Toc2310"/>
      <w:bookmarkStart w:id="2100" w:name="_Toc28296"/>
      <w:r>
        <w:rPr>
          <w:rFonts w:hint="eastAsia" w:ascii="仿宋_GB2312" w:hAnsi="仿宋_GB2312" w:eastAsia="仿宋_GB2312" w:cs="仿宋_GB2312"/>
          <w:color w:val="auto"/>
          <w:sz w:val="32"/>
          <w:szCs w:val="32"/>
          <w:highlight w:val="none"/>
        </w:rPr>
        <w:t>5.1 质量要求</w:t>
      </w:r>
      <w:bookmarkEnd w:id="2093"/>
      <w:bookmarkEnd w:id="2094"/>
      <w:bookmarkEnd w:id="2095"/>
      <w:bookmarkEnd w:id="2096"/>
      <w:bookmarkEnd w:id="2097"/>
      <w:bookmarkEnd w:id="2098"/>
      <w:bookmarkEnd w:id="2099"/>
      <w:bookmarkEnd w:id="2100"/>
    </w:p>
    <w:p w14:paraId="55983273">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bookmarkStart w:id="2101" w:name="_Toc318581164"/>
      <w:bookmarkStart w:id="2102" w:name="_Toc297123496"/>
      <w:bookmarkStart w:id="2103" w:name="_Toc297216155"/>
      <w:bookmarkStart w:id="2104" w:name="_Toc303539106"/>
      <w:bookmarkStart w:id="2105" w:name="_Toc312677997"/>
      <w:bookmarkStart w:id="2106" w:name="_Toc304295527"/>
      <w:bookmarkStart w:id="2107" w:name="_Toc300934949"/>
      <w:r>
        <w:rPr>
          <w:rFonts w:hint="eastAsia" w:ascii="仿宋_GB2312" w:hAnsi="仿宋_GB2312" w:eastAsia="仿宋_GB2312" w:cs="仿宋_GB2312"/>
          <w:color w:val="auto"/>
          <w:sz w:val="32"/>
          <w:szCs w:val="32"/>
          <w:highlight w:val="none"/>
        </w:rPr>
        <w:t>5.1.1 特殊质量标准和要求</w:t>
      </w:r>
      <w:r>
        <w:rPr>
          <w:rFonts w:hint="eastAsia" w:ascii="仿宋_GB2312" w:hAnsi="仿宋_GB2312" w:eastAsia="仿宋_GB2312" w:cs="仿宋_GB2312"/>
          <w:color w:val="auto"/>
          <w:sz w:val="32"/>
          <w:szCs w:val="32"/>
          <w:highlight w:val="none"/>
          <w:u w:val="none"/>
        </w:rPr>
        <w:t>：工程质量必须符合设计要求，达到国家及行业质量检验评定标准的合格条件，并达到投标承诺的质量标准等级。承包人应认真按照标准、规范和设计要求以及发包人依据合同发出的指令施工，随时接受发包人及其委派人员的检查检验及验收工作。无论总监理工程师是否进行并通过了各项检验，均不</w:t>
      </w:r>
      <w:r>
        <w:rPr>
          <w:rFonts w:hint="eastAsia" w:ascii="仿宋_GB2312" w:hAnsi="仿宋_GB2312" w:eastAsia="仿宋_GB2312" w:cs="仿宋_GB2312"/>
          <w:color w:val="auto"/>
          <w:sz w:val="32"/>
          <w:szCs w:val="32"/>
          <w:highlight w:val="none"/>
          <w:u w:val="none"/>
          <w:lang w:val="en-US" w:eastAsia="zh-CN"/>
        </w:rPr>
        <w:t>免</w:t>
      </w:r>
      <w:r>
        <w:rPr>
          <w:rFonts w:hint="eastAsia" w:ascii="仿宋_GB2312" w:hAnsi="仿宋_GB2312" w:eastAsia="仿宋_GB2312" w:cs="仿宋_GB2312"/>
          <w:color w:val="auto"/>
          <w:sz w:val="32"/>
          <w:szCs w:val="32"/>
          <w:highlight w:val="none"/>
          <w:u w:val="none"/>
        </w:rPr>
        <w:t>除承包人对工程质量</w:t>
      </w:r>
      <w:r>
        <w:rPr>
          <w:rFonts w:hint="eastAsia" w:ascii="仿宋_GB2312" w:hAnsi="仿宋_GB2312" w:eastAsia="仿宋_GB2312" w:cs="仿宋_GB2312"/>
          <w:color w:val="auto"/>
          <w:sz w:val="32"/>
          <w:szCs w:val="32"/>
          <w:highlight w:val="none"/>
          <w:u w:val="none"/>
          <w:lang w:val="en-US" w:eastAsia="zh-CN"/>
        </w:rPr>
        <w:t>的相关责任</w:t>
      </w:r>
      <w:r>
        <w:rPr>
          <w:rFonts w:hint="eastAsia" w:ascii="仿宋_GB2312" w:hAnsi="仿宋_GB2312" w:eastAsia="仿宋_GB2312" w:cs="仿宋_GB2312"/>
          <w:color w:val="auto"/>
          <w:sz w:val="32"/>
          <w:szCs w:val="32"/>
          <w:highlight w:val="none"/>
          <w:u w:val="none"/>
        </w:rPr>
        <w:t>，除非质量问题是由于非承包人原因引起，而此质量问题承包人</w:t>
      </w:r>
      <w:r>
        <w:rPr>
          <w:rFonts w:hint="eastAsia" w:ascii="仿宋_GB2312" w:hAnsi="仿宋_GB2312" w:eastAsia="仿宋_GB2312" w:cs="仿宋_GB2312"/>
          <w:color w:val="auto"/>
          <w:sz w:val="32"/>
          <w:szCs w:val="32"/>
          <w:highlight w:val="none"/>
          <w:u w:val="none"/>
          <w:lang w:val="en-US" w:eastAsia="zh-CN"/>
        </w:rPr>
        <w:t>应</w:t>
      </w:r>
      <w:r>
        <w:rPr>
          <w:rFonts w:hint="eastAsia" w:ascii="仿宋_GB2312" w:hAnsi="仿宋_GB2312" w:eastAsia="仿宋_GB2312" w:cs="仿宋_GB2312"/>
          <w:color w:val="auto"/>
          <w:sz w:val="32"/>
          <w:szCs w:val="32"/>
          <w:highlight w:val="none"/>
          <w:u w:val="none"/>
        </w:rPr>
        <w:t>及时通知总监；在采用承包人设计</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lang w:val="en-US" w:eastAsia="zh-CN"/>
        </w:rPr>
        <w:t>含深化设计，下同</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rPr>
        <w:t>的施工图施工时</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lang w:val="en-US" w:eastAsia="zh-CN"/>
        </w:rPr>
        <w:t>该</w:t>
      </w:r>
      <w:r>
        <w:rPr>
          <w:rFonts w:hint="eastAsia" w:ascii="仿宋_GB2312" w:hAnsi="仿宋_GB2312" w:eastAsia="仿宋_GB2312" w:cs="仿宋_GB2312"/>
          <w:color w:val="auto"/>
          <w:sz w:val="32"/>
          <w:szCs w:val="32"/>
          <w:highlight w:val="none"/>
          <w:u w:val="none"/>
        </w:rPr>
        <w:t>设计引起的质量责任由承包人承担。</w:t>
      </w:r>
    </w:p>
    <w:p w14:paraId="28CE3308">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（1）为保证施工质量，施工难点以及容易发生质量通病的地方，承包人应向发包人报专项施工方案，经发包人、监理确认后方可施工。</w:t>
      </w:r>
    </w:p>
    <w:p w14:paraId="2EABAC0F">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w:t>
      </w:r>
      <w:r>
        <w:rPr>
          <w:rFonts w:hint="eastAsia" w:ascii="仿宋_GB2312" w:hAnsi="仿宋_GB2312" w:eastAsia="仿宋_GB2312" w:cs="仿宋_GB2312"/>
          <w:color w:val="auto"/>
          <w:sz w:val="32"/>
          <w:szCs w:val="32"/>
          <w:highlight w:val="none"/>
          <w:u w:val="none"/>
          <w:lang w:val="en-US" w:eastAsia="zh-CN"/>
        </w:rPr>
        <w:t>2</w:t>
      </w:r>
      <w:r>
        <w:rPr>
          <w:rFonts w:hint="eastAsia" w:ascii="仿宋_GB2312" w:hAnsi="仿宋_GB2312" w:eastAsia="仿宋_GB2312" w:cs="仿宋_GB2312"/>
          <w:color w:val="auto"/>
          <w:sz w:val="32"/>
          <w:szCs w:val="32"/>
          <w:highlight w:val="none"/>
          <w:u w:val="none"/>
        </w:rPr>
        <w:t>）承包人应认真按照标准、规范和设计的要求以及发包人依据合同发出的指令施工，建立完善的质量保证体系，并设立专职质检人员，负责施工过程工程质量的管理和检查。随时接受发包人及其委派人员的检查检验、为检查检验提供便利条件。并按发包人及委派人员的要求返工、修改，并承担由自身原因导致返工、修改的费用，工期不予顺延。</w:t>
      </w:r>
    </w:p>
    <w:p w14:paraId="6C1319E5">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single"/>
        </w:rPr>
      </w:pPr>
      <w:r>
        <w:rPr>
          <w:rFonts w:hint="eastAsia" w:ascii="仿宋_GB2312" w:hAnsi="仿宋_GB2312" w:eastAsia="仿宋_GB2312" w:cs="仿宋_GB2312"/>
          <w:color w:val="auto"/>
          <w:sz w:val="32"/>
          <w:szCs w:val="32"/>
          <w:highlight w:val="none"/>
        </w:rPr>
        <w:t>关于工程奖项的约定：</w:t>
      </w:r>
      <w:r>
        <w:rPr>
          <w:rFonts w:hint="eastAsia" w:ascii="仿宋_GB2312" w:hAnsi="仿宋_GB2312" w:eastAsia="仿宋_GB2312" w:cs="仿宋_GB2312"/>
          <w:color w:val="auto"/>
          <w:sz w:val="32"/>
          <w:szCs w:val="32"/>
          <w:highlight w:val="none"/>
          <w:u w:val="single"/>
        </w:rPr>
        <w:t>/</w:t>
      </w:r>
      <w:r>
        <w:rPr>
          <w:rFonts w:hint="eastAsia" w:ascii="仿宋_GB2312" w:hAnsi="仿宋_GB2312" w:eastAsia="仿宋_GB2312" w:cs="仿宋_GB2312"/>
          <w:color w:val="auto"/>
          <w:sz w:val="32"/>
          <w:szCs w:val="32"/>
          <w:highlight w:val="none"/>
        </w:rPr>
        <w:t>。</w:t>
      </w:r>
    </w:p>
    <w:p w14:paraId="7418851B">
      <w:pPr>
        <w:pageBreakBefore w:val="0"/>
        <w:kinsoku/>
        <w:wordWrap/>
        <w:overflowPunct/>
        <w:topLinePunct w:val="0"/>
        <w:bidi w:val="0"/>
        <w:adjustRightInd w:val="0"/>
        <w:snapToGrid w:val="0"/>
        <w:spacing w:line="560" w:lineRule="exact"/>
        <w:ind w:firstLine="640" w:firstLineChars="200"/>
        <w:jc w:val="both"/>
        <w:outlineLvl w:val="9"/>
        <w:rPr>
          <w:rFonts w:hint="eastAsia" w:ascii="仿宋_GB2312" w:hAnsi="仿宋_GB2312" w:eastAsia="仿宋_GB2312" w:cs="仿宋_GB2312"/>
          <w:color w:val="auto"/>
          <w:sz w:val="32"/>
          <w:szCs w:val="32"/>
          <w:highlight w:val="none"/>
        </w:rPr>
      </w:pPr>
      <w:bookmarkStart w:id="2108" w:name="_Toc2810"/>
      <w:bookmarkStart w:id="2109" w:name="_Toc22301"/>
      <w:bookmarkStart w:id="2110" w:name="_Toc24388"/>
      <w:bookmarkStart w:id="2111" w:name="_Toc4030"/>
      <w:bookmarkStart w:id="2112" w:name="_Toc12879"/>
      <w:bookmarkStart w:id="2113" w:name="_Toc1463"/>
      <w:bookmarkStart w:id="2114" w:name="_Toc16654"/>
      <w:bookmarkStart w:id="2115" w:name="_Toc4217"/>
      <w:r>
        <w:rPr>
          <w:rFonts w:hint="eastAsia" w:ascii="仿宋_GB2312" w:hAnsi="仿宋_GB2312" w:eastAsia="仿宋_GB2312" w:cs="仿宋_GB2312"/>
          <w:color w:val="auto"/>
          <w:sz w:val="32"/>
          <w:szCs w:val="32"/>
          <w:highlight w:val="none"/>
        </w:rPr>
        <w:t>5.3 隐蔽工程检查</w:t>
      </w:r>
      <w:bookmarkEnd w:id="2108"/>
      <w:bookmarkEnd w:id="2109"/>
      <w:bookmarkEnd w:id="2110"/>
      <w:bookmarkEnd w:id="2111"/>
      <w:bookmarkEnd w:id="2112"/>
      <w:bookmarkEnd w:id="2113"/>
      <w:bookmarkEnd w:id="2114"/>
      <w:bookmarkEnd w:id="2115"/>
    </w:p>
    <w:p w14:paraId="0CB5A691">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rPr>
        <w:t>5.3.2承包人提前通知监理人隐蔽工程检查的期限的约定：</w:t>
      </w:r>
      <w:r>
        <w:rPr>
          <w:rFonts w:hint="eastAsia" w:ascii="仿宋_GB2312" w:hAnsi="仿宋_GB2312" w:eastAsia="仿宋_GB2312" w:cs="仿宋_GB2312"/>
          <w:color w:val="auto"/>
          <w:sz w:val="32"/>
          <w:szCs w:val="32"/>
          <w:highlight w:val="none"/>
          <w:u w:val="none"/>
        </w:rPr>
        <w:t>（1）收到承包人申请报告后48小时内。每完成一道工序、每一子分部工程完成都必须经监理工程师和发包人现场代表以及相关部门验收合格后方能进行下一道工序的施工。工程开工后一个月内，</w:t>
      </w:r>
      <w:r>
        <w:rPr>
          <w:rFonts w:hint="eastAsia" w:ascii="仿宋_GB2312" w:hAnsi="仿宋_GB2312" w:eastAsia="仿宋_GB2312" w:cs="仿宋_GB2312"/>
          <w:color w:val="auto"/>
          <w:sz w:val="32"/>
          <w:szCs w:val="32"/>
          <w:highlight w:val="none"/>
          <w:u w:val="none"/>
          <w:lang w:eastAsia="zh-CN"/>
        </w:rPr>
        <w:t>监理人</w:t>
      </w:r>
      <w:r>
        <w:rPr>
          <w:rFonts w:hint="eastAsia" w:ascii="仿宋_GB2312" w:hAnsi="仿宋_GB2312" w:eastAsia="仿宋_GB2312" w:cs="仿宋_GB2312"/>
          <w:color w:val="auto"/>
          <w:sz w:val="32"/>
          <w:szCs w:val="32"/>
          <w:highlight w:val="none"/>
          <w:u w:val="none"/>
        </w:rPr>
        <w:t xml:space="preserve">书面指出验收的关键部位，关键部位未经监理工程师验收，不得隐蔽或继续施工。否则，该部分工程按如下方案之一处理： </w:t>
      </w:r>
    </w:p>
    <w:p w14:paraId="2760AA45">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A</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rPr>
        <w:t xml:space="preserve">被视为不合格，由此所产生的返工费用由承包人承担； </w:t>
      </w:r>
    </w:p>
    <w:p w14:paraId="0227B958">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B</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rPr>
        <w:t xml:space="preserve">不能判定是否合格，不予计量。 </w:t>
      </w:r>
    </w:p>
    <w:p w14:paraId="0CDCFA68">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监理人不能按时进行检查时，应提前</w:t>
      </w:r>
      <w:r>
        <w:rPr>
          <w:rFonts w:hint="eastAsia" w:ascii="仿宋_GB2312" w:hAnsi="仿宋_GB2312" w:eastAsia="仿宋_GB2312" w:cs="仿宋_GB2312"/>
          <w:color w:val="auto"/>
          <w:sz w:val="32"/>
          <w:szCs w:val="32"/>
          <w:highlight w:val="none"/>
          <w:u w:val="none"/>
        </w:rPr>
        <w:t>24</w:t>
      </w:r>
      <w:r>
        <w:rPr>
          <w:rFonts w:hint="eastAsia" w:ascii="仿宋_GB2312" w:hAnsi="仿宋_GB2312" w:eastAsia="仿宋_GB2312" w:cs="仿宋_GB2312"/>
          <w:color w:val="auto"/>
          <w:sz w:val="32"/>
          <w:szCs w:val="32"/>
          <w:highlight w:val="none"/>
        </w:rPr>
        <w:t>小时提交书面延期要求。</w:t>
      </w:r>
    </w:p>
    <w:p w14:paraId="41A93FD6">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关于延期最长不得超过：</w:t>
      </w:r>
      <w:r>
        <w:rPr>
          <w:rFonts w:hint="eastAsia" w:ascii="仿宋_GB2312" w:hAnsi="仿宋_GB2312" w:eastAsia="仿宋_GB2312" w:cs="仿宋_GB2312"/>
          <w:color w:val="auto"/>
          <w:sz w:val="32"/>
          <w:szCs w:val="32"/>
          <w:highlight w:val="none"/>
          <w:u w:val="none"/>
        </w:rPr>
        <w:t>24</w:t>
      </w:r>
      <w:r>
        <w:rPr>
          <w:rFonts w:hint="eastAsia" w:ascii="仿宋_GB2312" w:hAnsi="仿宋_GB2312" w:eastAsia="仿宋_GB2312" w:cs="仿宋_GB2312"/>
          <w:color w:val="auto"/>
          <w:sz w:val="32"/>
          <w:szCs w:val="32"/>
          <w:highlight w:val="none"/>
        </w:rPr>
        <w:t>小时。</w:t>
      </w:r>
      <w:bookmarkStart w:id="2116" w:name="_Toc351203638"/>
    </w:p>
    <w:p w14:paraId="251209B7">
      <w:pPr>
        <w:pageBreakBefore w:val="0"/>
        <w:widowControl/>
        <w:kinsoku/>
        <w:wordWrap/>
        <w:overflowPunct/>
        <w:topLinePunct w:val="0"/>
        <w:bidi w:val="0"/>
        <w:adjustRightInd w:val="0"/>
        <w:snapToGrid w:val="0"/>
        <w:spacing w:line="560" w:lineRule="exact"/>
        <w:ind w:firstLine="640" w:firstLineChars="200"/>
        <w:jc w:val="both"/>
        <w:outlineLvl w:val="9"/>
        <w:rPr>
          <w:rFonts w:hint="eastAsia" w:ascii="黑体" w:hAnsi="黑体" w:eastAsia="黑体" w:cs="黑体"/>
          <w:b w:val="0"/>
          <w:bCs/>
          <w:color w:val="auto"/>
          <w:sz w:val="32"/>
          <w:szCs w:val="32"/>
          <w:highlight w:val="none"/>
        </w:rPr>
      </w:pPr>
      <w:bookmarkStart w:id="2117" w:name="_Toc1983"/>
      <w:bookmarkStart w:id="2118" w:name="_Toc32252"/>
      <w:bookmarkStart w:id="2119" w:name="_Toc3970"/>
      <w:bookmarkStart w:id="2120" w:name="_Toc24386"/>
      <w:bookmarkStart w:id="2121" w:name="_Toc1869"/>
      <w:bookmarkStart w:id="2122" w:name="_Toc17098"/>
      <w:bookmarkStart w:id="2123" w:name="_Toc7473"/>
      <w:bookmarkStart w:id="2124" w:name="_Toc12701"/>
      <w:bookmarkStart w:id="2125" w:name="_Toc21240"/>
      <w:bookmarkStart w:id="2126" w:name="_Toc31868"/>
      <w:r>
        <w:rPr>
          <w:rFonts w:hint="eastAsia" w:ascii="黑体" w:hAnsi="黑体" w:eastAsia="黑体" w:cs="黑体"/>
          <w:b w:val="0"/>
          <w:bCs/>
          <w:color w:val="auto"/>
          <w:sz w:val="32"/>
          <w:szCs w:val="32"/>
          <w:highlight w:val="none"/>
        </w:rPr>
        <w:t>6. 安全文明施工与环境保</w:t>
      </w:r>
      <w:bookmarkEnd w:id="2116"/>
      <w:r>
        <w:rPr>
          <w:rFonts w:hint="eastAsia" w:ascii="黑体" w:hAnsi="黑体" w:eastAsia="黑体" w:cs="黑体"/>
          <w:b w:val="0"/>
          <w:bCs/>
          <w:color w:val="auto"/>
          <w:sz w:val="32"/>
          <w:szCs w:val="32"/>
          <w:highlight w:val="none"/>
        </w:rPr>
        <w:t>护</w:t>
      </w:r>
      <w:bookmarkEnd w:id="2117"/>
      <w:bookmarkEnd w:id="2118"/>
      <w:bookmarkEnd w:id="2119"/>
      <w:bookmarkEnd w:id="2120"/>
      <w:bookmarkEnd w:id="2121"/>
      <w:bookmarkEnd w:id="2122"/>
      <w:bookmarkEnd w:id="2123"/>
      <w:bookmarkEnd w:id="2124"/>
      <w:bookmarkEnd w:id="2125"/>
      <w:bookmarkEnd w:id="2126"/>
    </w:p>
    <w:p w14:paraId="60F95CFB">
      <w:pPr>
        <w:pageBreakBefore w:val="0"/>
        <w:kinsoku/>
        <w:wordWrap/>
        <w:overflowPunct/>
        <w:topLinePunct w:val="0"/>
        <w:bidi w:val="0"/>
        <w:adjustRightInd w:val="0"/>
        <w:snapToGrid w:val="0"/>
        <w:spacing w:line="560" w:lineRule="exact"/>
        <w:ind w:firstLine="640" w:firstLineChars="200"/>
        <w:jc w:val="both"/>
        <w:outlineLvl w:val="9"/>
        <w:rPr>
          <w:rFonts w:hint="eastAsia" w:ascii="仿宋_GB2312" w:hAnsi="仿宋_GB2312" w:eastAsia="仿宋_GB2312" w:cs="仿宋_GB2312"/>
          <w:color w:val="auto"/>
          <w:sz w:val="32"/>
          <w:szCs w:val="32"/>
          <w:highlight w:val="none"/>
        </w:rPr>
      </w:pPr>
      <w:bookmarkStart w:id="2127" w:name="_Toc29841"/>
      <w:bookmarkStart w:id="2128" w:name="_Toc26135"/>
      <w:bookmarkStart w:id="2129" w:name="_Toc10319"/>
      <w:bookmarkStart w:id="2130" w:name="_Toc24269"/>
      <w:bookmarkStart w:id="2131" w:name="_Toc8570"/>
      <w:bookmarkStart w:id="2132" w:name="_Toc2015"/>
      <w:bookmarkStart w:id="2133" w:name="_Toc356"/>
      <w:bookmarkStart w:id="2134" w:name="_Toc23229"/>
      <w:r>
        <w:rPr>
          <w:rFonts w:hint="eastAsia" w:ascii="仿宋_GB2312" w:hAnsi="仿宋_GB2312" w:eastAsia="仿宋_GB2312" w:cs="仿宋_GB2312"/>
          <w:color w:val="auto"/>
          <w:sz w:val="32"/>
          <w:szCs w:val="32"/>
          <w:highlight w:val="none"/>
        </w:rPr>
        <w:t>6.1安全文明施工</w:t>
      </w:r>
      <w:bookmarkEnd w:id="2127"/>
      <w:bookmarkEnd w:id="2128"/>
      <w:bookmarkEnd w:id="2129"/>
      <w:bookmarkEnd w:id="2130"/>
      <w:bookmarkEnd w:id="2131"/>
      <w:bookmarkEnd w:id="2132"/>
      <w:bookmarkEnd w:id="2133"/>
      <w:bookmarkEnd w:id="2134"/>
    </w:p>
    <w:p w14:paraId="42458DE7">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6.1.1 项目安全生产的达标目标及相应事项的约定：</w:t>
      </w:r>
    </w:p>
    <w:p w14:paraId="4568A822">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1）双方约定按建设部《建筑施工安全检查标准》（JGJ59-2011）和海南省当地标准进行文明施工，并作为双方安全施工的检查标准。同时承包人应按照国家颁布的最新、最高标准编制安全文明施工方案，经监理人、发包人批准后执行，所有费用均包含在</w:t>
      </w:r>
      <w:r>
        <w:rPr>
          <w:rFonts w:hint="eastAsia" w:ascii="仿宋_GB2312" w:hAnsi="仿宋_GB2312" w:eastAsia="仿宋_GB2312" w:cs="仿宋_GB2312"/>
          <w:color w:val="auto"/>
          <w:sz w:val="32"/>
          <w:szCs w:val="32"/>
          <w:highlight w:val="none"/>
          <w:u w:val="none"/>
          <w:lang w:eastAsia="zh-CN"/>
        </w:rPr>
        <w:t>合同价款中的各分部分项或措施项目清单综合单价</w:t>
      </w:r>
      <w:r>
        <w:rPr>
          <w:rFonts w:hint="eastAsia" w:ascii="仿宋_GB2312" w:hAnsi="仿宋_GB2312" w:eastAsia="仿宋_GB2312" w:cs="仿宋_GB2312"/>
          <w:color w:val="auto"/>
          <w:sz w:val="32"/>
          <w:szCs w:val="32"/>
          <w:highlight w:val="none"/>
          <w:u w:val="none"/>
        </w:rPr>
        <w:t>中，不再另行计取。非发包人原因造成的安全事故，责任一律由承包人全部承担；在施工范围内发生的安全事故均由承包人负责协调处理。无论发包人（或监理人）是否给予了批准或同意，承包人应对现场作业、施工方法及所施工工程的完备性、稳定性和安全性承担全部责任，负责完成对工程的稳定、完整、安全、可靠及有效运行所必需的全部工作。</w:t>
      </w:r>
    </w:p>
    <w:p w14:paraId="051994D1">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本工程承包人的职工或承包的工程发生安全事故的，由本工程承包人承担全部赔偿责任。因他人的过错导致事故的，由本工程承包人向过错方索赔，若发包人先行承担相关包括但不限于赔偿、处罚责任的，发包人有权向承包人对该部分予以追偿。</w:t>
      </w:r>
    </w:p>
    <w:p w14:paraId="0BF78D93">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2）在承包人施工的施工场地内，按发包人及施工安全需要，承包人负责施工使用的照明、看守、围栏和警卫，并采取措施确保安全文明施工，消除事故隐患，并随时接受行业安全检查人员依法实施的监督检查，相关费用已包含在</w:t>
      </w:r>
      <w:r>
        <w:rPr>
          <w:rFonts w:hint="eastAsia" w:ascii="仿宋_GB2312" w:hAnsi="仿宋_GB2312" w:eastAsia="仿宋_GB2312" w:cs="仿宋_GB2312"/>
          <w:color w:val="auto"/>
          <w:sz w:val="32"/>
          <w:szCs w:val="32"/>
          <w:highlight w:val="none"/>
          <w:u w:val="none"/>
          <w:lang w:eastAsia="zh-CN"/>
        </w:rPr>
        <w:t>合同价款中的各分部分项或措施项目清单综合单价</w:t>
      </w:r>
      <w:r>
        <w:rPr>
          <w:rFonts w:hint="eastAsia" w:ascii="仿宋_GB2312" w:hAnsi="仿宋_GB2312" w:eastAsia="仿宋_GB2312" w:cs="仿宋_GB2312"/>
          <w:color w:val="auto"/>
          <w:sz w:val="32"/>
          <w:szCs w:val="32"/>
          <w:highlight w:val="none"/>
          <w:u w:val="none"/>
        </w:rPr>
        <w:t>中，发包人不另行支付。如承包人未履行上述义务，造成工程、财产和人员伤害，由承包人承担由此发生的费用和一切责任，同时若发包人或承包人因此受到主管部门的处罚，每发生一次，承包人向发包人支付10万元违约金。</w:t>
      </w:r>
    </w:p>
    <w:p w14:paraId="57AE9385">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3）承包人应保证在本合同履行过程中所用的全部工程器具、设备、材料、施工机械及现场设施等的安全、性能状态完好，满足发包人和工程施工的要求。大中型施工机械、现场变配电设备以及重要施工器具等的检验合格等手续与检修、维护计划必须提前7天报</w:t>
      </w:r>
      <w:r>
        <w:rPr>
          <w:rFonts w:hint="eastAsia" w:ascii="仿宋_GB2312" w:hAnsi="仿宋_GB2312" w:eastAsia="仿宋_GB2312" w:cs="仿宋_GB2312"/>
          <w:color w:val="auto"/>
          <w:sz w:val="32"/>
          <w:szCs w:val="32"/>
          <w:highlight w:val="none"/>
          <w:u w:val="none"/>
          <w:lang w:eastAsia="zh-CN"/>
        </w:rPr>
        <w:t>监理人</w:t>
      </w:r>
      <w:r>
        <w:rPr>
          <w:rFonts w:hint="eastAsia" w:ascii="仿宋_GB2312" w:hAnsi="仿宋_GB2312" w:eastAsia="仿宋_GB2312" w:cs="仿宋_GB2312"/>
          <w:color w:val="auto"/>
          <w:sz w:val="32"/>
          <w:szCs w:val="32"/>
          <w:highlight w:val="none"/>
          <w:u w:val="none"/>
        </w:rPr>
        <w:t>、发包人备案。不论发包人是否发出指示，承包人均应自费为其人员提供防护穿戴，包括但不限于护目镜、安全带、安全网、安全帽、鞋袜等。</w:t>
      </w:r>
    </w:p>
    <w:p w14:paraId="7C44A94B">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4）在工程施工期间，承包人应指定现场主要安全负责人参加发包人和监理人召开的安全会议，并按发包人的要求提交安全报告和建议。本工程实行定期和不定期相结合的现场安全检查制度，承包人必须保持经常性的例行自检。承包人现场主要安全负责人的指定人员更换须提前报发包人批准、备案。</w:t>
      </w:r>
    </w:p>
    <w:p w14:paraId="6B464E6B">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5）承包人在动力设备、高压线路、地下管道、易燃易爆地段以及临街交通要道附近施工前，按规范要求采取相应安全保护措施。综合管网施工时，应编制切实可行的施工组织措施经发包人批准后实施，管沟土方开挖应避免重复开挖和重叠开挖，降低工程成本。</w:t>
      </w:r>
    </w:p>
    <w:p w14:paraId="754F9D33">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（6）承包人应采用天蓝色冲孔钢防护网，网片尺寸根据建筑具体参数选定，冲孔钢防护网的支撑架设置需经验算满足安全要求，沿建筑物一周从上至下连续设置（除提升式爬架除外），相关费用已包含在</w:t>
      </w:r>
      <w:r>
        <w:rPr>
          <w:rFonts w:hint="eastAsia" w:ascii="仿宋_GB2312" w:hAnsi="仿宋_GB2312" w:eastAsia="仿宋_GB2312" w:cs="仿宋_GB2312"/>
          <w:color w:val="auto"/>
          <w:sz w:val="32"/>
          <w:szCs w:val="32"/>
          <w:highlight w:val="none"/>
          <w:u w:val="none"/>
          <w:lang w:eastAsia="zh-CN"/>
        </w:rPr>
        <w:t>合同价款中的各分部分项或措施项目清单综合单价</w:t>
      </w:r>
      <w:r>
        <w:rPr>
          <w:rFonts w:hint="eastAsia" w:ascii="仿宋_GB2312" w:hAnsi="仿宋_GB2312" w:eastAsia="仿宋_GB2312" w:cs="仿宋_GB2312"/>
          <w:color w:val="auto"/>
          <w:sz w:val="32"/>
          <w:szCs w:val="32"/>
          <w:highlight w:val="none"/>
          <w:u w:val="none"/>
        </w:rPr>
        <w:t>内，发包人不另行支付。</w:t>
      </w:r>
    </w:p>
    <w:p w14:paraId="625FFFE9">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（7）承包人负责处理施工过程中因自身原因造成的财产和人身伤害事故，若承包人未能按监理人和发包人要求及时处理或赔偿的，发包人有权在支付承包人的工程进度款</w:t>
      </w:r>
      <w:r>
        <w:rPr>
          <w:rFonts w:hint="eastAsia" w:ascii="仿宋_GB2312" w:hAnsi="仿宋_GB2312" w:eastAsia="仿宋_GB2312" w:cs="仿宋_GB2312"/>
          <w:color w:val="auto"/>
          <w:sz w:val="32"/>
          <w:szCs w:val="32"/>
          <w:highlight w:val="none"/>
          <w:u w:val="none"/>
          <w:lang w:val="en-US" w:eastAsia="zh-CN"/>
        </w:rPr>
        <w:t>或</w:t>
      </w:r>
      <w:r>
        <w:rPr>
          <w:rFonts w:hint="eastAsia" w:ascii="仿宋_GB2312" w:hAnsi="仿宋_GB2312" w:eastAsia="仿宋_GB2312" w:cs="仿宋_GB2312"/>
          <w:color w:val="auto"/>
          <w:sz w:val="32"/>
          <w:szCs w:val="32"/>
          <w:highlight w:val="none"/>
          <w:u w:val="none"/>
        </w:rPr>
        <w:t xml:space="preserve">结算款等款项时扣除发包人因此所支出的赔偿金、补偿金、罚款、诉讼费、律师费等全部款项。由此给发包人带来的任何影响，发包人有权保留进一步追偿的权利 </w:t>
      </w:r>
      <w:r>
        <w:rPr>
          <w:rFonts w:hint="eastAsia" w:ascii="仿宋_GB2312" w:hAnsi="仿宋_GB2312" w:eastAsia="仿宋_GB2312" w:cs="仿宋_GB2312"/>
          <w:color w:val="auto"/>
          <w:sz w:val="32"/>
          <w:szCs w:val="32"/>
          <w:highlight w:val="none"/>
        </w:rPr>
        <w:t>。</w:t>
      </w:r>
    </w:p>
    <w:p w14:paraId="469EDB93">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rPr>
        <w:t>6.1.4 关于治安保卫的特别约定：</w:t>
      </w:r>
      <w:r>
        <w:rPr>
          <w:rFonts w:hint="eastAsia" w:ascii="仿宋_GB2312" w:hAnsi="仿宋_GB2312" w:eastAsia="仿宋_GB2312" w:cs="仿宋_GB2312"/>
          <w:color w:val="auto"/>
          <w:sz w:val="32"/>
          <w:szCs w:val="32"/>
          <w:highlight w:val="none"/>
          <w:u w:val="none"/>
        </w:rPr>
        <w:t>施工安全保卫工作及夜间施工照明的责任和要求：承包人全面负责本施工现场范围内（包括发包人所有的物资、设备等财物）的安全保卫工作及夜间施工照明，如承包人违反该条约定导致发包人或其他第三方损失的，承包人应当进行赔偿，相关赔偿款项发包人可自行在工程款中扣除。</w:t>
      </w:r>
    </w:p>
    <w:p w14:paraId="4356F1C5">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lang w:val="en-US" w:eastAsia="zh-CN"/>
        </w:rPr>
        <w:t>承包人应</w:t>
      </w:r>
      <w:r>
        <w:rPr>
          <w:rFonts w:hint="eastAsia" w:ascii="仿宋_GB2312" w:hAnsi="仿宋_GB2312" w:eastAsia="仿宋_GB2312" w:cs="仿宋_GB2312"/>
          <w:color w:val="auto"/>
          <w:sz w:val="32"/>
          <w:szCs w:val="32"/>
          <w:highlight w:val="none"/>
          <w:u w:val="none"/>
        </w:rPr>
        <w:t>自费提供和维护所需的灯光、护板、栅栏、警告信号等设施及警卫人员。</w:t>
      </w:r>
    </w:p>
    <w:p w14:paraId="0EBA138E">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国家及地方对施工安全保卫工作及夜间施工照明有规定质量要求的还应达到国家规定的要求</w:t>
      </w:r>
      <w:r>
        <w:rPr>
          <w:rFonts w:hint="eastAsia" w:ascii="仿宋_GB2312" w:hAnsi="仿宋_GB2312" w:eastAsia="仿宋_GB2312" w:cs="仿宋_GB2312"/>
          <w:color w:val="auto"/>
          <w:sz w:val="32"/>
          <w:szCs w:val="32"/>
          <w:highlight w:val="none"/>
        </w:rPr>
        <w:t>。</w:t>
      </w:r>
    </w:p>
    <w:p w14:paraId="77C1D98B">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rPr>
        <w:t>关于编制施工场地治安管理计划的约定：</w:t>
      </w:r>
      <w:r>
        <w:rPr>
          <w:rFonts w:hint="eastAsia" w:ascii="仿宋_GB2312" w:hAnsi="仿宋_GB2312" w:eastAsia="仿宋_GB2312" w:cs="仿宋_GB2312"/>
          <w:color w:val="auto"/>
          <w:sz w:val="32"/>
          <w:szCs w:val="32"/>
          <w:highlight w:val="none"/>
          <w:u w:val="none"/>
        </w:rPr>
        <w:t>承包人负责编制施工场地治安管理计划，制定突发治安事件紧急预案。</w:t>
      </w:r>
    </w:p>
    <w:p w14:paraId="4DF272FF">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6.1.5 文明施工</w:t>
      </w:r>
    </w:p>
    <w:p w14:paraId="47C32BE6">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合同当事人对文明施工的要求：</w:t>
      </w:r>
      <w:r>
        <w:rPr>
          <w:rFonts w:hint="eastAsia" w:ascii="仿宋_GB2312" w:hAnsi="仿宋_GB2312" w:eastAsia="仿宋_GB2312" w:cs="仿宋_GB2312"/>
          <w:color w:val="auto"/>
          <w:sz w:val="32"/>
          <w:szCs w:val="32"/>
          <w:highlight w:val="none"/>
          <w:u w:val="none"/>
        </w:rPr>
        <w:t>承包人须按相关规范要求实施，否则发包人有权委托第三方实施，所发生的费用及造成的损失均由承包人承担，发包人直接从承包人的工程款中扣除</w:t>
      </w:r>
      <w:r>
        <w:rPr>
          <w:rFonts w:hint="eastAsia" w:ascii="仿宋_GB2312" w:hAnsi="仿宋_GB2312" w:eastAsia="仿宋_GB2312" w:cs="仿宋_GB2312"/>
          <w:color w:val="auto"/>
          <w:sz w:val="32"/>
          <w:szCs w:val="32"/>
          <w:highlight w:val="none"/>
        </w:rPr>
        <w:t>。</w:t>
      </w:r>
    </w:p>
    <w:p w14:paraId="736C199B">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（1）施工现场主门右侧必须悬挂“五牌一图”。</w:t>
      </w:r>
    </w:p>
    <w:p w14:paraId="73FF86EF">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（2）所有施工单位工程施工现场的施工设备、材料堆放场地、施工道路、生活区域统一进行合理布置。</w:t>
      </w:r>
    </w:p>
    <w:p w14:paraId="7D7F8DFF">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（3）施工现场实行封闭施工，使用围护材料应保证稳固、整洁、美观，其高度不得低于2.5M；临街和主要行人通道必须搭设双层密闭钢（木）质安全挡板。</w:t>
      </w:r>
    </w:p>
    <w:p w14:paraId="0A007EC2">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（4）所有施工人员必须在胸前佩戴身份标卡，标卡应贴本人照片、标明人员姓名、工种或职务、所在单位。</w:t>
      </w:r>
    </w:p>
    <w:p w14:paraId="6ABBA738">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（5）施工现场应设置连续、通畅的排水设施，现场必须做到排水畅通，无积水、无淤泥，临时道路平整通畅，垃圾专门堆放、及时清理。</w:t>
      </w:r>
    </w:p>
    <w:p w14:paraId="2C605114">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（6）施工现场食堂设置原则上应远离厕所、污水沟、垃圾站等污染物20m以上；食堂管理必须符合卫生标准，炊事员必须持有有效的健康证明上岗。</w:t>
      </w:r>
    </w:p>
    <w:p w14:paraId="27D3ABFC">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（7）施工现场、临时宿舍应做好安全保卫工作，采取必要的防盗、防火措施；制定安全保卫制度，责任到人；建立安全保卫档案，填写工作日志。</w:t>
      </w:r>
    </w:p>
    <w:p w14:paraId="1451F977">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8）施工现场材料要分类堆积存放，且必须符合场地布置图规定位置；钢材按规格堆放，标示清楚，砂石按粒径和用途分隔堆放；已检验合格材料和未检待检材料分类堆放，标示清楚；施工现场定期清扫，保持整洁有序。</w:t>
      </w:r>
    </w:p>
    <w:p w14:paraId="1AF399B8">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（9）施工现场、宿舍的临时厕所必须设有化粪池并加以定期喷药，保持清洁卫生，厕所、宿舍必须有专人清扫，建筑物内无大小便。</w:t>
      </w:r>
    </w:p>
    <w:p w14:paraId="7CCD19ED">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sz w:val="32"/>
          <w:szCs w:val="32"/>
          <w:highlight w:val="none"/>
        </w:rPr>
        <w:t>6.1.6 关于安全文明施工费支付比例和支付期限的约定：</w:t>
      </w:r>
      <w:r>
        <w:rPr>
          <w:rFonts w:hint="eastAsia" w:ascii="仿宋_GB2312" w:hAnsi="仿宋_GB2312" w:eastAsia="仿宋_GB2312" w:cs="仿宋_GB2312"/>
          <w:color w:val="auto"/>
          <w:sz w:val="32"/>
          <w:szCs w:val="32"/>
          <w:highlight w:val="none"/>
          <w:u w:val="none"/>
        </w:rPr>
        <w:t>发包人在工程开工后的28天内</w:t>
      </w:r>
      <w:r>
        <w:rPr>
          <w:rFonts w:hint="eastAsia" w:ascii="仿宋_GB2312" w:hAnsi="仿宋_GB2312" w:eastAsia="仿宋_GB2312" w:cs="仿宋_GB2312"/>
          <w:color w:val="auto"/>
          <w:sz w:val="32"/>
          <w:szCs w:val="32"/>
          <w:highlight w:val="none"/>
          <w:u w:val="none"/>
          <w:lang w:val="en-US" w:eastAsia="zh-CN"/>
        </w:rPr>
        <w:t>支</w:t>
      </w:r>
      <w:r>
        <w:rPr>
          <w:rFonts w:hint="eastAsia" w:ascii="仿宋_GB2312" w:hAnsi="仿宋_GB2312" w:eastAsia="仿宋_GB2312" w:cs="仿宋_GB2312"/>
          <w:color w:val="auto"/>
          <w:sz w:val="32"/>
          <w:szCs w:val="32"/>
          <w:highlight w:val="none"/>
          <w:u w:val="none"/>
        </w:rPr>
        <w:t>付基本安全文明施工费。承包人对安全文明施工费应专款专用，并在财务账目中单独列支备查，同时接受发包人制定的管理制度考核，考核不达标限期整改，逾期未整改的发包人有权委托第三方实施，由此增加和实施的费用发包人直接从承包人的工程款中扣除。如发包人核实承包人未落实安全防护、文明施工措施，挪用安全防护、文明施工措施费用的</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rPr>
        <w:t>发包人将如实报送相关行政主管部门；同时承包人</w:t>
      </w:r>
      <w:r>
        <w:rPr>
          <w:rFonts w:hint="eastAsia" w:ascii="仿宋_GB2312" w:hAnsi="仿宋_GB2312" w:eastAsia="仿宋_GB2312" w:cs="仿宋_GB2312"/>
          <w:color w:val="auto"/>
          <w:sz w:val="32"/>
          <w:szCs w:val="32"/>
          <w:highlight w:val="none"/>
          <w:u w:val="none"/>
          <w:lang w:val="en-US" w:eastAsia="zh-CN"/>
        </w:rPr>
        <w:t>应</w:t>
      </w:r>
      <w:r>
        <w:rPr>
          <w:rFonts w:hint="eastAsia" w:ascii="仿宋_GB2312" w:hAnsi="仿宋_GB2312" w:eastAsia="仿宋_GB2312" w:cs="仿宋_GB2312"/>
          <w:color w:val="auto"/>
          <w:sz w:val="32"/>
          <w:szCs w:val="32"/>
          <w:highlight w:val="none"/>
          <w:u w:val="none"/>
        </w:rPr>
        <w:t>按本合同专用条款第16.2.2条第（14）款的约定向发包人承担违约责任。</w:t>
      </w:r>
    </w:p>
    <w:p w14:paraId="532FAACC">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需承包人办理的有关施工场地交通、环卫和施工噪音管理等手续及费用：</w:t>
      </w:r>
    </w:p>
    <w:p w14:paraId="517FD74F">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（1）承包人必须遵守海南省和海口市的</w:t>
      </w:r>
      <w:r>
        <w:rPr>
          <w:rFonts w:hint="eastAsia" w:ascii="仿宋_GB2312" w:hAnsi="仿宋_GB2312" w:eastAsia="仿宋_GB2312" w:cs="仿宋_GB2312"/>
          <w:color w:val="auto"/>
          <w:sz w:val="32"/>
          <w:szCs w:val="32"/>
          <w:highlight w:val="none"/>
          <w:u w:val="none"/>
          <w:lang w:eastAsia="zh-CN"/>
        </w:rPr>
        <w:t>地方性法规</w:t>
      </w:r>
      <w:r>
        <w:rPr>
          <w:rFonts w:hint="eastAsia" w:ascii="仿宋_GB2312" w:hAnsi="仿宋_GB2312" w:eastAsia="仿宋_GB2312" w:cs="仿宋_GB2312"/>
          <w:color w:val="auto"/>
          <w:sz w:val="32"/>
          <w:szCs w:val="32"/>
          <w:highlight w:val="none"/>
          <w:u w:val="none"/>
        </w:rPr>
        <w:t>，服从管理，凡</w:t>
      </w:r>
      <w:r>
        <w:rPr>
          <w:rFonts w:hint="eastAsia" w:ascii="仿宋_GB2312" w:hAnsi="仿宋_GB2312" w:eastAsia="仿宋_GB2312" w:cs="仿宋_GB2312"/>
          <w:color w:val="auto"/>
          <w:sz w:val="32"/>
          <w:szCs w:val="32"/>
          <w:highlight w:val="none"/>
          <w:u w:val="none"/>
          <w:lang w:eastAsia="zh-CN"/>
        </w:rPr>
        <w:t>涉及</w:t>
      </w:r>
      <w:r>
        <w:rPr>
          <w:rFonts w:hint="eastAsia" w:ascii="仿宋_GB2312" w:hAnsi="仿宋_GB2312" w:eastAsia="仿宋_GB2312" w:cs="仿宋_GB2312"/>
          <w:color w:val="auto"/>
          <w:sz w:val="32"/>
          <w:szCs w:val="32"/>
          <w:highlight w:val="none"/>
          <w:u w:val="none"/>
        </w:rPr>
        <w:t>承包人的施工备案、车辆准运等有关证、照，相关费用已包含在</w:t>
      </w:r>
      <w:r>
        <w:rPr>
          <w:rFonts w:hint="eastAsia" w:ascii="仿宋_GB2312" w:hAnsi="仿宋_GB2312" w:eastAsia="仿宋_GB2312" w:cs="仿宋_GB2312"/>
          <w:color w:val="auto"/>
          <w:sz w:val="32"/>
          <w:szCs w:val="32"/>
          <w:highlight w:val="none"/>
          <w:u w:val="none"/>
          <w:lang w:eastAsia="zh-CN"/>
        </w:rPr>
        <w:t>合同价款中的各分部分项或措施项目清单综合单价</w:t>
      </w:r>
      <w:r>
        <w:rPr>
          <w:rFonts w:hint="eastAsia" w:ascii="仿宋_GB2312" w:hAnsi="仿宋_GB2312" w:eastAsia="仿宋_GB2312" w:cs="仿宋_GB2312"/>
          <w:color w:val="auto"/>
          <w:sz w:val="32"/>
          <w:szCs w:val="32"/>
          <w:highlight w:val="none"/>
          <w:u w:val="none"/>
        </w:rPr>
        <w:t>内，发包人不另行支付。</w:t>
      </w:r>
    </w:p>
    <w:p w14:paraId="1030CE32">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（2）噪声管理费：承包人自行办理夜间施工许可手续，解决由于施工噪声而引起的纠纷，其费用已包含在</w:t>
      </w:r>
      <w:r>
        <w:rPr>
          <w:rFonts w:hint="eastAsia" w:ascii="仿宋_GB2312" w:hAnsi="仿宋_GB2312" w:eastAsia="仿宋_GB2312" w:cs="仿宋_GB2312"/>
          <w:color w:val="auto"/>
          <w:sz w:val="32"/>
          <w:szCs w:val="32"/>
          <w:highlight w:val="none"/>
          <w:u w:val="none"/>
          <w:lang w:eastAsia="zh-CN"/>
        </w:rPr>
        <w:t>合同价款中的各分部分项或措施项目清单综合单价</w:t>
      </w:r>
      <w:r>
        <w:rPr>
          <w:rFonts w:hint="eastAsia" w:ascii="仿宋_GB2312" w:hAnsi="仿宋_GB2312" w:eastAsia="仿宋_GB2312" w:cs="仿宋_GB2312"/>
          <w:color w:val="auto"/>
          <w:sz w:val="32"/>
          <w:szCs w:val="32"/>
          <w:highlight w:val="none"/>
          <w:u w:val="none"/>
        </w:rPr>
        <w:t>内，发包人不另行支付。</w:t>
      </w:r>
    </w:p>
    <w:p w14:paraId="634BF5F9">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（3）垃圾管理费：承包人须按相关规定自行办理施工场地全部建筑垃圾弃置及许可手续，并负责固定场地处置费或异地场地处置费等一切费用，其费用已包含在</w:t>
      </w:r>
      <w:r>
        <w:rPr>
          <w:rFonts w:hint="eastAsia" w:ascii="仿宋_GB2312" w:hAnsi="仿宋_GB2312" w:eastAsia="仿宋_GB2312" w:cs="仿宋_GB2312"/>
          <w:color w:val="auto"/>
          <w:sz w:val="32"/>
          <w:szCs w:val="32"/>
          <w:highlight w:val="none"/>
          <w:u w:val="none"/>
          <w:lang w:eastAsia="zh-CN"/>
        </w:rPr>
        <w:t>合同价款中的各分部分项或措施项目清单综合单价</w:t>
      </w:r>
      <w:r>
        <w:rPr>
          <w:rFonts w:hint="eastAsia" w:ascii="仿宋_GB2312" w:hAnsi="仿宋_GB2312" w:eastAsia="仿宋_GB2312" w:cs="仿宋_GB2312"/>
          <w:color w:val="auto"/>
          <w:sz w:val="32"/>
          <w:szCs w:val="32"/>
          <w:highlight w:val="none"/>
          <w:u w:val="none"/>
        </w:rPr>
        <w:t>内，发包人不另行支付。</w:t>
      </w:r>
    </w:p>
    <w:p w14:paraId="1DB33052">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u w:val="none"/>
        </w:rPr>
        <w:t>（4）场内施工道路由承包人负责硬化和整修，满足施工及材料、设备运输的需要，费用已含在安全文明施工措施费中，发包人不另行支付</w:t>
      </w:r>
      <w:r>
        <w:rPr>
          <w:rFonts w:hint="eastAsia" w:ascii="仿宋_GB2312" w:hAnsi="仿宋_GB2312" w:eastAsia="仿宋_GB2312" w:cs="仿宋_GB2312"/>
          <w:color w:val="auto"/>
          <w:sz w:val="32"/>
          <w:szCs w:val="32"/>
          <w:highlight w:val="none"/>
        </w:rPr>
        <w:t>。</w:t>
      </w:r>
      <w:bookmarkEnd w:id="2101"/>
      <w:bookmarkEnd w:id="2102"/>
      <w:bookmarkEnd w:id="2103"/>
      <w:bookmarkEnd w:id="2104"/>
      <w:bookmarkEnd w:id="2105"/>
      <w:bookmarkEnd w:id="2106"/>
      <w:bookmarkEnd w:id="2107"/>
      <w:bookmarkStart w:id="2135" w:name="_Toc351203639"/>
    </w:p>
    <w:p w14:paraId="0FC1FD74">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（5）承包人应按照海南省住建厅发布的琼建质监函〔2018〕186号《关于推进建设工程施工现场扬尘噪音在线监测系统的通知》要求落实远程视频监控和施工现场扬尘噪音在线监测，相关费用</w:t>
      </w:r>
      <w:r>
        <w:rPr>
          <w:rFonts w:hint="eastAsia" w:ascii="仿宋_GB2312" w:hAnsi="仿宋_GB2312" w:eastAsia="仿宋_GB2312" w:cs="仿宋_GB2312"/>
          <w:color w:val="auto"/>
          <w:sz w:val="32"/>
          <w:szCs w:val="32"/>
          <w:highlight w:val="none"/>
          <w:u w:val="none"/>
          <w:lang w:val="en-US" w:eastAsia="zh-CN"/>
        </w:rPr>
        <w:t>根据《海南省住房和城乡建设厅关于我省建设工程安全文明施工费计取使用的通知》（琼建规〔2024〕3号）</w:t>
      </w:r>
      <w:r>
        <w:rPr>
          <w:rFonts w:hint="eastAsia" w:ascii="仿宋_GB2312" w:hAnsi="仿宋_GB2312" w:eastAsia="仿宋_GB2312" w:cs="仿宋_GB2312"/>
          <w:color w:val="auto"/>
          <w:sz w:val="32"/>
          <w:szCs w:val="32"/>
          <w:highlight w:val="none"/>
          <w:u w:val="none"/>
        </w:rPr>
        <w:t>已包含在已标价工程量清单的</w:t>
      </w:r>
      <w:r>
        <w:rPr>
          <w:rFonts w:hint="eastAsia" w:ascii="仿宋_GB2312" w:hAnsi="仿宋_GB2312" w:eastAsia="仿宋_GB2312" w:cs="仿宋_GB2312"/>
          <w:color w:val="auto"/>
          <w:sz w:val="32"/>
          <w:szCs w:val="32"/>
          <w:highlight w:val="none"/>
          <w:u w:val="none"/>
          <w:lang w:val="en-US" w:eastAsia="zh-CN"/>
        </w:rPr>
        <w:t>措施项目报价</w:t>
      </w:r>
      <w:r>
        <w:rPr>
          <w:rFonts w:hint="eastAsia" w:ascii="仿宋_GB2312" w:hAnsi="仿宋_GB2312" w:eastAsia="仿宋_GB2312" w:cs="仿宋_GB2312"/>
          <w:color w:val="auto"/>
          <w:sz w:val="32"/>
          <w:szCs w:val="32"/>
          <w:highlight w:val="none"/>
          <w:u w:val="none"/>
        </w:rPr>
        <w:t>中，发包人不另行支付。</w:t>
      </w:r>
    </w:p>
    <w:p w14:paraId="7C5ADAA4">
      <w:pPr>
        <w:pageBreakBefore w:val="0"/>
        <w:widowControl/>
        <w:kinsoku/>
        <w:wordWrap/>
        <w:overflowPunct/>
        <w:topLinePunct w:val="0"/>
        <w:bidi w:val="0"/>
        <w:adjustRightInd w:val="0"/>
        <w:snapToGrid w:val="0"/>
        <w:spacing w:line="560" w:lineRule="exact"/>
        <w:ind w:firstLine="640" w:firstLineChars="200"/>
        <w:jc w:val="both"/>
        <w:outlineLvl w:val="9"/>
        <w:rPr>
          <w:rFonts w:hint="eastAsia" w:ascii="黑体" w:hAnsi="黑体" w:eastAsia="黑体" w:cs="黑体"/>
          <w:b w:val="0"/>
          <w:bCs/>
          <w:color w:val="auto"/>
          <w:sz w:val="32"/>
          <w:szCs w:val="32"/>
          <w:highlight w:val="none"/>
        </w:rPr>
      </w:pPr>
      <w:bookmarkStart w:id="2136" w:name="_Toc23496"/>
      <w:bookmarkStart w:id="2137" w:name="_Toc31876"/>
      <w:bookmarkStart w:id="2138" w:name="_Toc11390"/>
      <w:bookmarkStart w:id="2139" w:name="_Toc22070"/>
      <w:bookmarkStart w:id="2140" w:name="_Toc19969"/>
      <w:bookmarkStart w:id="2141" w:name="_Toc20727"/>
      <w:bookmarkStart w:id="2142" w:name="_Toc5487"/>
      <w:bookmarkStart w:id="2143" w:name="_Toc4381"/>
      <w:bookmarkStart w:id="2144" w:name="_Toc18156"/>
      <w:bookmarkStart w:id="2145" w:name="_Toc21034"/>
      <w:r>
        <w:rPr>
          <w:rFonts w:hint="eastAsia" w:ascii="黑体" w:hAnsi="黑体" w:eastAsia="黑体" w:cs="黑体"/>
          <w:b w:val="0"/>
          <w:bCs/>
          <w:color w:val="auto"/>
          <w:sz w:val="32"/>
          <w:szCs w:val="32"/>
          <w:highlight w:val="none"/>
        </w:rPr>
        <w:t>7. 工期和进</w:t>
      </w:r>
      <w:bookmarkEnd w:id="2135"/>
      <w:r>
        <w:rPr>
          <w:rFonts w:hint="eastAsia" w:ascii="黑体" w:hAnsi="黑体" w:eastAsia="黑体" w:cs="黑体"/>
          <w:b w:val="0"/>
          <w:bCs/>
          <w:color w:val="auto"/>
          <w:sz w:val="32"/>
          <w:szCs w:val="32"/>
          <w:highlight w:val="none"/>
        </w:rPr>
        <w:t>度</w:t>
      </w:r>
      <w:bookmarkEnd w:id="2136"/>
      <w:bookmarkEnd w:id="2137"/>
      <w:bookmarkEnd w:id="2138"/>
      <w:bookmarkEnd w:id="2139"/>
      <w:bookmarkEnd w:id="2140"/>
      <w:bookmarkEnd w:id="2141"/>
      <w:bookmarkEnd w:id="2142"/>
      <w:bookmarkEnd w:id="2143"/>
      <w:bookmarkEnd w:id="2144"/>
      <w:bookmarkEnd w:id="2145"/>
    </w:p>
    <w:p w14:paraId="7AFDFDBC">
      <w:pPr>
        <w:pageBreakBefore w:val="0"/>
        <w:kinsoku/>
        <w:wordWrap/>
        <w:overflowPunct/>
        <w:topLinePunct w:val="0"/>
        <w:bidi w:val="0"/>
        <w:adjustRightInd w:val="0"/>
        <w:snapToGrid w:val="0"/>
        <w:spacing w:line="560" w:lineRule="exact"/>
        <w:ind w:firstLine="640" w:firstLineChars="200"/>
        <w:jc w:val="both"/>
        <w:outlineLvl w:val="9"/>
        <w:rPr>
          <w:rFonts w:hint="eastAsia" w:ascii="仿宋_GB2312" w:hAnsi="仿宋_GB2312" w:eastAsia="仿宋_GB2312" w:cs="仿宋_GB2312"/>
          <w:color w:val="auto"/>
          <w:sz w:val="32"/>
          <w:szCs w:val="32"/>
          <w:highlight w:val="none"/>
        </w:rPr>
      </w:pPr>
      <w:bookmarkStart w:id="2146" w:name="_Toc13572"/>
      <w:bookmarkStart w:id="2147" w:name="_Toc10663"/>
      <w:bookmarkStart w:id="2148" w:name="_Toc1870"/>
      <w:bookmarkStart w:id="2149" w:name="_Toc8631"/>
      <w:bookmarkStart w:id="2150" w:name="_Toc27073"/>
      <w:bookmarkStart w:id="2151" w:name="_Toc32680"/>
      <w:bookmarkStart w:id="2152" w:name="_Toc30964"/>
      <w:bookmarkStart w:id="2153" w:name="_Toc7030"/>
      <w:r>
        <w:rPr>
          <w:rFonts w:hint="eastAsia" w:ascii="仿宋_GB2312" w:hAnsi="仿宋_GB2312" w:eastAsia="仿宋_GB2312" w:cs="仿宋_GB2312"/>
          <w:color w:val="auto"/>
          <w:sz w:val="32"/>
          <w:szCs w:val="32"/>
          <w:highlight w:val="none"/>
        </w:rPr>
        <w:t>7.1 施工组织设计</w:t>
      </w:r>
      <w:bookmarkEnd w:id="2146"/>
      <w:bookmarkEnd w:id="2147"/>
      <w:bookmarkEnd w:id="2148"/>
      <w:bookmarkEnd w:id="2149"/>
      <w:bookmarkEnd w:id="2150"/>
      <w:bookmarkEnd w:id="2151"/>
      <w:bookmarkEnd w:id="2152"/>
      <w:bookmarkEnd w:id="2153"/>
    </w:p>
    <w:p w14:paraId="5AB23E1D">
      <w:pPr>
        <w:pageBreakBefore w:val="0"/>
        <w:kinsoku/>
        <w:wordWrap/>
        <w:overflowPunct/>
        <w:topLinePunct w:val="0"/>
        <w:autoSpaceDE w:val="0"/>
        <w:autoSpaceDN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sz w:val="32"/>
          <w:szCs w:val="32"/>
          <w:highlight w:val="none"/>
        </w:rPr>
        <w:t>7.1.1 合</w:t>
      </w:r>
      <w:r>
        <w:rPr>
          <w:rFonts w:hint="eastAsia" w:ascii="仿宋_GB2312" w:hAnsi="仿宋_GB2312" w:eastAsia="仿宋_GB2312" w:cs="仿宋_GB2312"/>
          <w:color w:val="auto"/>
          <w:kern w:val="0"/>
          <w:sz w:val="32"/>
          <w:szCs w:val="32"/>
          <w:highlight w:val="none"/>
        </w:rPr>
        <w:t>同当事人约定的施工组织设计应包括的其他内容：</w:t>
      </w:r>
    </w:p>
    <w:p w14:paraId="101FDE12">
      <w:pPr>
        <w:pageBreakBefore w:val="0"/>
        <w:kinsoku/>
        <w:wordWrap/>
        <w:overflowPunct/>
        <w:topLinePunct w:val="0"/>
        <w:autoSpaceDE w:val="0"/>
        <w:autoSpaceDN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（1）各分部分项工程的完整的施工方案；</w:t>
      </w:r>
    </w:p>
    <w:p w14:paraId="78C5BDDF">
      <w:pPr>
        <w:pageBreakBefore w:val="0"/>
        <w:kinsoku/>
        <w:wordWrap/>
        <w:overflowPunct/>
        <w:topLinePunct w:val="0"/>
        <w:autoSpaceDE w:val="0"/>
        <w:autoSpaceDN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（2）施工现场平面布置图及施工道路平面图；</w:t>
      </w:r>
    </w:p>
    <w:p w14:paraId="7AA0D2A2">
      <w:pPr>
        <w:pageBreakBefore w:val="0"/>
        <w:kinsoku/>
        <w:wordWrap/>
        <w:overflowPunct/>
        <w:topLinePunct w:val="0"/>
        <w:autoSpaceDE w:val="0"/>
        <w:autoSpaceDN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（3）施工进度计划和保证措施；</w:t>
      </w:r>
    </w:p>
    <w:p w14:paraId="12005E3C">
      <w:pPr>
        <w:pageBreakBefore w:val="0"/>
        <w:kinsoku/>
        <w:wordWrap/>
        <w:overflowPunct/>
        <w:topLinePunct w:val="0"/>
        <w:autoSpaceDE w:val="0"/>
        <w:autoSpaceDN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（4）劳动力及材料供应计划；</w:t>
      </w:r>
    </w:p>
    <w:p w14:paraId="7AA9F8CE">
      <w:pPr>
        <w:pageBreakBefore w:val="0"/>
        <w:kinsoku/>
        <w:wordWrap/>
        <w:overflowPunct/>
        <w:topLinePunct w:val="0"/>
        <w:autoSpaceDE w:val="0"/>
        <w:autoSpaceDN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（5）施工机械设备的选用；</w:t>
      </w:r>
    </w:p>
    <w:p w14:paraId="2BF3862B">
      <w:pPr>
        <w:pageBreakBefore w:val="0"/>
        <w:kinsoku/>
        <w:wordWrap/>
        <w:overflowPunct/>
        <w:topLinePunct w:val="0"/>
        <w:autoSpaceDE w:val="0"/>
        <w:autoSpaceDN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（6）质量保证体系及措施；</w:t>
      </w:r>
    </w:p>
    <w:p w14:paraId="067501C3">
      <w:pPr>
        <w:pageBreakBefore w:val="0"/>
        <w:kinsoku/>
        <w:wordWrap/>
        <w:overflowPunct/>
        <w:topLinePunct w:val="0"/>
        <w:autoSpaceDE w:val="0"/>
        <w:autoSpaceDN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（7）安全生产、文明施工措施，较少扰民降低环境污染和噪音的措施；</w:t>
      </w:r>
    </w:p>
    <w:p w14:paraId="388A9A29">
      <w:pPr>
        <w:pageBreakBefore w:val="0"/>
        <w:kinsoku/>
        <w:wordWrap/>
        <w:overflowPunct/>
        <w:topLinePunct w:val="0"/>
        <w:autoSpaceDE w:val="0"/>
        <w:autoSpaceDN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（8）环境保护、成本控制措施；</w:t>
      </w:r>
    </w:p>
    <w:p w14:paraId="1EDE1B41">
      <w:pPr>
        <w:pageBreakBefore w:val="0"/>
        <w:kinsoku/>
        <w:wordWrap/>
        <w:overflowPunct/>
        <w:topLinePunct w:val="0"/>
        <w:autoSpaceDE w:val="0"/>
        <w:autoSpaceDN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（9）按招标文件或施工组织设计审查要求。</w:t>
      </w:r>
    </w:p>
    <w:p w14:paraId="2C1E9BB6">
      <w:pPr>
        <w:pageBreakBefore w:val="0"/>
        <w:kinsoku/>
        <w:wordWrap/>
        <w:overflowPunct/>
        <w:topLinePunct w:val="0"/>
        <w:autoSpaceDE w:val="0"/>
        <w:autoSpaceDN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（10）承包人在投标文件中提供的工期承诺函。</w:t>
      </w:r>
    </w:p>
    <w:p w14:paraId="456F9866">
      <w:pPr>
        <w:pageBreakBefore w:val="0"/>
        <w:kinsoku/>
        <w:wordWrap/>
        <w:overflowPunct/>
        <w:topLinePunct w:val="0"/>
        <w:autoSpaceDE w:val="0"/>
        <w:autoSpaceDN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sz w:val="32"/>
          <w:szCs w:val="32"/>
          <w:highlight w:val="none"/>
        </w:rPr>
        <w:t>7.1.2</w:t>
      </w:r>
      <w:r>
        <w:rPr>
          <w:rFonts w:hint="eastAsia" w:ascii="仿宋_GB2312" w:hAnsi="仿宋_GB2312" w:eastAsia="仿宋_GB2312" w:cs="仿宋_GB2312"/>
          <w:color w:val="auto"/>
          <w:kern w:val="0"/>
          <w:sz w:val="32"/>
          <w:szCs w:val="32"/>
          <w:highlight w:val="none"/>
        </w:rPr>
        <w:t>施工组织设计的提交和修改</w:t>
      </w:r>
    </w:p>
    <w:p w14:paraId="3578B49F">
      <w:pPr>
        <w:pageBreakBefore w:val="0"/>
        <w:kinsoku/>
        <w:wordWrap/>
        <w:overflowPunct/>
        <w:topLinePunct w:val="0"/>
        <w:autoSpaceDE w:val="0"/>
        <w:autoSpaceDN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kern w:val="0"/>
          <w:sz w:val="32"/>
          <w:szCs w:val="32"/>
          <w:highlight w:val="none"/>
        </w:rPr>
        <w:t>承包人提交详细施工组织设计的期限的约定：</w:t>
      </w:r>
      <w:r>
        <w:rPr>
          <w:rFonts w:hint="eastAsia" w:ascii="仿宋_GB2312" w:hAnsi="仿宋_GB2312" w:eastAsia="仿宋_GB2312" w:cs="仿宋_GB2312"/>
          <w:color w:val="auto"/>
          <w:sz w:val="32"/>
          <w:szCs w:val="32"/>
          <w:highlight w:val="none"/>
          <w:u w:val="none"/>
        </w:rPr>
        <w:t>合同生效后，承包人按发包人和监理人要求提供该工程施工组织设计和进度计划，经发包人和监理人审核确定后实施。经发包人审核确定的施工组织设计和进度计划对双方具有约束力。承包人在</w:t>
      </w:r>
      <w:r>
        <w:rPr>
          <w:rFonts w:hint="eastAsia" w:ascii="仿宋_GB2312" w:hAnsi="仿宋_GB2312" w:eastAsia="仿宋_GB2312" w:cs="仿宋_GB2312"/>
          <w:color w:val="auto"/>
          <w:sz w:val="32"/>
          <w:szCs w:val="32"/>
          <w:highlight w:val="none"/>
          <w:u w:val="none"/>
          <w:lang w:eastAsia="zh-CN"/>
        </w:rPr>
        <w:t>合同签订</w:t>
      </w:r>
      <w:r>
        <w:rPr>
          <w:rFonts w:hint="eastAsia" w:ascii="仿宋_GB2312" w:hAnsi="仿宋_GB2312" w:eastAsia="仿宋_GB2312" w:cs="仿宋_GB2312"/>
          <w:color w:val="auto"/>
          <w:sz w:val="32"/>
          <w:szCs w:val="32"/>
          <w:highlight w:val="none"/>
          <w:u w:val="none"/>
        </w:rPr>
        <w:t>时被发包人认可的技术方案，承包人可以在工程实施过程中对其进行细化，但不得以任何理由对其中的原则性方案进行调整。承包人施工时未编制施工方案或未按审批通过的施工方案施工且造成安全或质量问题的，处承包人3万元/次违约金。</w:t>
      </w:r>
    </w:p>
    <w:p w14:paraId="012229FA">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发包人和监理人在收到详细的施工组织设计后确认或提出修改意见的期限：</w:t>
      </w:r>
      <w:r>
        <w:rPr>
          <w:rFonts w:hint="eastAsia" w:ascii="仿宋_GB2312" w:hAnsi="仿宋_GB2312" w:eastAsia="仿宋_GB2312" w:cs="仿宋_GB2312"/>
          <w:color w:val="auto"/>
          <w:sz w:val="32"/>
          <w:szCs w:val="32"/>
          <w:highlight w:val="none"/>
          <w:u w:val="single"/>
        </w:rPr>
        <w:t xml:space="preserve">   /  </w:t>
      </w:r>
      <w:r>
        <w:rPr>
          <w:rFonts w:hint="eastAsia" w:ascii="仿宋_GB2312" w:hAnsi="仿宋_GB2312" w:eastAsia="仿宋_GB2312" w:cs="仿宋_GB2312"/>
          <w:color w:val="auto"/>
          <w:sz w:val="32"/>
          <w:szCs w:val="32"/>
          <w:highlight w:val="none"/>
        </w:rPr>
        <w:t>。</w:t>
      </w:r>
    </w:p>
    <w:p w14:paraId="63D1E9DB">
      <w:pPr>
        <w:pageBreakBefore w:val="0"/>
        <w:kinsoku/>
        <w:wordWrap/>
        <w:overflowPunct/>
        <w:topLinePunct w:val="0"/>
        <w:bidi w:val="0"/>
        <w:adjustRightInd w:val="0"/>
        <w:snapToGrid w:val="0"/>
        <w:spacing w:line="560" w:lineRule="exact"/>
        <w:ind w:firstLine="640" w:firstLineChars="200"/>
        <w:jc w:val="both"/>
        <w:outlineLvl w:val="9"/>
        <w:rPr>
          <w:rFonts w:hint="eastAsia" w:ascii="仿宋_GB2312" w:hAnsi="仿宋_GB2312" w:eastAsia="仿宋_GB2312" w:cs="仿宋_GB2312"/>
          <w:color w:val="auto"/>
          <w:sz w:val="32"/>
          <w:szCs w:val="32"/>
          <w:highlight w:val="none"/>
        </w:rPr>
      </w:pPr>
      <w:bookmarkStart w:id="2154" w:name="_Toc10782"/>
      <w:bookmarkStart w:id="2155" w:name="_Toc11296"/>
      <w:bookmarkStart w:id="2156" w:name="_Toc9954"/>
      <w:bookmarkStart w:id="2157" w:name="_Toc28637"/>
      <w:bookmarkStart w:id="2158" w:name="_Toc17832"/>
      <w:bookmarkStart w:id="2159" w:name="_Toc29624"/>
      <w:bookmarkStart w:id="2160" w:name="_Toc1825"/>
      <w:bookmarkStart w:id="2161" w:name="_Toc1260"/>
      <w:bookmarkStart w:id="2162" w:name="_Toc304295541"/>
      <w:bookmarkStart w:id="2163" w:name="_Toc303539123"/>
      <w:bookmarkStart w:id="2164" w:name="_Toc297216173"/>
      <w:bookmarkStart w:id="2165" w:name="_Toc300934966"/>
      <w:bookmarkStart w:id="2166" w:name="_Toc312678005"/>
      <w:bookmarkStart w:id="2167" w:name="_Toc297123514"/>
      <w:bookmarkStart w:id="2168" w:name="_Toc312677479"/>
      <w:r>
        <w:rPr>
          <w:rFonts w:hint="eastAsia" w:ascii="仿宋_GB2312" w:hAnsi="仿宋_GB2312" w:eastAsia="仿宋_GB2312" w:cs="仿宋_GB2312"/>
          <w:color w:val="auto"/>
          <w:sz w:val="32"/>
          <w:szCs w:val="32"/>
          <w:highlight w:val="none"/>
        </w:rPr>
        <w:t>7.2 施工进度计划</w:t>
      </w:r>
      <w:bookmarkEnd w:id="2154"/>
      <w:bookmarkEnd w:id="2155"/>
      <w:bookmarkEnd w:id="2156"/>
      <w:bookmarkEnd w:id="2157"/>
      <w:bookmarkEnd w:id="2158"/>
      <w:bookmarkEnd w:id="2159"/>
      <w:bookmarkEnd w:id="2160"/>
      <w:bookmarkEnd w:id="2161"/>
    </w:p>
    <w:p w14:paraId="7AA450F9">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7.2.2 施工进度计划的修订</w:t>
      </w:r>
    </w:p>
    <w:p w14:paraId="034ADF30">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rPr>
        <w:t>发包人和监理人在收到修订的施工进度计划后确认或提出修改意见的期限：</w:t>
      </w:r>
      <w:r>
        <w:rPr>
          <w:rFonts w:hint="eastAsia" w:ascii="仿宋_GB2312" w:hAnsi="仿宋_GB2312" w:eastAsia="仿宋_GB2312" w:cs="仿宋_GB2312"/>
          <w:color w:val="auto"/>
          <w:sz w:val="32"/>
          <w:szCs w:val="32"/>
          <w:highlight w:val="none"/>
          <w:u w:val="none"/>
        </w:rPr>
        <w:t>每月25日前承包人应同时向监理及发包人上报下月进度计划，施工进度计划不符合合同要求或与工程的实际进度不一致的，承包人应向监理人提交修订的施工进度计划，并附具有关措施和相关资料，由监理人报送发包人。发包人和监理人应在收到修订的施工进度计划后7天内完成审核和批准或提出修改意见。发包人和监理人对承包人提交的施工进度计划的确认，不能减轻或免除承包人根据法律规定和合同约定应承担的任何责任或义务。</w:t>
      </w:r>
    </w:p>
    <w:p w14:paraId="3427D4C5">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u w:val="none"/>
        </w:rPr>
        <w:t>若调整进度计划未报审，视为承包人擅自调整计划；因承包人的原因导致实际进度与进度计划不符时；承包人也无权就改进措施提出追加合同价款。当承包人在非关键节点未达到进度计划要求，但达到了合同约定的关键节点时间要求，则发包人将视情况对承包人的过程进度罚款进行部分或全部退还</w:t>
      </w:r>
      <w:r>
        <w:rPr>
          <w:rFonts w:hint="eastAsia" w:ascii="仿宋_GB2312" w:hAnsi="仿宋_GB2312" w:eastAsia="仿宋_GB2312" w:cs="仿宋_GB2312"/>
          <w:color w:val="auto"/>
          <w:sz w:val="32"/>
          <w:szCs w:val="32"/>
          <w:highlight w:val="none"/>
        </w:rPr>
        <w:t>。</w:t>
      </w:r>
    </w:p>
    <w:p w14:paraId="6D62509E">
      <w:pPr>
        <w:pageBreakBefore w:val="0"/>
        <w:kinsoku/>
        <w:wordWrap/>
        <w:overflowPunct/>
        <w:topLinePunct w:val="0"/>
        <w:bidi w:val="0"/>
        <w:adjustRightInd w:val="0"/>
        <w:snapToGrid w:val="0"/>
        <w:spacing w:line="560" w:lineRule="exact"/>
        <w:ind w:firstLine="640" w:firstLineChars="200"/>
        <w:jc w:val="both"/>
        <w:outlineLvl w:val="9"/>
        <w:rPr>
          <w:rFonts w:hint="eastAsia" w:ascii="仿宋_GB2312" w:hAnsi="仿宋_GB2312" w:eastAsia="仿宋_GB2312" w:cs="仿宋_GB2312"/>
          <w:color w:val="auto"/>
          <w:sz w:val="32"/>
          <w:szCs w:val="32"/>
          <w:highlight w:val="none"/>
        </w:rPr>
      </w:pPr>
      <w:bookmarkStart w:id="2169" w:name="_Toc21013"/>
      <w:bookmarkStart w:id="2170" w:name="_Toc30444"/>
      <w:bookmarkStart w:id="2171" w:name="_Toc27852"/>
      <w:bookmarkStart w:id="2172" w:name="_Toc15092"/>
      <w:bookmarkStart w:id="2173" w:name="_Toc12567"/>
      <w:bookmarkStart w:id="2174" w:name="_Toc11478"/>
      <w:bookmarkStart w:id="2175" w:name="_Toc20380"/>
      <w:bookmarkStart w:id="2176" w:name="_Toc27448"/>
      <w:r>
        <w:rPr>
          <w:rFonts w:hint="eastAsia" w:ascii="仿宋_GB2312" w:hAnsi="仿宋_GB2312" w:eastAsia="仿宋_GB2312" w:cs="仿宋_GB2312"/>
          <w:color w:val="auto"/>
          <w:sz w:val="32"/>
          <w:szCs w:val="32"/>
          <w:highlight w:val="none"/>
        </w:rPr>
        <w:t>7.3 开工</w:t>
      </w:r>
      <w:bookmarkEnd w:id="2169"/>
      <w:bookmarkEnd w:id="2170"/>
      <w:bookmarkEnd w:id="2171"/>
      <w:bookmarkEnd w:id="2172"/>
      <w:bookmarkEnd w:id="2173"/>
      <w:bookmarkEnd w:id="2174"/>
      <w:bookmarkEnd w:id="2175"/>
      <w:bookmarkEnd w:id="2176"/>
    </w:p>
    <w:p w14:paraId="47A603BB">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7.3.1 开工准备</w:t>
      </w:r>
    </w:p>
    <w:p w14:paraId="140016AD">
      <w:pPr>
        <w:pageBreakBefore w:val="0"/>
        <w:kinsoku/>
        <w:wordWrap/>
        <w:overflowPunct/>
        <w:topLinePunct w:val="0"/>
        <w:bidi w:val="0"/>
        <w:adjustRightInd w:val="0"/>
        <w:snapToGrid w:val="0"/>
        <w:spacing w:line="560" w:lineRule="exact"/>
        <w:ind w:firstLine="645"/>
        <w:jc w:val="both"/>
        <w:rPr>
          <w:rFonts w:hint="eastAsia" w:ascii="仿宋_GB2312" w:hAnsi="仿宋_GB2312" w:eastAsia="仿宋_GB2312" w:cs="仿宋_GB2312"/>
          <w:color w:val="auto"/>
          <w:sz w:val="32"/>
          <w:szCs w:val="32"/>
          <w:highlight w:val="none"/>
          <w:u w:val="single"/>
        </w:rPr>
      </w:pPr>
      <w:r>
        <w:rPr>
          <w:rFonts w:hint="eastAsia" w:ascii="仿宋_GB2312" w:hAnsi="仿宋_GB2312" w:eastAsia="仿宋_GB2312" w:cs="仿宋_GB2312"/>
          <w:color w:val="auto"/>
          <w:sz w:val="32"/>
          <w:szCs w:val="32"/>
          <w:highlight w:val="none"/>
        </w:rPr>
        <w:t>关于承包人提交</w:t>
      </w:r>
      <w:r>
        <w:rPr>
          <w:rFonts w:hint="eastAsia" w:ascii="仿宋_GB2312" w:hAnsi="仿宋_GB2312" w:eastAsia="仿宋_GB2312" w:cs="仿宋_GB2312"/>
          <w:color w:val="auto"/>
          <w:kern w:val="0"/>
          <w:sz w:val="32"/>
          <w:szCs w:val="32"/>
          <w:highlight w:val="none"/>
        </w:rPr>
        <w:t>工程开工报审表的期限：</w:t>
      </w:r>
      <w:r>
        <w:rPr>
          <w:rFonts w:hint="eastAsia" w:ascii="仿宋_GB2312" w:hAnsi="仿宋_GB2312" w:eastAsia="仿宋_GB2312" w:cs="仿宋_GB2312"/>
          <w:color w:val="auto"/>
          <w:sz w:val="32"/>
          <w:szCs w:val="32"/>
          <w:highlight w:val="none"/>
          <w:u w:val="single"/>
        </w:rPr>
        <w:t>开工前7日</w:t>
      </w:r>
      <w:r>
        <w:rPr>
          <w:rFonts w:hint="eastAsia" w:ascii="仿宋_GB2312" w:hAnsi="仿宋_GB2312" w:eastAsia="仿宋_GB2312" w:cs="仿宋_GB2312"/>
          <w:color w:val="auto"/>
          <w:sz w:val="32"/>
          <w:szCs w:val="32"/>
          <w:highlight w:val="none"/>
        </w:rPr>
        <w:t>。</w:t>
      </w:r>
    </w:p>
    <w:p w14:paraId="412AF860">
      <w:pPr>
        <w:pageBreakBefore w:val="0"/>
        <w:kinsoku/>
        <w:wordWrap/>
        <w:overflowPunct/>
        <w:topLinePunct w:val="0"/>
        <w:bidi w:val="0"/>
        <w:adjustRightInd w:val="0"/>
        <w:snapToGrid w:val="0"/>
        <w:spacing w:line="560" w:lineRule="exact"/>
        <w:ind w:firstLine="645"/>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关于发包人应完成的其他开工准备工作及期限：</w:t>
      </w:r>
      <w:r>
        <w:rPr>
          <w:rFonts w:hint="eastAsia" w:ascii="仿宋_GB2312" w:hAnsi="仿宋_GB2312" w:eastAsia="仿宋_GB2312" w:cs="仿宋_GB2312"/>
          <w:color w:val="auto"/>
          <w:sz w:val="32"/>
          <w:szCs w:val="32"/>
          <w:highlight w:val="none"/>
          <w:u w:val="single"/>
        </w:rPr>
        <w:t>开工前7日</w:t>
      </w:r>
      <w:r>
        <w:rPr>
          <w:rFonts w:hint="eastAsia" w:ascii="仿宋_GB2312" w:hAnsi="仿宋_GB2312" w:eastAsia="仿宋_GB2312" w:cs="仿宋_GB2312"/>
          <w:color w:val="auto"/>
          <w:sz w:val="32"/>
          <w:szCs w:val="32"/>
          <w:highlight w:val="none"/>
        </w:rPr>
        <w:t>。</w:t>
      </w:r>
    </w:p>
    <w:p w14:paraId="09123632">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关于承包人应完成的其他开工准备工作及期限：</w:t>
      </w:r>
      <w:r>
        <w:rPr>
          <w:rFonts w:hint="eastAsia" w:ascii="仿宋_GB2312" w:hAnsi="仿宋_GB2312" w:eastAsia="仿宋_GB2312" w:cs="仿宋_GB2312"/>
          <w:color w:val="auto"/>
          <w:sz w:val="32"/>
          <w:szCs w:val="32"/>
          <w:highlight w:val="none"/>
          <w:u w:val="single"/>
        </w:rPr>
        <w:t>开工前7日</w:t>
      </w:r>
      <w:r>
        <w:rPr>
          <w:rFonts w:hint="eastAsia" w:ascii="仿宋_GB2312" w:hAnsi="仿宋_GB2312" w:eastAsia="仿宋_GB2312" w:cs="仿宋_GB2312"/>
          <w:color w:val="auto"/>
          <w:sz w:val="32"/>
          <w:szCs w:val="32"/>
          <w:highlight w:val="none"/>
        </w:rPr>
        <w:t>。</w:t>
      </w:r>
    </w:p>
    <w:p w14:paraId="42CB1E2D">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7.3.2开工通知</w:t>
      </w:r>
      <w:bookmarkEnd w:id="2162"/>
      <w:bookmarkEnd w:id="2163"/>
      <w:bookmarkEnd w:id="2164"/>
      <w:bookmarkEnd w:id="2165"/>
      <w:bookmarkEnd w:id="2166"/>
      <w:bookmarkEnd w:id="2167"/>
      <w:bookmarkEnd w:id="2168"/>
    </w:p>
    <w:p w14:paraId="023FF28E">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承包人必须在签订合同后3天内进入施工场地，同步开展施工准备工作。 </w:t>
      </w:r>
    </w:p>
    <w:p w14:paraId="6B6F0749">
      <w:pPr>
        <w:pageBreakBefore w:val="0"/>
        <w:kinsoku/>
        <w:wordWrap/>
        <w:overflowPunct/>
        <w:topLinePunct w:val="0"/>
        <w:bidi w:val="0"/>
        <w:adjustRightInd w:val="0"/>
        <w:snapToGrid w:val="0"/>
        <w:spacing w:line="560" w:lineRule="exact"/>
        <w:ind w:firstLine="640" w:firstLineChars="200"/>
        <w:jc w:val="both"/>
        <w:outlineLvl w:val="9"/>
        <w:rPr>
          <w:rFonts w:hint="eastAsia" w:ascii="仿宋_GB2312" w:hAnsi="仿宋_GB2312" w:eastAsia="仿宋_GB2312" w:cs="仿宋_GB2312"/>
          <w:color w:val="auto"/>
          <w:sz w:val="32"/>
          <w:szCs w:val="32"/>
          <w:highlight w:val="none"/>
        </w:rPr>
      </w:pPr>
      <w:bookmarkStart w:id="2177" w:name="_Toc26613"/>
      <w:bookmarkStart w:id="2178" w:name="_Toc28727"/>
      <w:bookmarkStart w:id="2179" w:name="_Toc10100"/>
      <w:bookmarkStart w:id="2180" w:name="_Toc24511"/>
      <w:bookmarkStart w:id="2181" w:name="_Toc27382"/>
      <w:bookmarkStart w:id="2182" w:name="_Toc8147"/>
      <w:bookmarkStart w:id="2183" w:name="_Toc5484"/>
      <w:bookmarkStart w:id="2184" w:name="_Toc12713"/>
      <w:r>
        <w:rPr>
          <w:rFonts w:hint="eastAsia" w:ascii="仿宋_GB2312" w:hAnsi="仿宋_GB2312" w:eastAsia="仿宋_GB2312" w:cs="仿宋_GB2312"/>
          <w:color w:val="auto"/>
          <w:sz w:val="32"/>
          <w:szCs w:val="32"/>
          <w:highlight w:val="none"/>
        </w:rPr>
        <w:t>7.4 测量放线</w:t>
      </w:r>
      <w:bookmarkEnd w:id="2177"/>
      <w:bookmarkEnd w:id="2178"/>
      <w:bookmarkEnd w:id="2179"/>
      <w:bookmarkEnd w:id="2180"/>
      <w:bookmarkEnd w:id="2181"/>
      <w:bookmarkEnd w:id="2182"/>
      <w:bookmarkEnd w:id="2183"/>
      <w:bookmarkEnd w:id="2184"/>
    </w:p>
    <w:p w14:paraId="71845FFF">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rPr>
        <w:t>7.4.1发包人通过监理人向承包人提供测量基准点、基准线和水准点及其书面资料的期限：</w:t>
      </w:r>
      <w:r>
        <w:rPr>
          <w:rFonts w:hint="eastAsia" w:ascii="仿宋_GB2312" w:hAnsi="仿宋_GB2312" w:eastAsia="仿宋_GB2312" w:cs="仿宋_GB2312"/>
          <w:color w:val="auto"/>
          <w:sz w:val="32"/>
          <w:szCs w:val="32"/>
          <w:highlight w:val="none"/>
          <w:u w:val="single"/>
        </w:rPr>
        <w:t>合同生效</w:t>
      </w:r>
      <w:r>
        <w:rPr>
          <w:rFonts w:hint="eastAsia" w:ascii="仿宋_GB2312" w:hAnsi="仿宋_GB2312" w:eastAsia="仿宋_GB2312" w:cs="仿宋_GB2312"/>
          <w:color w:val="auto"/>
          <w:sz w:val="32"/>
          <w:szCs w:val="32"/>
          <w:highlight w:val="none"/>
          <w:u w:val="single"/>
          <w:lang w:eastAsia="zh-CN"/>
        </w:rPr>
        <w:t>后</w:t>
      </w:r>
      <w:r>
        <w:rPr>
          <w:rFonts w:hint="eastAsia" w:ascii="仿宋_GB2312" w:hAnsi="仿宋_GB2312" w:eastAsia="仿宋_GB2312" w:cs="仿宋_GB2312"/>
          <w:color w:val="auto"/>
          <w:sz w:val="32"/>
          <w:szCs w:val="32"/>
          <w:highlight w:val="none"/>
          <w:u w:val="single"/>
        </w:rPr>
        <w:t>15天内。</w:t>
      </w:r>
      <w:r>
        <w:rPr>
          <w:rFonts w:hint="eastAsia" w:ascii="仿宋_GB2312" w:hAnsi="仿宋_GB2312" w:eastAsia="仿宋_GB2312" w:cs="仿宋_GB2312"/>
          <w:color w:val="auto"/>
          <w:sz w:val="32"/>
          <w:szCs w:val="32"/>
          <w:highlight w:val="none"/>
          <w:u w:val="none"/>
        </w:rPr>
        <w:t>承包人发现发包人提供的测量基准点、基准线和水准点及其书面资料存在错误或疏漏的，应及时通知监理人。监理人应及时报告发包人，并会同发包人和承包人予以核实。发包人应就如何处理和是否继续施工作出决定，并通知监理人和承包人</w:t>
      </w:r>
      <w:r>
        <w:rPr>
          <w:rFonts w:hint="eastAsia" w:ascii="仿宋_GB2312" w:hAnsi="仿宋_GB2312" w:eastAsia="仿宋_GB2312" w:cs="仿宋_GB2312"/>
          <w:color w:val="auto"/>
          <w:sz w:val="32"/>
          <w:szCs w:val="32"/>
          <w:highlight w:val="none"/>
        </w:rPr>
        <w:t>。</w:t>
      </w:r>
    </w:p>
    <w:p w14:paraId="02CF9FA0">
      <w:pPr>
        <w:pageBreakBefore w:val="0"/>
        <w:kinsoku/>
        <w:wordWrap/>
        <w:overflowPunct/>
        <w:topLinePunct w:val="0"/>
        <w:bidi w:val="0"/>
        <w:adjustRightInd w:val="0"/>
        <w:snapToGrid w:val="0"/>
        <w:spacing w:line="560" w:lineRule="exact"/>
        <w:ind w:firstLine="640" w:firstLineChars="200"/>
        <w:jc w:val="both"/>
        <w:outlineLvl w:val="9"/>
        <w:rPr>
          <w:rFonts w:hint="eastAsia" w:ascii="仿宋_GB2312" w:hAnsi="仿宋_GB2312" w:eastAsia="仿宋_GB2312" w:cs="仿宋_GB2312"/>
          <w:color w:val="auto"/>
          <w:sz w:val="32"/>
          <w:szCs w:val="32"/>
          <w:highlight w:val="none"/>
        </w:rPr>
      </w:pPr>
      <w:bookmarkStart w:id="2185" w:name="_Toc297216175"/>
      <w:bookmarkStart w:id="2186" w:name="_Toc297123516"/>
      <w:bookmarkStart w:id="2187" w:name="_Toc10242"/>
      <w:bookmarkStart w:id="2188" w:name="_Toc303539125"/>
      <w:bookmarkStart w:id="2189" w:name="_Toc1690"/>
      <w:bookmarkStart w:id="2190" w:name="_Toc312677484"/>
      <w:bookmarkStart w:id="2191" w:name="_Toc304295546"/>
      <w:bookmarkStart w:id="2192" w:name="_Toc312678010"/>
      <w:bookmarkStart w:id="2193" w:name="_Toc8756"/>
      <w:bookmarkStart w:id="2194" w:name="_Toc21050"/>
      <w:bookmarkStart w:id="2195" w:name="_Toc4953"/>
      <w:bookmarkStart w:id="2196" w:name="_Toc9099"/>
      <w:bookmarkStart w:id="2197" w:name="_Toc300934968"/>
      <w:bookmarkStart w:id="2198" w:name="_Toc13259"/>
      <w:bookmarkStart w:id="2199" w:name="_Toc20667"/>
      <w:r>
        <w:rPr>
          <w:rFonts w:hint="eastAsia" w:ascii="仿宋_GB2312" w:hAnsi="仿宋_GB2312" w:eastAsia="仿宋_GB2312" w:cs="仿宋_GB2312"/>
          <w:color w:val="auto"/>
          <w:sz w:val="32"/>
          <w:szCs w:val="32"/>
          <w:highlight w:val="none"/>
        </w:rPr>
        <w:t>7.5 工期延误</w:t>
      </w:r>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p>
    <w:p w14:paraId="2FA2F437">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7.5.1 因发包人原因导致工期延误</w:t>
      </w:r>
    </w:p>
    <w:p w14:paraId="52800356">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rPr>
        <w:t>（7）因发包人原因导致工期延误的其他情形</w:t>
      </w:r>
      <w:r>
        <w:rPr>
          <w:rFonts w:hint="eastAsia" w:ascii="仿宋_GB2312" w:hAnsi="仿宋_GB2312" w:eastAsia="仿宋_GB2312" w:cs="仿宋_GB2312"/>
          <w:color w:val="auto"/>
          <w:sz w:val="32"/>
          <w:szCs w:val="32"/>
          <w:highlight w:val="none"/>
          <w:u w:val="none"/>
        </w:rPr>
        <w:t>：因不可抗力或发包人原因影响关键路线上的项目导致的工期延误经监理人确认后必须报发包人审批，发包人可根据实际情况决定是否同意工期顺延，逾期未办的视为未发生。如遇工程所在地百姓阻工（确系因发包人责任的）而造成工程停工，承包人应积极配合处理，将误工的人员和机械调配至</w:t>
      </w:r>
      <w:r>
        <w:rPr>
          <w:rFonts w:hint="eastAsia" w:ascii="仿宋_GB2312" w:hAnsi="仿宋_GB2312" w:eastAsia="仿宋_GB2312" w:cs="仿宋_GB2312"/>
          <w:color w:val="auto"/>
          <w:sz w:val="32"/>
          <w:szCs w:val="32"/>
          <w:highlight w:val="none"/>
          <w:u w:val="none"/>
          <w:lang w:eastAsia="zh-CN"/>
        </w:rPr>
        <w:t>其他</w:t>
      </w:r>
      <w:r>
        <w:rPr>
          <w:rFonts w:hint="eastAsia" w:ascii="仿宋_GB2312" w:hAnsi="仿宋_GB2312" w:eastAsia="仿宋_GB2312" w:cs="仿宋_GB2312"/>
          <w:color w:val="auto"/>
          <w:sz w:val="32"/>
          <w:szCs w:val="32"/>
          <w:highlight w:val="none"/>
          <w:u w:val="none"/>
        </w:rPr>
        <w:t>工作面，发包人不因此承担承包人提出的索赔费用，但可将工期顺延，经监理人确认后必须报发包人书面审批为准。</w:t>
      </w:r>
    </w:p>
    <w:p w14:paraId="7602D19D">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bookmarkStart w:id="2200" w:name="_Toc312678012"/>
      <w:bookmarkStart w:id="2201" w:name="_Toc312677486"/>
      <w:bookmarkStart w:id="2202" w:name="_Toc318581169"/>
      <w:bookmarkStart w:id="2203" w:name="_Toc303539127"/>
      <w:bookmarkStart w:id="2204" w:name="_Toc297216177"/>
      <w:bookmarkStart w:id="2205" w:name="_Toc300934970"/>
      <w:bookmarkStart w:id="2206" w:name="_Toc304295548"/>
      <w:bookmarkStart w:id="2207" w:name="_Toc297123518"/>
      <w:r>
        <w:rPr>
          <w:rFonts w:hint="eastAsia" w:ascii="仿宋_GB2312" w:hAnsi="仿宋_GB2312" w:eastAsia="仿宋_GB2312" w:cs="仿宋_GB2312"/>
          <w:color w:val="auto"/>
          <w:sz w:val="32"/>
          <w:szCs w:val="32"/>
          <w:highlight w:val="none"/>
          <w:u w:val="none"/>
        </w:rPr>
        <w:t>7.5.2 因承包人原因导致工期延误</w:t>
      </w:r>
      <w:bookmarkEnd w:id="2200"/>
      <w:bookmarkEnd w:id="2201"/>
      <w:bookmarkEnd w:id="2202"/>
    </w:p>
    <w:p w14:paraId="78702C51">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bookmarkStart w:id="2208" w:name="_Toc312678013"/>
      <w:bookmarkStart w:id="2209" w:name="_Toc312677487"/>
      <w:bookmarkStart w:id="2210" w:name="_Toc318581170"/>
      <w:r>
        <w:rPr>
          <w:rFonts w:hint="eastAsia" w:ascii="仿宋_GB2312" w:hAnsi="仿宋_GB2312" w:eastAsia="仿宋_GB2312" w:cs="仿宋_GB2312"/>
          <w:color w:val="auto"/>
          <w:sz w:val="32"/>
          <w:szCs w:val="32"/>
          <w:highlight w:val="none"/>
          <w:u w:val="none"/>
        </w:rPr>
        <w:t>因承包人原因造成工期延误，逾期竣工违约金的计算方法为</w:t>
      </w:r>
    </w:p>
    <w:p w14:paraId="7650E64D">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（1）因承包人原因造成工期延误的，按本款第（2）条计算违约金。承包人支付逾期竣工违约金后，不免除承包人继续完成工程及修补缺陷的义务。</w:t>
      </w:r>
    </w:p>
    <w:p w14:paraId="79EB0246">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（2）因承包人原因造成工期延误，逾期竣工违约金的计算方法为：</w:t>
      </w:r>
    </w:p>
    <w:p w14:paraId="11592D8D">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lang w:eastAsia="zh-CN"/>
        </w:rPr>
      </w:pPr>
      <w:r>
        <w:rPr>
          <w:rFonts w:hint="eastAsia" w:ascii="仿宋_GB2312" w:hAnsi="仿宋_GB2312" w:eastAsia="仿宋_GB2312" w:cs="仿宋_GB2312"/>
          <w:color w:val="auto"/>
          <w:sz w:val="32"/>
          <w:szCs w:val="32"/>
          <w:highlight w:val="none"/>
          <w:u w:val="none"/>
        </w:rPr>
        <w:t>以承包人绝对工期为准，超过总进度计划或绝对工期期限则</w:t>
      </w:r>
      <w:r>
        <w:rPr>
          <w:rFonts w:hint="eastAsia" w:ascii="仿宋_GB2312" w:hAnsi="仿宋_GB2312" w:eastAsia="仿宋_GB2312" w:cs="仿宋_GB2312"/>
          <w:color w:val="auto"/>
          <w:sz w:val="32"/>
          <w:szCs w:val="32"/>
          <w:highlight w:val="none"/>
          <w:u w:val="none"/>
          <w:lang w:val="en-US" w:eastAsia="zh-CN"/>
        </w:rPr>
        <w:t>视</w:t>
      </w:r>
      <w:r>
        <w:rPr>
          <w:rFonts w:hint="eastAsia" w:ascii="仿宋_GB2312" w:hAnsi="仿宋_GB2312" w:eastAsia="仿宋_GB2312" w:cs="仿宋_GB2312"/>
          <w:color w:val="auto"/>
          <w:sz w:val="32"/>
          <w:szCs w:val="32"/>
          <w:highlight w:val="none"/>
          <w:u w:val="none"/>
        </w:rPr>
        <w:t>为逾期</w:t>
      </w:r>
      <w:r>
        <w:rPr>
          <w:rFonts w:hint="eastAsia" w:ascii="仿宋_GB2312" w:hAnsi="仿宋_GB2312" w:eastAsia="仿宋_GB2312" w:cs="仿宋_GB2312"/>
          <w:color w:val="auto"/>
          <w:sz w:val="32"/>
          <w:szCs w:val="32"/>
          <w:highlight w:val="none"/>
          <w:u w:val="none"/>
          <w:lang w:eastAsia="zh-CN"/>
        </w:rPr>
        <w:t>；</w:t>
      </w:r>
    </w:p>
    <w:p w14:paraId="1559A64B">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lang w:eastAsia="zh-CN"/>
        </w:rPr>
      </w:pPr>
      <w:r>
        <w:rPr>
          <w:rFonts w:hint="eastAsia" w:ascii="仿宋_GB2312" w:hAnsi="仿宋_GB2312" w:eastAsia="仿宋_GB2312" w:cs="仿宋_GB2312"/>
          <w:color w:val="auto"/>
          <w:sz w:val="32"/>
          <w:szCs w:val="32"/>
          <w:highlight w:val="none"/>
          <w:u w:val="none"/>
          <w:lang w:val="en-US" w:eastAsia="zh-CN"/>
        </w:rPr>
        <w:t>①</w:t>
      </w:r>
      <w:r>
        <w:rPr>
          <w:rFonts w:hint="eastAsia" w:ascii="仿宋_GB2312" w:hAnsi="仿宋_GB2312" w:eastAsia="仿宋_GB2312" w:cs="仿宋_GB2312"/>
          <w:color w:val="auto"/>
          <w:sz w:val="32"/>
          <w:szCs w:val="32"/>
          <w:highlight w:val="none"/>
          <w:u w:val="none"/>
        </w:rPr>
        <w:t>工期延误10天</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lang w:val="en-US" w:eastAsia="zh-CN"/>
        </w:rPr>
        <w:t>不含</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rPr>
        <w:t>内的，承包人</w:t>
      </w:r>
      <w:r>
        <w:rPr>
          <w:rFonts w:hint="eastAsia" w:ascii="仿宋_GB2312" w:hAnsi="仿宋_GB2312" w:eastAsia="仿宋_GB2312" w:cs="仿宋_GB2312"/>
          <w:color w:val="auto"/>
          <w:sz w:val="32"/>
          <w:szCs w:val="32"/>
          <w:highlight w:val="none"/>
          <w:u w:val="none"/>
          <w:lang w:val="en-US" w:eastAsia="zh-CN"/>
        </w:rPr>
        <w:t>应</w:t>
      </w:r>
      <w:r>
        <w:rPr>
          <w:rFonts w:hint="eastAsia" w:ascii="仿宋_GB2312" w:hAnsi="仿宋_GB2312" w:eastAsia="仿宋_GB2312" w:cs="仿宋_GB2312"/>
          <w:color w:val="auto"/>
          <w:sz w:val="32"/>
          <w:szCs w:val="32"/>
          <w:highlight w:val="none"/>
          <w:u w:val="none"/>
        </w:rPr>
        <w:t>向发包人</w:t>
      </w:r>
      <w:r>
        <w:rPr>
          <w:rFonts w:hint="eastAsia" w:ascii="仿宋_GB2312" w:hAnsi="仿宋_GB2312" w:eastAsia="仿宋_GB2312" w:cs="仿宋_GB2312"/>
          <w:color w:val="auto"/>
          <w:sz w:val="32"/>
          <w:szCs w:val="32"/>
          <w:highlight w:val="none"/>
          <w:u w:val="none"/>
          <w:lang w:val="en-US" w:eastAsia="zh-CN"/>
        </w:rPr>
        <w:t>支付</w:t>
      </w:r>
      <w:r>
        <w:rPr>
          <w:rFonts w:hint="eastAsia" w:ascii="仿宋_GB2312" w:hAnsi="仿宋_GB2312" w:eastAsia="仿宋_GB2312" w:cs="仿宋_GB2312"/>
          <w:color w:val="auto"/>
          <w:sz w:val="32"/>
          <w:szCs w:val="32"/>
          <w:highlight w:val="none"/>
          <w:u w:val="none"/>
        </w:rPr>
        <w:t>签约合同价的0.01%的违约金；工期延误10天</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lang w:val="en-US" w:eastAsia="zh-CN"/>
        </w:rPr>
        <w:t>含</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rPr>
        <w:t>以上</w:t>
      </w:r>
      <w:r>
        <w:rPr>
          <w:rFonts w:hint="eastAsia" w:ascii="仿宋_GB2312" w:hAnsi="仿宋_GB2312" w:eastAsia="仿宋_GB2312" w:cs="仿宋_GB2312"/>
          <w:color w:val="auto"/>
          <w:sz w:val="32"/>
          <w:szCs w:val="32"/>
          <w:highlight w:val="none"/>
          <w:u w:val="none"/>
          <w:lang w:val="en-US" w:eastAsia="zh-CN"/>
        </w:rPr>
        <w:t>60天以下</w:t>
      </w:r>
      <w:r>
        <w:rPr>
          <w:rFonts w:hint="eastAsia" w:ascii="仿宋_GB2312" w:hAnsi="仿宋_GB2312" w:eastAsia="仿宋_GB2312" w:cs="仿宋_GB2312"/>
          <w:color w:val="auto"/>
          <w:sz w:val="32"/>
          <w:szCs w:val="32"/>
          <w:highlight w:val="none"/>
          <w:u w:val="none"/>
        </w:rPr>
        <w:t>，承包人</w:t>
      </w:r>
      <w:r>
        <w:rPr>
          <w:rFonts w:hint="eastAsia" w:ascii="仿宋_GB2312" w:hAnsi="仿宋_GB2312" w:eastAsia="仿宋_GB2312" w:cs="仿宋_GB2312"/>
          <w:color w:val="auto"/>
          <w:sz w:val="32"/>
          <w:szCs w:val="32"/>
          <w:highlight w:val="none"/>
          <w:u w:val="none"/>
          <w:lang w:val="en-US" w:eastAsia="zh-CN"/>
        </w:rPr>
        <w:t>应</w:t>
      </w:r>
      <w:r>
        <w:rPr>
          <w:rFonts w:hint="eastAsia" w:ascii="仿宋_GB2312" w:hAnsi="仿宋_GB2312" w:eastAsia="仿宋_GB2312" w:cs="仿宋_GB2312"/>
          <w:color w:val="auto"/>
          <w:sz w:val="32"/>
          <w:szCs w:val="32"/>
          <w:highlight w:val="none"/>
          <w:u w:val="none"/>
        </w:rPr>
        <w:t>向发包人</w:t>
      </w:r>
      <w:r>
        <w:rPr>
          <w:rFonts w:hint="eastAsia" w:ascii="仿宋_GB2312" w:hAnsi="仿宋_GB2312" w:eastAsia="仿宋_GB2312" w:cs="仿宋_GB2312"/>
          <w:color w:val="auto"/>
          <w:sz w:val="32"/>
          <w:szCs w:val="32"/>
          <w:highlight w:val="none"/>
          <w:u w:val="none"/>
          <w:lang w:val="en-US" w:eastAsia="zh-CN"/>
        </w:rPr>
        <w:t>支付</w:t>
      </w:r>
      <w:r>
        <w:rPr>
          <w:rFonts w:hint="eastAsia" w:ascii="仿宋_GB2312" w:hAnsi="仿宋_GB2312" w:eastAsia="仿宋_GB2312" w:cs="仿宋_GB2312"/>
          <w:color w:val="auto"/>
          <w:sz w:val="32"/>
          <w:szCs w:val="32"/>
          <w:highlight w:val="none"/>
          <w:u w:val="none"/>
        </w:rPr>
        <w:t>签约合同价的0.02%的违约金</w:t>
      </w:r>
      <w:r>
        <w:rPr>
          <w:rFonts w:hint="eastAsia" w:ascii="仿宋_GB2312" w:hAnsi="仿宋_GB2312" w:eastAsia="仿宋_GB2312" w:cs="仿宋_GB2312"/>
          <w:color w:val="auto"/>
          <w:sz w:val="32"/>
          <w:szCs w:val="32"/>
          <w:highlight w:val="none"/>
          <w:u w:val="none"/>
          <w:lang w:eastAsia="zh-CN"/>
        </w:rPr>
        <w:t>。</w:t>
      </w:r>
    </w:p>
    <w:p w14:paraId="732B7FEB">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lang w:val="en-US" w:eastAsia="zh-CN"/>
        </w:rPr>
        <w:t>②</w:t>
      </w:r>
      <w:r>
        <w:rPr>
          <w:rFonts w:hint="eastAsia" w:ascii="仿宋_GB2312" w:hAnsi="仿宋_GB2312" w:eastAsia="仿宋_GB2312" w:cs="仿宋_GB2312"/>
          <w:color w:val="auto"/>
          <w:sz w:val="32"/>
          <w:szCs w:val="32"/>
          <w:highlight w:val="none"/>
          <w:u w:val="none"/>
        </w:rPr>
        <w:t>延误60天</w:t>
      </w:r>
      <w:r>
        <w:rPr>
          <w:rFonts w:hint="eastAsia" w:ascii="仿宋_GB2312" w:hAnsi="仿宋_GB2312" w:eastAsia="仿宋_GB2312" w:cs="仿宋_GB2312"/>
          <w:color w:val="auto"/>
          <w:sz w:val="32"/>
          <w:szCs w:val="32"/>
          <w:highlight w:val="none"/>
          <w:u w:val="none"/>
          <w:lang w:val="en-US" w:eastAsia="zh-CN"/>
        </w:rPr>
        <w:t>（含）以上</w:t>
      </w:r>
      <w:r>
        <w:rPr>
          <w:rFonts w:hint="eastAsia" w:ascii="仿宋_GB2312" w:hAnsi="仿宋_GB2312" w:eastAsia="仿宋_GB2312" w:cs="仿宋_GB2312"/>
          <w:color w:val="auto"/>
          <w:sz w:val="32"/>
          <w:szCs w:val="32"/>
          <w:highlight w:val="none"/>
          <w:u w:val="none"/>
        </w:rPr>
        <w:t>的，发包人有权单方解除合同，履约保证金和中标差额担保（如有）不再返还，承包人再向发包人缴纳签约合同价5%的违约金，同时承包人还应赔偿给发包人造成的全部经济损失（该等损失包括但不限于律师费、诉讼费、鉴定费、评估费，以及发包人赔偿业主或第三方的违约金或影响发包人生产、经营活动造成的损失等）；非发包人原因造成的工期延误并不附带任何的补偿费用，在延长工期期间所增加的项目按发承包双方商定确认为准。如工期延误造成发包人违约的或影响发包人生产、经营活动的，承包人应向发包人</w:t>
      </w:r>
      <w:r>
        <w:rPr>
          <w:rFonts w:hint="eastAsia" w:ascii="仿宋_GB2312" w:hAnsi="仿宋_GB2312" w:eastAsia="仿宋_GB2312" w:cs="仿宋_GB2312"/>
          <w:color w:val="auto"/>
          <w:sz w:val="32"/>
          <w:szCs w:val="32"/>
          <w:highlight w:val="none"/>
          <w:u w:val="none"/>
          <w:lang w:val="en-US" w:eastAsia="zh-CN"/>
        </w:rPr>
        <w:t>支付</w:t>
      </w:r>
      <w:r>
        <w:rPr>
          <w:rFonts w:hint="eastAsia" w:ascii="仿宋_GB2312" w:hAnsi="仿宋_GB2312" w:eastAsia="仿宋_GB2312" w:cs="仿宋_GB2312"/>
          <w:color w:val="auto"/>
          <w:sz w:val="32"/>
          <w:szCs w:val="32"/>
          <w:highlight w:val="none"/>
          <w:u w:val="none"/>
        </w:rPr>
        <w:t>合同价5%的违约金，并由承包人再增加承担发包人赔偿业主或第三方的违约金或影响发包人生产、经营活动造成的损失（该等损失包括但不限于律师费、诉讼费、鉴定费、评估费等）</w:t>
      </w:r>
      <w:bookmarkEnd w:id="2203"/>
      <w:bookmarkEnd w:id="2204"/>
      <w:bookmarkEnd w:id="2205"/>
      <w:bookmarkEnd w:id="2206"/>
      <w:bookmarkEnd w:id="2207"/>
      <w:bookmarkEnd w:id="2208"/>
      <w:bookmarkEnd w:id="2209"/>
      <w:r>
        <w:rPr>
          <w:rFonts w:hint="eastAsia" w:ascii="仿宋_GB2312" w:hAnsi="仿宋_GB2312" w:eastAsia="仿宋_GB2312" w:cs="仿宋_GB2312"/>
          <w:color w:val="auto"/>
          <w:sz w:val="32"/>
          <w:szCs w:val="32"/>
          <w:highlight w:val="none"/>
          <w:u w:val="none"/>
        </w:rPr>
        <w:t>。</w:t>
      </w:r>
      <w:bookmarkEnd w:id="2210"/>
    </w:p>
    <w:p w14:paraId="7DFCBE50">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因承包人原因造成工期延误，</w:t>
      </w:r>
      <w:bookmarkStart w:id="2211" w:name="_Toc318581171"/>
      <w:bookmarkStart w:id="2212" w:name="_Toc312678014"/>
      <w:r>
        <w:rPr>
          <w:rFonts w:hint="eastAsia" w:ascii="仿宋_GB2312" w:hAnsi="仿宋_GB2312" w:eastAsia="仿宋_GB2312" w:cs="仿宋_GB2312"/>
          <w:color w:val="auto"/>
          <w:sz w:val="32"/>
          <w:szCs w:val="32"/>
          <w:highlight w:val="none"/>
          <w:u w:val="none"/>
        </w:rPr>
        <w:t>逾期竣工违约金的上限：为签约合同价的10%。如承包人逾期竣工违约金合计超过最高限额，则发包人有权单方面解除合同取消承包人承包资格，尚未支付的工程款不再结算支付，履约保证金不再返还，同时承包人还应赔偿给发包人造成的全部经济损失。</w:t>
      </w:r>
      <w:bookmarkEnd w:id="2211"/>
      <w:bookmarkEnd w:id="2212"/>
    </w:p>
    <w:p w14:paraId="644A5C3C">
      <w:pPr>
        <w:pageBreakBefore w:val="0"/>
        <w:kinsoku/>
        <w:wordWrap/>
        <w:overflowPunct/>
        <w:topLinePunct w:val="0"/>
        <w:bidi w:val="0"/>
        <w:adjustRightInd w:val="0"/>
        <w:snapToGrid w:val="0"/>
        <w:spacing w:line="560" w:lineRule="exact"/>
        <w:ind w:firstLine="640" w:firstLineChars="200"/>
        <w:jc w:val="both"/>
        <w:outlineLvl w:val="9"/>
        <w:rPr>
          <w:rFonts w:hint="eastAsia" w:ascii="仿宋_GB2312" w:hAnsi="仿宋_GB2312" w:eastAsia="仿宋_GB2312" w:cs="仿宋_GB2312"/>
          <w:color w:val="auto"/>
          <w:sz w:val="32"/>
          <w:szCs w:val="32"/>
          <w:highlight w:val="none"/>
          <w:u w:val="none"/>
        </w:rPr>
      </w:pPr>
      <w:bookmarkStart w:id="2213" w:name="_Toc297216178"/>
      <w:bookmarkStart w:id="2214" w:name="_Toc304295549"/>
      <w:bookmarkStart w:id="2215" w:name="_Toc297123519"/>
      <w:bookmarkStart w:id="2216" w:name="_Toc303539128"/>
      <w:bookmarkStart w:id="2217" w:name="_Toc312678015"/>
      <w:bookmarkStart w:id="2218" w:name="_Toc300934971"/>
      <w:bookmarkStart w:id="2219" w:name="_Toc18923"/>
      <w:bookmarkStart w:id="2220" w:name="_Toc13499"/>
      <w:bookmarkStart w:id="2221" w:name="_Toc3988"/>
      <w:bookmarkStart w:id="2222" w:name="_Toc20946"/>
      <w:bookmarkStart w:id="2223" w:name="_Toc8019"/>
      <w:bookmarkStart w:id="2224" w:name="_Toc1355"/>
      <w:bookmarkStart w:id="2225" w:name="_Toc3466"/>
      <w:bookmarkStart w:id="2226" w:name="_Toc7142"/>
      <w:r>
        <w:rPr>
          <w:rFonts w:hint="eastAsia" w:ascii="仿宋_GB2312" w:hAnsi="仿宋_GB2312" w:eastAsia="仿宋_GB2312" w:cs="仿宋_GB2312"/>
          <w:color w:val="auto"/>
          <w:sz w:val="32"/>
          <w:szCs w:val="32"/>
          <w:highlight w:val="none"/>
          <w:u w:val="none"/>
        </w:rPr>
        <w:t xml:space="preserve">7.6 </w:t>
      </w:r>
      <w:bookmarkEnd w:id="2213"/>
      <w:bookmarkEnd w:id="2214"/>
      <w:bookmarkEnd w:id="2215"/>
      <w:bookmarkEnd w:id="2216"/>
      <w:bookmarkEnd w:id="2217"/>
      <w:bookmarkEnd w:id="2218"/>
      <w:r>
        <w:rPr>
          <w:rFonts w:hint="eastAsia" w:ascii="仿宋_GB2312" w:hAnsi="仿宋_GB2312" w:eastAsia="仿宋_GB2312" w:cs="仿宋_GB2312"/>
          <w:color w:val="auto"/>
          <w:sz w:val="32"/>
          <w:szCs w:val="32"/>
          <w:highlight w:val="none"/>
          <w:u w:val="none"/>
        </w:rPr>
        <w:t>不利物质条件</w:t>
      </w:r>
      <w:bookmarkEnd w:id="2219"/>
      <w:bookmarkEnd w:id="2220"/>
      <w:bookmarkEnd w:id="2221"/>
      <w:bookmarkEnd w:id="2222"/>
      <w:bookmarkEnd w:id="2223"/>
      <w:bookmarkEnd w:id="2224"/>
      <w:bookmarkEnd w:id="2225"/>
      <w:bookmarkEnd w:id="2226"/>
      <w:bookmarkStart w:id="2227" w:name="_Toc312678016"/>
      <w:bookmarkStart w:id="2228" w:name="_Toc297123520"/>
      <w:bookmarkStart w:id="2229" w:name="_Toc297216179"/>
      <w:bookmarkStart w:id="2230" w:name="_Toc300934972"/>
      <w:bookmarkStart w:id="2231" w:name="_Toc318581172"/>
      <w:bookmarkStart w:id="2232" w:name="_Toc303539129"/>
      <w:bookmarkStart w:id="2233" w:name="_Toc304295550"/>
    </w:p>
    <w:p w14:paraId="3041A3C9">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不利物质条件的其他情形和有关约定：</w:t>
      </w:r>
      <w:r>
        <w:rPr>
          <w:rFonts w:hint="eastAsia" w:ascii="仿宋_GB2312" w:hAnsi="仿宋_GB2312" w:eastAsia="仿宋_GB2312" w:cs="仿宋_GB2312"/>
          <w:color w:val="auto"/>
          <w:sz w:val="32"/>
          <w:szCs w:val="32"/>
          <w:highlight w:val="none"/>
          <w:u w:val="single"/>
        </w:rPr>
        <w:t xml:space="preserve">    /   </w:t>
      </w:r>
      <w:r>
        <w:rPr>
          <w:rFonts w:hint="eastAsia" w:ascii="仿宋_GB2312" w:hAnsi="仿宋_GB2312" w:eastAsia="仿宋_GB2312" w:cs="仿宋_GB2312"/>
          <w:color w:val="auto"/>
          <w:sz w:val="32"/>
          <w:szCs w:val="32"/>
          <w:highlight w:val="none"/>
        </w:rPr>
        <w:t>。</w:t>
      </w:r>
      <w:bookmarkEnd w:id="2227"/>
      <w:bookmarkEnd w:id="2228"/>
      <w:bookmarkEnd w:id="2229"/>
      <w:bookmarkEnd w:id="2230"/>
      <w:bookmarkEnd w:id="2231"/>
      <w:bookmarkEnd w:id="2232"/>
      <w:bookmarkEnd w:id="2233"/>
    </w:p>
    <w:p w14:paraId="5FB833C5">
      <w:pPr>
        <w:pageBreakBefore w:val="0"/>
        <w:kinsoku/>
        <w:wordWrap/>
        <w:overflowPunct/>
        <w:topLinePunct w:val="0"/>
        <w:bidi w:val="0"/>
        <w:adjustRightInd w:val="0"/>
        <w:snapToGrid w:val="0"/>
        <w:spacing w:line="560" w:lineRule="exact"/>
        <w:ind w:firstLine="640" w:firstLineChars="200"/>
        <w:jc w:val="both"/>
        <w:outlineLvl w:val="9"/>
        <w:rPr>
          <w:rFonts w:hint="eastAsia" w:ascii="仿宋_GB2312" w:hAnsi="仿宋_GB2312" w:eastAsia="仿宋_GB2312" w:cs="仿宋_GB2312"/>
          <w:color w:val="auto"/>
          <w:sz w:val="32"/>
          <w:szCs w:val="32"/>
          <w:highlight w:val="none"/>
        </w:rPr>
      </w:pPr>
      <w:bookmarkStart w:id="2234" w:name="_Toc297123521"/>
      <w:bookmarkStart w:id="2235" w:name="_Toc10702"/>
      <w:bookmarkStart w:id="2236" w:name="_Toc2070"/>
      <w:bookmarkStart w:id="2237" w:name="_Toc300934973"/>
      <w:bookmarkStart w:id="2238" w:name="_Toc30239"/>
      <w:bookmarkStart w:id="2239" w:name="_Toc303539130"/>
      <w:bookmarkStart w:id="2240" w:name="_Toc26153"/>
      <w:bookmarkStart w:id="2241" w:name="_Toc304295551"/>
      <w:bookmarkStart w:id="2242" w:name="_Toc21671"/>
      <w:bookmarkStart w:id="2243" w:name="_Toc4754"/>
      <w:bookmarkStart w:id="2244" w:name="_Toc4543"/>
      <w:bookmarkStart w:id="2245" w:name="_Toc297216180"/>
      <w:bookmarkStart w:id="2246" w:name="_Toc312678017"/>
      <w:bookmarkStart w:id="2247" w:name="_Toc23768"/>
      <w:r>
        <w:rPr>
          <w:rFonts w:hint="eastAsia" w:ascii="仿宋_GB2312" w:hAnsi="仿宋_GB2312" w:eastAsia="仿宋_GB2312" w:cs="仿宋_GB2312"/>
          <w:color w:val="auto"/>
          <w:sz w:val="32"/>
          <w:szCs w:val="32"/>
          <w:highlight w:val="none"/>
        </w:rPr>
        <w:t>7.7异常恶劣的气候条件</w:t>
      </w:r>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p>
    <w:p w14:paraId="174ED0F9">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发包人和承包人同意以下情形视为异常恶劣的气候条件：</w:t>
      </w:r>
    </w:p>
    <w:p w14:paraId="00416887">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（1）12级（含）以上台风；</w:t>
      </w:r>
    </w:p>
    <w:p w14:paraId="45814050">
      <w:pPr>
        <w:pageBreakBefore w:val="0"/>
        <w:numPr>
          <w:ilvl w:val="0"/>
          <w:numId w:val="2"/>
        </w:numPr>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洪水要素重现期为20年（含）以上的大洪水</w:t>
      </w:r>
      <w:r>
        <w:rPr>
          <w:rFonts w:hint="eastAsia" w:ascii="仿宋_GB2312" w:hAnsi="仿宋_GB2312" w:eastAsia="仿宋_GB2312" w:cs="仿宋_GB2312"/>
          <w:color w:val="auto"/>
          <w:sz w:val="32"/>
          <w:szCs w:val="32"/>
          <w:highlight w:val="none"/>
          <w:u w:val="none"/>
          <w:lang w:eastAsia="zh-CN"/>
        </w:rPr>
        <w:t>；</w:t>
      </w:r>
    </w:p>
    <w:p w14:paraId="50C95048">
      <w:pPr>
        <w:pageBreakBefore w:val="0"/>
        <w:numPr>
          <w:ilvl w:val="0"/>
          <w:numId w:val="2"/>
        </w:numPr>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异常恶劣的气候条件视为不可抗力</w:t>
      </w:r>
      <w:r>
        <w:rPr>
          <w:rFonts w:hint="eastAsia" w:ascii="仿宋_GB2312" w:hAnsi="仿宋_GB2312" w:eastAsia="仿宋_GB2312" w:cs="仿宋_GB2312"/>
          <w:color w:val="auto"/>
          <w:sz w:val="32"/>
          <w:szCs w:val="32"/>
          <w:highlight w:val="none"/>
          <w:u w:val="none"/>
          <w:lang w:eastAsia="zh-CN"/>
        </w:rPr>
        <w:t>。</w:t>
      </w:r>
    </w:p>
    <w:p w14:paraId="4490FFB1">
      <w:pPr>
        <w:pageBreakBefore w:val="0"/>
        <w:kinsoku/>
        <w:wordWrap/>
        <w:overflowPunct/>
        <w:topLinePunct w:val="0"/>
        <w:bidi w:val="0"/>
        <w:adjustRightInd w:val="0"/>
        <w:snapToGrid w:val="0"/>
        <w:spacing w:line="560" w:lineRule="exact"/>
        <w:ind w:firstLine="640" w:firstLineChars="200"/>
        <w:jc w:val="both"/>
        <w:outlineLvl w:val="9"/>
        <w:rPr>
          <w:rFonts w:hint="eastAsia" w:ascii="仿宋_GB2312" w:hAnsi="仿宋_GB2312" w:eastAsia="仿宋_GB2312" w:cs="仿宋_GB2312"/>
          <w:color w:val="auto"/>
          <w:sz w:val="32"/>
          <w:szCs w:val="32"/>
          <w:highlight w:val="none"/>
        </w:rPr>
      </w:pPr>
      <w:bookmarkStart w:id="2248" w:name="_Toc18229"/>
      <w:bookmarkStart w:id="2249" w:name="_Toc13518"/>
      <w:bookmarkStart w:id="2250" w:name="_Toc9943"/>
      <w:bookmarkStart w:id="2251" w:name="_Toc32447"/>
      <w:bookmarkStart w:id="2252" w:name="_Toc21945"/>
      <w:bookmarkStart w:id="2253" w:name="_Toc23290"/>
      <w:bookmarkStart w:id="2254" w:name="_Toc29969"/>
      <w:bookmarkStart w:id="2255" w:name="_Toc12237"/>
      <w:r>
        <w:rPr>
          <w:rFonts w:hint="eastAsia" w:ascii="仿宋_GB2312" w:hAnsi="仿宋_GB2312" w:eastAsia="仿宋_GB2312" w:cs="仿宋_GB2312"/>
          <w:color w:val="auto"/>
          <w:sz w:val="32"/>
          <w:szCs w:val="32"/>
          <w:highlight w:val="none"/>
        </w:rPr>
        <w:t>7.9 提前竣工的奖励</w:t>
      </w:r>
      <w:bookmarkEnd w:id="2248"/>
      <w:bookmarkEnd w:id="2249"/>
      <w:bookmarkEnd w:id="2250"/>
      <w:bookmarkEnd w:id="2251"/>
      <w:bookmarkEnd w:id="2252"/>
      <w:bookmarkEnd w:id="2253"/>
      <w:bookmarkEnd w:id="2254"/>
      <w:bookmarkEnd w:id="2255"/>
    </w:p>
    <w:p w14:paraId="41248219">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7.9.2提前竣工的奖励：</w:t>
      </w:r>
      <w:r>
        <w:rPr>
          <w:rFonts w:hint="eastAsia" w:ascii="仿宋_GB2312" w:hAnsi="仿宋_GB2312" w:eastAsia="仿宋_GB2312" w:cs="仿宋_GB2312"/>
          <w:color w:val="auto"/>
          <w:sz w:val="32"/>
          <w:szCs w:val="32"/>
          <w:highlight w:val="none"/>
          <w:u w:val="single"/>
        </w:rPr>
        <w:t xml:space="preserve">   /  </w:t>
      </w:r>
      <w:r>
        <w:rPr>
          <w:rFonts w:hint="eastAsia" w:ascii="仿宋_GB2312" w:hAnsi="仿宋_GB2312" w:eastAsia="仿宋_GB2312" w:cs="仿宋_GB2312"/>
          <w:color w:val="auto"/>
          <w:sz w:val="32"/>
          <w:szCs w:val="32"/>
          <w:highlight w:val="none"/>
        </w:rPr>
        <w:t>。</w:t>
      </w:r>
      <w:bookmarkStart w:id="2256" w:name="_Toc351203640"/>
    </w:p>
    <w:bookmarkEnd w:id="2083"/>
    <w:bookmarkEnd w:id="2084"/>
    <w:bookmarkEnd w:id="2085"/>
    <w:bookmarkEnd w:id="2086"/>
    <w:bookmarkEnd w:id="2087"/>
    <w:bookmarkEnd w:id="2088"/>
    <w:bookmarkEnd w:id="2089"/>
    <w:bookmarkEnd w:id="2090"/>
    <w:bookmarkEnd w:id="2091"/>
    <w:bookmarkEnd w:id="2092"/>
    <w:bookmarkEnd w:id="2256"/>
    <w:p w14:paraId="201FDBB6">
      <w:pPr>
        <w:pageBreakBefore w:val="0"/>
        <w:widowControl/>
        <w:kinsoku/>
        <w:wordWrap/>
        <w:overflowPunct/>
        <w:topLinePunct w:val="0"/>
        <w:bidi w:val="0"/>
        <w:adjustRightInd/>
        <w:snapToGrid/>
        <w:spacing w:line="560" w:lineRule="exact"/>
        <w:ind w:firstLine="640" w:firstLineChars="200"/>
        <w:jc w:val="both"/>
        <w:outlineLvl w:val="1"/>
        <w:rPr>
          <w:rFonts w:hint="default" w:ascii="黑体" w:hAnsi="黑体" w:eastAsia="黑体" w:cs="黑体"/>
          <w:b w:val="0"/>
          <w:bCs/>
          <w:color w:val="auto"/>
          <w:sz w:val="32"/>
          <w:szCs w:val="32"/>
          <w:highlight w:val="none"/>
          <w:lang w:val="en-US" w:eastAsia="zh-CN"/>
        </w:rPr>
      </w:pPr>
      <w:bookmarkStart w:id="2257" w:name="_Toc297120493"/>
      <w:bookmarkStart w:id="2258" w:name="_Toc296503193"/>
      <w:bookmarkStart w:id="2259" w:name="_Toc303539146"/>
      <w:bookmarkStart w:id="2260" w:name="_Toc296346694"/>
      <w:bookmarkStart w:id="2261" w:name="_Toc304295566"/>
      <w:bookmarkStart w:id="2262" w:name="_Toc292559903"/>
      <w:bookmarkStart w:id="2263" w:name="_Toc296347192"/>
      <w:bookmarkStart w:id="2264" w:name="_Toc297048379"/>
      <w:bookmarkStart w:id="2265" w:name="_Toc292559398"/>
      <w:bookmarkStart w:id="2266" w:name="_Toc296891233"/>
      <w:bookmarkStart w:id="2267" w:name="_Toc351203642"/>
      <w:bookmarkStart w:id="2268" w:name="_Toc297123540"/>
      <w:bookmarkStart w:id="2269" w:name="_Toc296891021"/>
      <w:bookmarkStart w:id="2270" w:name="_Toc300934989"/>
      <w:bookmarkStart w:id="2271" w:name="_Toc297216199"/>
      <w:bookmarkStart w:id="2272" w:name="_Toc296944532"/>
      <w:bookmarkStart w:id="2273" w:name="_Toc13944"/>
      <w:bookmarkStart w:id="2274" w:name="_Toc312677499"/>
      <w:bookmarkStart w:id="2275" w:name="_Toc18434"/>
      <w:bookmarkStart w:id="2276" w:name="_Toc312678025"/>
      <w:bookmarkStart w:id="2277" w:name="_Toc2730"/>
      <w:bookmarkStart w:id="2278" w:name="_Toc29927"/>
      <w:bookmarkStart w:id="2279" w:name="_Toc6715"/>
      <w:bookmarkStart w:id="2280" w:name="_Toc22526"/>
      <w:bookmarkStart w:id="2281" w:name="_Toc13421"/>
      <w:bookmarkStart w:id="2282" w:name="_Toc29868"/>
      <w:bookmarkStart w:id="2283" w:name="_Toc32514"/>
      <w:bookmarkStart w:id="2284" w:name="_Toc28596"/>
      <w:bookmarkStart w:id="2285" w:name="_Toc267251440"/>
      <w:bookmarkStart w:id="2286" w:name="_Toc267251439"/>
      <w:bookmarkStart w:id="2287" w:name="_Toc267251441"/>
      <w:bookmarkStart w:id="2288" w:name="_Toc267251435"/>
      <w:bookmarkStart w:id="2289" w:name="_Toc267251433"/>
      <w:bookmarkStart w:id="2290" w:name="_Toc267251437"/>
      <w:bookmarkStart w:id="2291" w:name="_Toc267251442"/>
      <w:r>
        <w:rPr>
          <w:rFonts w:hint="eastAsia" w:ascii="黑体" w:hAnsi="黑体" w:eastAsia="黑体" w:cs="黑体"/>
          <w:b w:val="0"/>
          <w:bCs/>
          <w:color w:val="auto"/>
          <w:sz w:val="32"/>
          <w:szCs w:val="32"/>
          <w:highlight w:val="none"/>
          <w:lang w:val="en-US" w:eastAsia="zh-CN"/>
        </w:rPr>
        <w:t>8</w:t>
      </w:r>
      <w:r>
        <w:rPr>
          <w:rFonts w:hint="eastAsia" w:ascii="黑体" w:hAnsi="黑体" w:eastAsia="黑体" w:cs="黑体"/>
          <w:b w:val="0"/>
          <w:bCs/>
          <w:color w:val="auto"/>
          <w:sz w:val="32"/>
          <w:szCs w:val="32"/>
          <w:highlight w:val="none"/>
        </w:rPr>
        <w:t>.</w:t>
      </w:r>
      <w:r>
        <w:rPr>
          <w:rFonts w:hint="eastAsia" w:ascii="黑体" w:hAnsi="黑体" w:eastAsia="黑体" w:cs="黑体"/>
          <w:b w:val="0"/>
          <w:bCs/>
          <w:color w:val="auto"/>
          <w:sz w:val="32"/>
          <w:szCs w:val="32"/>
          <w:highlight w:val="none"/>
          <w:lang w:val="en-US" w:eastAsia="zh-CN"/>
        </w:rPr>
        <w:t>材料与设备</w:t>
      </w:r>
    </w:p>
    <w:p w14:paraId="3D7C1EAF">
      <w:pPr>
        <w:pageBreakBefore w:val="0"/>
        <w:kinsoku/>
        <w:wordWrap/>
        <w:overflowPunct/>
        <w:topLinePunct w:val="0"/>
        <w:bidi w:val="0"/>
        <w:adjustRightInd/>
        <w:snapToGrid/>
        <w:spacing w:line="560" w:lineRule="exact"/>
        <w:ind w:firstLine="645"/>
        <w:jc w:val="both"/>
        <w:rPr>
          <w:rFonts w:hint="eastAsia"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color w:val="auto"/>
          <w:sz w:val="32"/>
          <w:szCs w:val="32"/>
          <w:highlight w:val="none"/>
          <w:u w:val="none"/>
          <w:lang w:val="en-US" w:eastAsia="zh-CN"/>
        </w:rPr>
        <w:t>按照通用条款执行</w:t>
      </w:r>
    </w:p>
    <w:p w14:paraId="67E32301">
      <w:pPr>
        <w:pageBreakBefore w:val="0"/>
        <w:widowControl/>
        <w:kinsoku/>
        <w:wordWrap/>
        <w:overflowPunct/>
        <w:topLinePunct w:val="0"/>
        <w:bidi w:val="0"/>
        <w:adjustRightInd/>
        <w:snapToGrid/>
        <w:spacing w:line="560" w:lineRule="exact"/>
        <w:ind w:firstLine="640" w:firstLineChars="200"/>
        <w:jc w:val="both"/>
        <w:outlineLvl w:val="1"/>
        <w:rPr>
          <w:rFonts w:hint="default" w:ascii="黑体" w:hAnsi="黑体" w:eastAsia="黑体" w:cs="黑体"/>
          <w:b w:val="0"/>
          <w:bCs/>
          <w:color w:val="auto"/>
          <w:sz w:val="32"/>
          <w:szCs w:val="32"/>
          <w:highlight w:val="none"/>
          <w:lang w:val="en-US" w:eastAsia="zh-CN"/>
        </w:rPr>
      </w:pPr>
      <w:r>
        <w:rPr>
          <w:rFonts w:hint="eastAsia" w:ascii="黑体" w:hAnsi="黑体" w:eastAsia="黑体" w:cs="黑体"/>
          <w:b w:val="0"/>
          <w:bCs/>
          <w:color w:val="auto"/>
          <w:sz w:val="32"/>
          <w:szCs w:val="32"/>
          <w:highlight w:val="none"/>
          <w:lang w:val="en-US" w:eastAsia="zh-CN"/>
        </w:rPr>
        <w:t>9</w:t>
      </w:r>
      <w:r>
        <w:rPr>
          <w:rFonts w:hint="eastAsia" w:ascii="黑体" w:hAnsi="黑体" w:eastAsia="黑体" w:cs="黑体"/>
          <w:b w:val="0"/>
          <w:bCs/>
          <w:color w:val="auto"/>
          <w:sz w:val="32"/>
          <w:szCs w:val="32"/>
          <w:highlight w:val="none"/>
        </w:rPr>
        <w:t>.</w:t>
      </w:r>
      <w:r>
        <w:rPr>
          <w:rFonts w:hint="eastAsia" w:ascii="黑体" w:hAnsi="黑体" w:eastAsia="黑体" w:cs="黑体"/>
          <w:b w:val="0"/>
          <w:bCs/>
          <w:color w:val="auto"/>
          <w:sz w:val="32"/>
          <w:szCs w:val="32"/>
          <w:highlight w:val="none"/>
          <w:lang w:val="en-US" w:eastAsia="zh-CN"/>
        </w:rPr>
        <w:t>试验与检验</w:t>
      </w:r>
    </w:p>
    <w:p w14:paraId="78D69011">
      <w:pPr>
        <w:pageBreakBefore w:val="0"/>
        <w:kinsoku/>
        <w:wordWrap/>
        <w:overflowPunct/>
        <w:topLinePunct w:val="0"/>
        <w:bidi w:val="0"/>
        <w:adjustRightInd/>
        <w:snapToGrid/>
        <w:spacing w:line="560" w:lineRule="exact"/>
        <w:ind w:firstLine="645"/>
        <w:jc w:val="both"/>
        <w:rPr>
          <w:rFonts w:hint="default"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color w:val="auto"/>
          <w:sz w:val="32"/>
          <w:szCs w:val="32"/>
          <w:highlight w:val="none"/>
          <w:u w:val="none"/>
          <w:lang w:val="en-US" w:eastAsia="zh-CN"/>
        </w:rPr>
        <w:t>按照通用条款执行</w:t>
      </w:r>
    </w:p>
    <w:p w14:paraId="624932CE">
      <w:pPr>
        <w:pageBreakBefore w:val="0"/>
        <w:widowControl/>
        <w:kinsoku/>
        <w:wordWrap/>
        <w:overflowPunct/>
        <w:topLinePunct w:val="0"/>
        <w:bidi w:val="0"/>
        <w:adjustRightInd w:val="0"/>
        <w:snapToGrid w:val="0"/>
        <w:spacing w:line="560" w:lineRule="exact"/>
        <w:ind w:firstLine="640" w:firstLineChars="200"/>
        <w:jc w:val="both"/>
        <w:outlineLvl w:val="9"/>
        <w:rPr>
          <w:rFonts w:hint="eastAsia" w:ascii="黑体" w:hAnsi="黑体" w:eastAsia="黑体" w:cs="黑体"/>
          <w:b w:val="0"/>
          <w:bCs/>
          <w:color w:val="auto"/>
          <w:sz w:val="32"/>
          <w:szCs w:val="32"/>
          <w:highlight w:val="none"/>
        </w:rPr>
      </w:pPr>
      <w:r>
        <w:rPr>
          <w:rFonts w:hint="eastAsia" w:ascii="黑体" w:hAnsi="黑体" w:eastAsia="黑体" w:cs="黑体"/>
          <w:b w:val="0"/>
          <w:bCs/>
          <w:color w:val="auto"/>
          <w:sz w:val="32"/>
          <w:szCs w:val="32"/>
          <w:highlight w:val="none"/>
          <w:lang w:val="en-US" w:eastAsia="zh-CN"/>
        </w:rPr>
        <w:t>10</w:t>
      </w:r>
      <w:r>
        <w:rPr>
          <w:rFonts w:hint="eastAsia" w:ascii="黑体" w:hAnsi="黑体" w:eastAsia="黑体" w:cs="黑体"/>
          <w:b w:val="0"/>
          <w:bCs/>
          <w:color w:val="auto"/>
          <w:sz w:val="32"/>
          <w:szCs w:val="32"/>
          <w:highlight w:val="none"/>
        </w:rPr>
        <w:t>.变</w:t>
      </w:r>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r>
        <w:rPr>
          <w:rFonts w:hint="eastAsia" w:ascii="黑体" w:hAnsi="黑体" w:eastAsia="黑体" w:cs="黑体"/>
          <w:b w:val="0"/>
          <w:bCs/>
          <w:color w:val="auto"/>
          <w:sz w:val="32"/>
          <w:szCs w:val="32"/>
          <w:highlight w:val="none"/>
        </w:rPr>
        <w:t>更</w:t>
      </w:r>
      <w:bookmarkEnd w:id="2273"/>
      <w:bookmarkEnd w:id="2274"/>
      <w:bookmarkEnd w:id="2275"/>
      <w:bookmarkEnd w:id="2276"/>
      <w:bookmarkEnd w:id="2277"/>
      <w:bookmarkEnd w:id="2278"/>
      <w:bookmarkEnd w:id="2279"/>
      <w:bookmarkEnd w:id="2280"/>
      <w:bookmarkEnd w:id="2281"/>
      <w:bookmarkEnd w:id="2282"/>
      <w:bookmarkEnd w:id="2283"/>
      <w:bookmarkEnd w:id="2284"/>
    </w:p>
    <w:p w14:paraId="28A72FAA">
      <w:pPr>
        <w:pageBreakBefore w:val="0"/>
        <w:kinsoku/>
        <w:wordWrap/>
        <w:overflowPunct/>
        <w:topLinePunct w:val="0"/>
        <w:bidi w:val="0"/>
        <w:adjustRightInd w:val="0"/>
        <w:snapToGrid w:val="0"/>
        <w:spacing w:line="560" w:lineRule="exact"/>
        <w:ind w:firstLine="640" w:firstLineChars="200"/>
        <w:jc w:val="both"/>
        <w:outlineLvl w:val="9"/>
        <w:rPr>
          <w:rFonts w:hint="eastAsia" w:ascii="仿宋_GB2312" w:hAnsi="仿宋_GB2312" w:eastAsia="仿宋_GB2312" w:cs="仿宋_GB2312"/>
          <w:color w:val="auto"/>
          <w:sz w:val="32"/>
          <w:szCs w:val="32"/>
          <w:highlight w:val="none"/>
        </w:rPr>
      </w:pPr>
      <w:bookmarkStart w:id="2292" w:name="_Toc29224"/>
      <w:bookmarkStart w:id="2293" w:name="_Toc32401"/>
      <w:bookmarkStart w:id="2294" w:name="_Toc23638"/>
      <w:bookmarkStart w:id="2295" w:name="_Toc24433"/>
      <w:bookmarkStart w:id="2296" w:name="_Toc16568"/>
      <w:bookmarkStart w:id="2297" w:name="_Toc10454"/>
      <w:bookmarkStart w:id="2298" w:name="_Toc13528"/>
      <w:bookmarkStart w:id="2299" w:name="_Toc14617"/>
      <w:bookmarkStart w:id="2300" w:name="_Toc312677500"/>
      <w:bookmarkStart w:id="2301" w:name="_Toc296346695"/>
      <w:bookmarkStart w:id="2302" w:name="_Toc297120494"/>
      <w:bookmarkStart w:id="2303" w:name="_Toc312678026"/>
      <w:bookmarkStart w:id="2304" w:name="_Toc296944533"/>
      <w:bookmarkStart w:id="2305" w:name="_Toc292559904"/>
      <w:bookmarkStart w:id="2306" w:name="_Toc297123541"/>
      <w:bookmarkStart w:id="2307" w:name="_Toc297048380"/>
      <w:bookmarkStart w:id="2308" w:name="_Toc296503194"/>
      <w:bookmarkStart w:id="2309" w:name="_Toc296891022"/>
      <w:bookmarkStart w:id="2310" w:name="_Toc303539147"/>
      <w:bookmarkStart w:id="2311" w:name="_Toc297216200"/>
      <w:bookmarkStart w:id="2312" w:name="_Toc300934990"/>
      <w:bookmarkStart w:id="2313" w:name="_Toc292559399"/>
      <w:bookmarkStart w:id="2314" w:name="_Toc296891234"/>
      <w:bookmarkStart w:id="2315" w:name="_Toc296347193"/>
      <w:bookmarkStart w:id="2316" w:name="_Toc304295567"/>
      <w:r>
        <w:rPr>
          <w:rFonts w:hint="eastAsia" w:ascii="仿宋_GB2312" w:hAnsi="仿宋_GB2312" w:eastAsia="仿宋_GB2312" w:cs="仿宋_GB2312"/>
          <w:color w:val="auto"/>
          <w:sz w:val="32"/>
          <w:szCs w:val="32"/>
          <w:highlight w:val="none"/>
          <w:lang w:val="en-US" w:eastAsia="zh-CN"/>
        </w:rPr>
        <w:t>10</w:t>
      </w:r>
      <w:r>
        <w:rPr>
          <w:rFonts w:hint="eastAsia" w:ascii="仿宋_GB2312" w:hAnsi="仿宋_GB2312" w:eastAsia="仿宋_GB2312" w:cs="仿宋_GB2312"/>
          <w:color w:val="auto"/>
          <w:sz w:val="32"/>
          <w:szCs w:val="32"/>
          <w:highlight w:val="none"/>
        </w:rPr>
        <w:t>.1变更的范围</w:t>
      </w:r>
      <w:bookmarkEnd w:id="2292"/>
      <w:bookmarkEnd w:id="2293"/>
      <w:bookmarkEnd w:id="2294"/>
      <w:bookmarkEnd w:id="2295"/>
      <w:bookmarkEnd w:id="2296"/>
      <w:bookmarkEnd w:id="2297"/>
      <w:bookmarkEnd w:id="2298"/>
      <w:bookmarkEnd w:id="2299"/>
    </w:p>
    <w:p w14:paraId="75D092C3">
      <w:pPr>
        <w:pageBreakBefore w:val="0"/>
        <w:kinsoku/>
        <w:wordWrap/>
        <w:overflowPunct/>
        <w:topLinePunct w:val="0"/>
        <w:bidi w:val="0"/>
        <w:adjustRightInd w:val="0"/>
        <w:snapToGrid w:val="0"/>
        <w:spacing w:line="560" w:lineRule="exact"/>
        <w:ind w:firstLine="6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rPr>
        <w:t>关于变更的范围的约</w:t>
      </w:r>
      <w:r>
        <w:rPr>
          <w:rFonts w:hint="eastAsia" w:ascii="仿宋_GB2312" w:hAnsi="仿宋_GB2312" w:eastAsia="仿宋_GB2312" w:cs="仿宋_GB2312"/>
          <w:color w:val="auto"/>
          <w:sz w:val="32"/>
          <w:szCs w:val="32"/>
          <w:highlight w:val="none"/>
          <w:u w:val="none"/>
        </w:rPr>
        <w:t xml:space="preserve">定：按上级部门投资项目相关规定及发包人变更相关管理制度执行。变更的范围与内容： </w:t>
      </w:r>
    </w:p>
    <w:p w14:paraId="23A2B554">
      <w:pPr>
        <w:pageBreakBefore w:val="0"/>
        <w:kinsoku/>
        <w:wordWrap/>
        <w:overflowPunct/>
        <w:topLinePunct w:val="0"/>
        <w:bidi w:val="0"/>
        <w:adjustRightInd w:val="0"/>
        <w:snapToGrid w:val="0"/>
        <w:spacing w:line="560" w:lineRule="exact"/>
        <w:ind w:firstLine="6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（1）因政策、质量标准、工程技术规范或规划调整等导致的工程变更。</w:t>
      </w:r>
    </w:p>
    <w:p w14:paraId="235C60FB">
      <w:pPr>
        <w:pageBreakBefore w:val="0"/>
        <w:kinsoku/>
        <w:wordWrap/>
        <w:overflowPunct/>
        <w:topLinePunct w:val="0"/>
        <w:bidi w:val="0"/>
        <w:adjustRightInd w:val="0"/>
        <w:snapToGrid w:val="0"/>
        <w:spacing w:line="560" w:lineRule="exact"/>
        <w:ind w:firstLine="6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（2）因项目实施过程中建设单位或应上级部门、使用单位要求等提高或降低建设标准，增加或减少建设内容，改变功能等导致的工程变更。</w:t>
      </w:r>
    </w:p>
    <w:p w14:paraId="5EA9601F">
      <w:pPr>
        <w:pageBreakBefore w:val="0"/>
        <w:kinsoku/>
        <w:wordWrap/>
        <w:overflowPunct/>
        <w:topLinePunct w:val="0"/>
        <w:bidi w:val="0"/>
        <w:adjustRightInd w:val="0"/>
        <w:snapToGrid w:val="0"/>
        <w:spacing w:line="560" w:lineRule="exact"/>
        <w:ind w:firstLine="6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（3）工程现场条件较勘察设计阶段发生变化，导致施工条件和施工工艺的改变，包括工程任何部分施工的约定顺序或时间安排的改变，任何部分的标高、线形、位置和尺寸的改变。</w:t>
      </w:r>
    </w:p>
    <w:p w14:paraId="0E8E2CE5">
      <w:pPr>
        <w:pageBreakBefore w:val="0"/>
        <w:kinsoku/>
        <w:wordWrap/>
        <w:overflowPunct/>
        <w:topLinePunct w:val="0"/>
        <w:bidi w:val="0"/>
        <w:adjustRightInd w:val="0"/>
        <w:snapToGrid w:val="0"/>
        <w:spacing w:line="560" w:lineRule="exact"/>
        <w:ind w:firstLine="6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（4）设计变更，由设计单位发出的所有施工图纸调整文件包括勘误、修改、增补、废除，新版图纸替换等。</w:t>
      </w:r>
    </w:p>
    <w:p w14:paraId="315FE872">
      <w:pPr>
        <w:pageBreakBefore w:val="0"/>
        <w:kinsoku/>
        <w:wordWrap/>
        <w:overflowPunct/>
        <w:topLinePunct w:val="0"/>
        <w:bidi w:val="0"/>
        <w:adjustRightInd w:val="0"/>
        <w:snapToGrid w:val="0"/>
        <w:spacing w:line="560" w:lineRule="exact"/>
        <w:ind w:firstLine="6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（5）因设计缺陷或施工专业分包补充深化设计、主要材料设备换用导致的工程变更。</w:t>
      </w:r>
    </w:p>
    <w:p w14:paraId="7F3B79B8">
      <w:pPr>
        <w:pageBreakBefore w:val="0"/>
        <w:kinsoku/>
        <w:wordWrap/>
        <w:overflowPunct/>
        <w:topLinePunct w:val="0"/>
        <w:bidi w:val="0"/>
        <w:adjustRightInd w:val="0"/>
        <w:snapToGrid w:val="0"/>
        <w:spacing w:line="560" w:lineRule="exact"/>
        <w:ind w:firstLine="6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（6）因承包人自身原因导致的工程变更。</w:t>
      </w:r>
    </w:p>
    <w:p w14:paraId="6BB49892">
      <w:pPr>
        <w:pageBreakBefore w:val="0"/>
        <w:kinsoku/>
        <w:wordWrap/>
        <w:overflowPunct/>
        <w:topLinePunct w:val="0"/>
        <w:bidi w:val="0"/>
        <w:adjustRightInd w:val="0"/>
        <w:snapToGrid w:val="0"/>
        <w:spacing w:line="560" w:lineRule="exact"/>
        <w:ind w:firstLine="6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（7）异常恶劣的气候条件、不可抗力或事先无法预计的因素导致的工程变更。</w:t>
      </w:r>
    </w:p>
    <w:p w14:paraId="5F572B78">
      <w:pPr>
        <w:pageBreakBefore w:val="0"/>
        <w:kinsoku/>
        <w:wordWrap/>
        <w:overflowPunct/>
        <w:topLinePunct w:val="0"/>
        <w:bidi w:val="0"/>
        <w:adjustRightInd w:val="0"/>
        <w:snapToGrid w:val="0"/>
        <w:spacing w:line="560" w:lineRule="exact"/>
        <w:ind w:firstLine="6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（8）因不可抗力影响或特殊情况下非</w:t>
      </w:r>
      <w:r>
        <w:rPr>
          <w:rFonts w:hint="eastAsia" w:ascii="仿宋_GB2312" w:hAnsi="仿宋_GB2312" w:eastAsia="仿宋_GB2312" w:cs="仿宋_GB2312"/>
          <w:color w:val="auto"/>
          <w:sz w:val="32"/>
          <w:szCs w:val="32"/>
          <w:highlight w:val="none"/>
          <w:u w:val="none"/>
          <w:lang w:val="en-US" w:eastAsia="zh-CN"/>
        </w:rPr>
        <w:t>承包人</w:t>
      </w:r>
      <w:r>
        <w:rPr>
          <w:rFonts w:hint="eastAsia" w:ascii="仿宋_GB2312" w:hAnsi="仿宋_GB2312" w:eastAsia="仿宋_GB2312" w:cs="仿宋_GB2312"/>
          <w:color w:val="auto"/>
          <w:sz w:val="32"/>
          <w:szCs w:val="32"/>
          <w:highlight w:val="none"/>
          <w:u w:val="none"/>
        </w:rPr>
        <w:t>原因发生的，就合同承包范围外的施工内容及其涉及的责任事件所做的签认证明。</w:t>
      </w:r>
    </w:p>
    <w:p w14:paraId="03FDAE05">
      <w:pPr>
        <w:pageBreakBefore w:val="0"/>
        <w:kinsoku/>
        <w:wordWrap/>
        <w:overflowPunct/>
        <w:topLinePunct w:val="0"/>
        <w:bidi w:val="0"/>
        <w:adjustRightInd w:val="0"/>
        <w:snapToGrid w:val="0"/>
        <w:spacing w:line="560" w:lineRule="exact"/>
        <w:ind w:firstLine="640" w:firstLineChars="200"/>
        <w:jc w:val="both"/>
        <w:outlineLvl w:val="9"/>
        <w:rPr>
          <w:rFonts w:hint="eastAsia" w:ascii="仿宋_GB2312" w:hAnsi="仿宋_GB2312" w:eastAsia="仿宋_GB2312" w:cs="仿宋_GB2312"/>
          <w:color w:val="auto"/>
          <w:sz w:val="32"/>
          <w:szCs w:val="32"/>
          <w:highlight w:val="none"/>
          <w:u w:val="none"/>
        </w:rPr>
      </w:pPr>
      <w:bookmarkStart w:id="2317" w:name="_Toc8153"/>
      <w:bookmarkStart w:id="2318" w:name="_Toc16988"/>
      <w:bookmarkStart w:id="2319" w:name="_Toc18844"/>
      <w:bookmarkStart w:id="2320" w:name="_Toc6543"/>
      <w:bookmarkStart w:id="2321" w:name="_Toc4942"/>
      <w:bookmarkStart w:id="2322" w:name="_Toc27067"/>
      <w:bookmarkStart w:id="2323" w:name="_Toc5115"/>
      <w:bookmarkStart w:id="2324" w:name="_Toc25570"/>
      <w:r>
        <w:rPr>
          <w:rFonts w:hint="eastAsia" w:ascii="仿宋_GB2312" w:hAnsi="仿宋_GB2312" w:eastAsia="仿宋_GB2312" w:cs="仿宋_GB2312"/>
          <w:color w:val="auto"/>
          <w:sz w:val="32"/>
          <w:szCs w:val="32"/>
          <w:highlight w:val="none"/>
          <w:u w:val="none"/>
          <w:lang w:val="en-US" w:eastAsia="zh-CN"/>
        </w:rPr>
        <w:t>10</w:t>
      </w:r>
      <w:r>
        <w:rPr>
          <w:rFonts w:hint="eastAsia" w:ascii="仿宋_GB2312" w:hAnsi="仿宋_GB2312" w:eastAsia="仿宋_GB2312" w:cs="仿宋_GB2312"/>
          <w:color w:val="auto"/>
          <w:sz w:val="32"/>
          <w:szCs w:val="32"/>
          <w:highlight w:val="none"/>
          <w:u w:val="none"/>
        </w:rPr>
        <w:t>.4 变更估价</w:t>
      </w:r>
      <w:bookmarkEnd w:id="2317"/>
      <w:bookmarkEnd w:id="2318"/>
      <w:bookmarkEnd w:id="2319"/>
      <w:bookmarkEnd w:id="2320"/>
      <w:bookmarkEnd w:id="2321"/>
      <w:bookmarkEnd w:id="2322"/>
      <w:bookmarkEnd w:id="2323"/>
      <w:bookmarkEnd w:id="2324"/>
    </w:p>
    <w:p w14:paraId="351C7E64">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lang w:val="en-US" w:eastAsia="zh-CN"/>
        </w:rPr>
        <w:t>10</w:t>
      </w:r>
      <w:r>
        <w:rPr>
          <w:rFonts w:hint="eastAsia" w:ascii="仿宋_GB2312" w:hAnsi="仿宋_GB2312" w:eastAsia="仿宋_GB2312" w:cs="仿宋_GB2312"/>
          <w:color w:val="auto"/>
          <w:sz w:val="32"/>
          <w:szCs w:val="32"/>
          <w:highlight w:val="none"/>
          <w:u w:val="none"/>
        </w:rPr>
        <w:t>.4.1 变更估价原则</w:t>
      </w:r>
    </w:p>
    <w:p w14:paraId="1DB6082E">
      <w:pPr>
        <w:pageBreakBefore w:val="0"/>
        <w:widowControl/>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lang w:eastAsia="zh-CN"/>
        </w:rPr>
      </w:pPr>
      <w:r>
        <w:rPr>
          <w:rFonts w:hint="eastAsia" w:ascii="仿宋_GB2312" w:hAnsi="仿宋_GB2312" w:eastAsia="仿宋_GB2312" w:cs="仿宋_GB2312"/>
          <w:color w:val="auto"/>
          <w:sz w:val="32"/>
          <w:szCs w:val="32"/>
          <w:highlight w:val="none"/>
          <w:u w:val="none"/>
        </w:rPr>
        <w:t>关于变更估价的约定</w:t>
      </w:r>
      <w:r>
        <w:rPr>
          <w:rFonts w:hint="eastAsia" w:ascii="仿宋_GB2312" w:hAnsi="仿宋_GB2312" w:eastAsia="仿宋_GB2312" w:cs="仿宋_GB2312"/>
          <w:color w:val="auto"/>
          <w:sz w:val="32"/>
          <w:szCs w:val="32"/>
          <w:highlight w:val="none"/>
          <w:u w:val="none"/>
          <w:lang w:eastAsia="zh-CN"/>
        </w:rPr>
        <w:t>：1.因承包人原因发生工程变更的约定：</w:t>
      </w:r>
    </w:p>
    <w:p w14:paraId="44234B5C">
      <w:pPr>
        <w:pageBreakBefore w:val="0"/>
        <w:widowControl/>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lang w:eastAsia="zh-CN"/>
        </w:rPr>
      </w:pPr>
      <w:r>
        <w:rPr>
          <w:rFonts w:hint="eastAsia" w:ascii="仿宋_GB2312" w:hAnsi="仿宋_GB2312" w:eastAsia="仿宋_GB2312" w:cs="仿宋_GB2312"/>
          <w:color w:val="auto"/>
          <w:sz w:val="32"/>
          <w:szCs w:val="32"/>
          <w:highlight w:val="none"/>
          <w:u w:val="none"/>
          <w:lang w:eastAsia="zh-CN"/>
        </w:rPr>
        <w:t>此类变更产生的所有费用由承包人自行承担，发包人不另行支付，同时承包人还应承担变更后导致的一切后果。</w:t>
      </w:r>
    </w:p>
    <w:p w14:paraId="37886B38">
      <w:pPr>
        <w:pageBreakBefore w:val="0"/>
        <w:widowControl/>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lang w:eastAsia="zh-CN"/>
        </w:rPr>
      </w:pPr>
      <w:r>
        <w:rPr>
          <w:rFonts w:hint="eastAsia" w:ascii="仿宋_GB2312" w:hAnsi="仿宋_GB2312" w:eastAsia="仿宋_GB2312" w:cs="仿宋_GB2312"/>
          <w:color w:val="auto"/>
          <w:sz w:val="32"/>
          <w:szCs w:val="32"/>
          <w:highlight w:val="none"/>
          <w:u w:val="none"/>
          <w:lang w:eastAsia="zh-CN"/>
        </w:rPr>
        <w:t xml:space="preserve">2.因非承包人原因发生工程变更的变更估价约定： </w:t>
      </w:r>
    </w:p>
    <w:p w14:paraId="5D990BE5">
      <w:pPr>
        <w:pageBreakBefore w:val="0"/>
        <w:widowControl/>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lang w:eastAsia="zh-CN"/>
        </w:rPr>
      </w:pPr>
      <w:r>
        <w:rPr>
          <w:rFonts w:hint="eastAsia" w:ascii="仿宋_GB2312" w:hAnsi="仿宋_GB2312" w:eastAsia="仿宋_GB2312" w:cs="仿宋_GB2312"/>
          <w:color w:val="auto"/>
          <w:sz w:val="32"/>
          <w:szCs w:val="32"/>
          <w:highlight w:val="none"/>
          <w:u w:val="none"/>
          <w:lang w:eastAsia="zh-CN"/>
        </w:rPr>
        <w:t>（1）工程变更引起己标价分部分项工程量清单项目发生变化时，应按照下列规定调整：</w:t>
      </w:r>
    </w:p>
    <w:p w14:paraId="3F26EEF9">
      <w:pPr>
        <w:pageBreakBefore w:val="0"/>
        <w:widowControl/>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lang w:eastAsia="zh-CN"/>
        </w:rPr>
      </w:pPr>
      <w:r>
        <w:rPr>
          <w:rFonts w:hint="eastAsia" w:ascii="仿宋_GB2312" w:hAnsi="仿宋_GB2312" w:eastAsia="仿宋_GB2312" w:cs="仿宋_GB2312"/>
          <w:color w:val="auto"/>
          <w:sz w:val="32"/>
          <w:szCs w:val="32"/>
          <w:highlight w:val="none"/>
          <w:u w:val="none"/>
          <w:lang w:eastAsia="zh-CN"/>
        </w:rPr>
        <w:t xml:space="preserve">A 合同《已标价工程量清单》中有适用于变更工程项目的，执行该项目的合同《已标价工程量清单》的相应报价。 </w:t>
      </w:r>
    </w:p>
    <w:p w14:paraId="4E121B3E">
      <w:pPr>
        <w:pageBreakBefore w:val="0"/>
        <w:widowControl/>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lang w:eastAsia="zh-CN"/>
        </w:rPr>
      </w:pPr>
      <w:r>
        <w:rPr>
          <w:rFonts w:hint="eastAsia" w:ascii="仿宋_GB2312" w:hAnsi="仿宋_GB2312" w:eastAsia="仿宋_GB2312" w:cs="仿宋_GB2312"/>
          <w:color w:val="auto"/>
          <w:sz w:val="32"/>
          <w:szCs w:val="32"/>
          <w:highlight w:val="none"/>
          <w:u w:val="none"/>
          <w:lang w:eastAsia="zh-CN"/>
        </w:rPr>
        <w:t xml:space="preserve">B 合同《已标价工程量清单》中没有适用但有类似于变更工程项目的，在合理范围内参照该类似项目的合同《已标价工程量清单》的相应报价。如合同《已标价工程量清单》中类似项目在两个以上，参照低价格的综合单价。类似单价的确定原则：对相应材料、消耗量、单价等能够进行调整换算，原管理费、利润水平不变。 </w:t>
      </w:r>
    </w:p>
    <w:p w14:paraId="37A14788">
      <w:pPr>
        <w:pageBreakBefore w:val="0"/>
        <w:widowControl/>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lang w:eastAsia="zh-CN"/>
        </w:rPr>
      </w:pPr>
      <w:r>
        <w:rPr>
          <w:rFonts w:hint="eastAsia" w:ascii="仿宋_GB2312" w:hAnsi="仿宋_GB2312" w:eastAsia="仿宋_GB2312" w:cs="仿宋_GB2312"/>
          <w:color w:val="auto"/>
          <w:sz w:val="32"/>
          <w:szCs w:val="32"/>
          <w:highlight w:val="none"/>
          <w:u w:val="none"/>
          <w:lang w:eastAsia="zh-CN"/>
        </w:rPr>
        <w:t>C 合同《已标价工程量清单》中没有适用也没有类似于变更工程项目的，则该项目综合单价确定原则：承包人按《建设工程工程量清单计价规范》（GB-50500-2013）、海南省现行专业定额及有关文件的计量规则和计价办法进行组价，（组价中的材料价格以变更发生当期海南省建设工程造价管理协会主办的《海南工程造价信息》（厂商报价除外）中市场信息部分公布的材料价格执行，市场信息部分没有的按发包人委托的第三方造价咨询单位询价结果执行），并按中标下浮率下浮后报发包人审批确认。人工单价按变更方案完成审批当月的省级或行业建设主管部门或其授权的工程造价管理机构发布的人工费等文件执行组价，此部分人工费结算不调差，并按中标下浮率下浮计算综合单价。</w:t>
      </w:r>
    </w:p>
    <w:p w14:paraId="7AF7FB44">
      <w:pPr>
        <w:pageBreakBefore w:val="0"/>
        <w:widowControl/>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lang w:eastAsia="zh-CN"/>
        </w:rPr>
      </w:pPr>
      <w:r>
        <w:rPr>
          <w:rFonts w:hint="eastAsia" w:ascii="仿宋_GB2312" w:hAnsi="仿宋_GB2312" w:eastAsia="仿宋_GB2312" w:cs="仿宋_GB2312"/>
          <w:color w:val="auto"/>
          <w:sz w:val="32"/>
          <w:szCs w:val="32"/>
          <w:highlight w:val="none"/>
          <w:u w:val="none"/>
          <w:lang w:eastAsia="zh-CN"/>
        </w:rPr>
        <w:t>（2）工程变更引起施工方案改变并使措施项目发生变化时，承包人要求调整措施项目费的，承包人应于收到变更指示或变更意向书后5个日历天内将拟实施的方案（含该方案的费用）提交发包人和监理人确认，并应详细说明与原方案措施项目相比的变化情况。拟实施的方案经发承包双方确认后执行，并应按照下列规定调整措施项目费：</w:t>
      </w:r>
    </w:p>
    <w:p w14:paraId="4B53DB98">
      <w:pPr>
        <w:pageBreakBefore w:val="0"/>
        <w:widowControl/>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lang w:eastAsia="zh-CN"/>
        </w:rPr>
      </w:pPr>
      <w:r>
        <w:rPr>
          <w:rFonts w:hint="eastAsia" w:ascii="仿宋_GB2312" w:hAnsi="仿宋_GB2312" w:eastAsia="仿宋_GB2312" w:cs="仿宋_GB2312"/>
          <w:color w:val="auto"/>
          <w:sz w:val="32"/>
          <w:szCs w:val="32"/>
          <w:highlight w:val="none"/>
          <w:u w:val="none"/>
          <w:lang w:eastAsia="zh-CN"/>
        </w:rPr>
        <w:t>1）原措施项目费中已有的措施项目，采用原措施项目费的组价方法变更；</w:t>
      </w:r>
    </w:p>
    <w:p w14:paraId="1C718FFD">
      <w:pPr>
        <w:pageBreakBefore w:val="0"/>
        <w:widowControl/>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lang w:eastAsia="zh-CN"/>
        </w:rPr>
      </w:pPr>
      <w:r>
        <w:rPr>
          <w:rFonts w:hint="eastAsia" w:ascii="仿宋_GB2312" w:hAnsi="仿宋_GB2312" w:eastAsia="仿宋_GB2312" w:cs="仿宋_GB2312"/>
          <w:color w:val="auto"/>
          <w:sz w:val="32"/>
          <w:szCs w:val="32"/>
          <w:highlight w:val="none"/>
          <w:u w:val="none"/>
          <w:lang w:eastAsia="zh-CN"/>
        </w:rPr>
        <w:t>2）原措施项目费中没有的措施项目，按以下约定确定价格：</w:t>
      </w:r>
    </w:p>
    <w:p w14:paraId="178653D7">
      <w:pPr>
        <w:pageBreakBefore w:val="0"/>
        <w:widowControl/>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lang w:eastAsia="zh-CN"/>
        </w:rPr>
      </w:pPr>
      <w:r>
        <w:rPr>
          <w:rFonts w:hint="eastAsia" w:ascii="仿宋_GB2312" w:hAnsi="仿宋_GB2312" w:eastAsia="仿宋_GB2312" w:cs="仿宋_GB2312"/>
          <w:color w:val="auto"/>
          <w:sz w:val="32"/>
          <w:szCs w:val="32"/>
          <w:highlight w:val="none"/>
          <w:u w:val="none"/>
          <w:lang w:eastAsia="zh-CN"/>
        </w:rPr>
        <w:t>①采用单价计算的措施项目费，应按照实际发生变化的措施项目，按本合同专用条款第</w:t>
      </w:r>
      <w:r>
        <w:rPr>
          <w:rFonts w:hint="eastAsia" w:ascii="仿宋_GB2312" w:hAnsi="仿宋_GB2312" w:eastAsia="仿宋_GB2312" w:cs="仿宋_GB2312"/>
          <w:color w:val="auto"/>
          <w:sz w:val="32"/>
          <w:szCs w:val="32"/>
          <w:highlight w:val="none"/>
          <w:u w:val="none"/>
          <w:lang w:val="en-US" w:eastAsia="zh-CN"/>
        </w:rPr>
        <w:t>10</w:t>
      </w:r>
      <w:r>
        <w:rPr>
          <w:rFonts w:hint="eastAsia" w:ascii="仿宋_GB2312" w:hAnsi="仿宋_GB2312" w:eastAsia="仿宋_GB2312" w:cs="仿宋_GB2312"/>
          <w:color w:val="auto"/>
          <w:sz w:val="32"/>
          <w:szCs w:val="32"/>
          <w:highlight w:val="none"/>
          <w:u w:val="none"/>
          <w:lang w:eastAsia="zh-CN"/>
        </w:rPr>
        <w:t>.4.1条第2款第（1）项的约定确定单价。</w:t>
      </w:r>
    </w:p>
    <w:p w14:paraId="2C5B60B0">
      <w:pPr>
        <w:pageBreakBefore w:val="0"/>
        <w:widowControl/>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lang w:eastAsia="zh-CN"/>
        </w:rPr>
      </w:pPr>
      <w:r>
        <w:rPr>
          <w:rFonts w:hint="eastAsia" w:ascii="仿宋_GB2312" w:hAnsi="仿宋_GB2312" w:eastAsia="仿宋_GB2312" w:cs="仿宋_GB2312"/>
          <w:color w:val="auto"/>
          <w:sz w:val="32"/>
          <w:szCs w:val="32"/>
          <w:highlight w:val="none"/>
          <w:u w:val="none"/>
          <w:lang w:eastAsia="zh-CN"/>
        </w:rPr>
        <w:t>②按总价（或系数）计算的措施项目费，按照实际发生变化的措施项目按国家或海南省、行业建设主管部门的规定计算，除安全文明施工费外，其他总价措施项目费还应考虑中标下浮率下浮后确定价格。</w:t>
      </w:r>
    </w:p>
    <w:p w14:paraId="26BD4A2E">
      <w:pPr>
        <w:pageBreakBefore w:val="0"/>
        <w:widowControl/>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lang w:eastAsia="zh-CN"/>
        </w:rPr>
      </w:pPr>
      <w:r>
        <w:rPr>
          <w:rFonts w:hint="eastAsia" w:ascii="仿宋_GB2312" w:hAnsi="仿宋_GB2312" w:eastAsia="仿宋_GB2312" w:cs="仿宋_GB2312"/>
          <w:color w:val="auto"/>
          <w:sz w:val="32"/>
          <w:szCs w:val="32"/>
          <w:highlight w:val="none"/>
          <w:u w:val="none"/>
          <w:lang w:eastAsia="zh-CN"/>
        </w:rPr>
        <w:t>（3）承包人提交变更报价书的期限：承包人应在收到变更指示或变更意向书后5天内，向发包人提交变更报价书。承包人逾期未提交的，视为承包人放弃就该项变更提出索赔。承包人同意由发包人委托第三方造价咨询机构进行编制变更价格文件，且承包人无条件予以认可，合同双方按发包人确定的变更金额执行。由此产生的费用由承包人承担，发包人从承包人的结算款中予以扣除。</w:t>
      </w:r>
    </w:p>
    <w:p w14:paraId="1B2123C3">
      <w:pPr>
        <w:pageBreakBefore w:val="0"/>
        <w:widowControl/>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lang w:eastAsia="zh-CN"/>
        </w:rPr>
        <w:t>（4）合同协议书约定采用单价合同形式，实际发生工程量与已标价工程量清单中列明的工程量发生增减的，按本合同专用条款第1.13条款约定执行该项目的单价。</w:t>
      </w:r>
    </w:p>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p w14:paraId="41232980">
      <w:pPr>
        <w:pageBreakBefore w:val="0"/>
        <w:kinsoku/>
        <w:wordWrap/>
        <w:overflowPunct/>
        <w:topLinePunct w:val="0"/>
        <w:bidi w:val="0"/>
        <w:adjustRightInd w:val="0"/>
        <w:snapToGrid w:val="0"/>
        <w:spacing w:line="560" w:lineRule="exact"/>
        <w:ind w:firstLine="640" w:firstLineChars="200"/>
        <w:jc w:val="both"/>
        <w:outlineLvl w:val="9"/>
        <w:rPr>
          <w:rFonts w:hint="eastAsia" w:ascii="仿宋_GB2312" w:hAnsi="仿宋_GB2312" w:eastAsia="仿宋_GB2312" w:cs="仿宋_GB2312"/>
          <w:color w:val="auto"/>
          <w:sz w:val="32"/>
          <w:szCs w:val="32"/>
          <w:highlight w:val="none"/>
          <w:u w:val="none"/>
        </w:rPr>
      </w:pPr>
      <w:bookmarkStart w:id="2325" w:name="_Toc296891237"/>
      <w:bookmarkStart w:id="2326" w:name="_Toc297048383"/>
      <w:bookmarkStart w:id="2327" w:name="_Toc296346698"/>
      <w:bookmarkStart w:id="2328" w:name="_Toc296891025"/>
      <w:bookmarkStart w:id="2329" w:name="_Toc292559402"/>
      <w:bookmarkStart w:id="2330" w:name="_Toc296944536"/>
      <w:bookmarkStart w:id="2331" w:name="_Toc296347196"/>
      <w:bookmarkStart w:id="2332" w:name="_Toc303539150"/>
      <w:bookmarkStart w:id="2333" w:name="_Toc300934993"/>
      <w:bookmarkStart w:id="2334" w:name="_Toc296503197"/>
      <w:bookmarkStart w:id="2335" w:name="_Toc297120497"/>
      <w:bookmarkStart w:id="2336" w:name="_Toc297216203"/>
      <w:bookmarkStart w:id="2337" w:name="_Toc297123544"/>
      <w:bookmarkStart w:id="2338" w:name="_Toc292559907"/>
      <w:bookmarkStart w:id="2339" w:name="_Toc17261"/>
      <w:bookmarkStart w:id="2340" w:name="_Toc12206"/>
      <w:bookmarkStart w:id="2341" w:name="_Toc28019"/>
      <w:bookmarkStart w:id="2342" w:name="_Toc4035"/>
      <w:bookmarkStart w:id="2343" w:name="_Toc20801"/>
      <w:bookmarkStart w:id="2344" w:name="_Toc312677503"/>
      <w:bookmarkStart w:id="2345" w:name="_Toc30284"/>
      <w:bookmarkStart w:id="2346" w:name="_Toc304295570"/>
      <w:bookmarkStart w:id="2347" w:name="_Toc312678029"/>
      <w:bookmarkStart w:id="2348" w:name="_Toc21392"/>
      <w:bookmarkStart w:id="2349" w:name="_Toc23052"/>
      <w:r>
        <w:rPr>
          <w:rFonts w:hint="eastAsia" w:ascii="仿宋_GB2312" w:hAnsi="仿宋_GB2312" w:eastAsia="仿宋_GB2312" w:cs="仿宋_GB2312"/>
          <w:color w:val="auto"/>
          <w:sz w:val="32"/>
          <w:szCs w:val="32"/>
          <w:highlight w:val="none"/>
          <w:u w:val="none"/>
          <w:lang w:val="en-US" w:eastAsia="zh-CN"/>
        </w:rPr>
        <w:t>10</w:t>
      </w:r>
      <w:r>
        <w:rPr>
          <w:rFonts w:hint="eastAsia" w:ascii="仿宋_GB2312" w:hAnsi="仿宋_GB2312" w:eastAsia="仿宋_GB2312" w:cs="仿宋_GB2312"/>
          <w:color w:val="auto"/>
          <w:sz w:val="32"/>
          <w:szCs w:val="32"/>
          <w:highlight w:val="none"/>
          <w:u w:val="none"/>
        </w:rPr>
        <w:t>.5</w:t>
      </w:r>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Start w:id="2350" w:name="_Toc296891243"/>
      <w:bookmarkStart w:id="2351" w:name="_Toc292559408"/>
      <w:bookmarkStart w:id="2352" w:name="_Toc296347202"/>
      <w:bookmarkStart w:id="2353" w:name="_Toc303539151"/>
      <w:bookmarkStart w:id="2354" w:name="_Toc297216204"/>
      <w:bookmarkStart w:id="2355" w:name="_Toc296944542"/>
      <w:bookmarkStart w:id="2356" w:name="_Toc296346704"/>
      <w:bookmarkStart w:id="2357" w:name="_Toc296503203"/>
      <w:bookmarkStart w:id="2358" w:name="_Toc297048389"/>
      <w:bookmarkStart w:id="2359" w:name="_Toc297123545"/>
      <w:bookmarkStart w:id="2360" w:name="_Toc292559913"/>
      <w:bookmarkStart w:id="2361" w:name="_Toc297120503"/>
      <w:bookmarkStart w:id="2362" w:name="_Toc296891031"/>
      <w:bookmarkStart w:id="2363" w:name="_Toc300934994"/>
      <w:r>
        <w:rPr>
          <w:rFonts w:hint="eastAsia" w:ascii="仿宋_GB2312" w:hAnsi="仿宋_GB2312" w:eastAsia="仿宋_GB2312" w:cs="仿宋_GB2312"/>
          <w:color w:val="auto"/>
          <w:sz w:val="32"/>
          <w:szCs w:val="32"/>
          <w:highlight w:val="none"/>
          <w:u w:val="none"/>
        </w:rPr>
        <w:t>承包人的合理化建议</w:t>
      </w:r>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p>
    <w:p w14:paraId="15F25831">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监理人审查承包人合理化建议的期限：</w:t>
      </w:r>
      <w:r>
        <w:rPr>
          <w:rFonts w:hint="eastAsia" w:ascii="仿宋_GB2312" w:hAnsi="仿宋_GB2312" w:eastAsia="仿宋_GB2312" w:cs="仿宋_GB2312"/>
          <w:color w:val="auto"/>
          <w:sz w:val="32"/>
          <w:szCs w:val="32"/>
          <w:highlight w:val="none"/>
          <w:u w:val="single"/>
        </w:rPr>
        <w:t>/</w:t>
      </w:r>
      <w:r>
        <w:rPr>
          <w:rFonts w:hint="eastAsia" w:ascii="仿宋_GB2312" w:hAnsi="仿宋_GB2312" w:eastAsia="仿宋_GB2312" w:cs="仿宋_GB2312"/>
          <w:color w:val="auto"/>
          <w:sz w:val="32"/>
          <w:szCs w:val="32"/>
          <w:highlight w:val="none"/>
        </w:rPr>
        <w:t>。</w:t>
      </w:r>
    </w:p>
    <w:p w14:paraId="1ED8D146">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发包人审批承包人合理化建议的期限：</w:t>
      </w:r>
      <w:r>
        <w:rPr>
          <w:rFonts w:hint="eastAsia" w:ascii="仿宋_GB2312" w:hAnsi="仿宋_GB2312" w:eastAsia="仿宋_GB2312" w:cs="仿宋_GB2312"/>
          <w:color w:val="auto"/>
          <w:sz w:val="32"/>
          <w:szCs w:val="32"/>
          <w:highlight w:val="none"/>
          <w:u w:val="single"/>
        </w:rPr>
        <w:t>/</w:t>
      </w:r>
      <w:r>
        <w:rPr>
          <w:rFonts w:hint="eastAsia" w:ascii="仿宋_GB2312" w:hAnsi="仿宋_GB2312" w:eastAsia="仿宋_GB2312" w:cs="仿宋_GB2312"/>
          <w:color w:val="auto"/>
          <w:sz w:val="32"/>
          <w:szCs w:val="32"/>
          <w:highlight w:val="none"/>
        </w:rPr>
        <w:t>。</w:t>
      </w:r>
    </w:p>
    <w:p w14:paraId="289B0460">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single"/>
        </w:rPr>
      </w:pPr>
      <w:bookmarkStart w:id="2364" w:name="_Toc296347203"/>
      <w:bookmarkStart w:id="2365" w:name="_Toc296346705"/>
      <w:bookmarkStart w:id="2366" w:name="_Toc297123546"/>
      <w:bookmarkStart w:id="2367" w:name="_Toc296503204"/>
      <w:bookmarkStart w:id="2368" w:name="_Toc297216205"/>
      <w:bookmarkStart w:id="2369" w:name="_Toc292559409"/>
      <w:bookmarkStart w:id="2370" w:name="_Toc312678030"/>
      <w:bookmarkStart w:id="2371" w:name="_Toc297120504"/>
      <w:bookmarkStart w:id="2372" w:name="_Toc292559914"/>
      <w:bookmarkStart w:id="2373" w:name="_Toc296891244"/>
      <w:bookmarkStart w:id="2374" w:name="_Toc296944543"/>
      <w:bookmarkStart w:id="2375" w:name="_Toc303539152"/>
      <w:bookmarkStart w:id="2376" w:name="_Toc312677504"/>
      <w:bookmarkStart w:id="2377" w:name="_Toc318581175"/>
      <w:bookmarkStart w:id="2378" w:name="_Toc296891032"/>
      <w:bookmarkStart w:id="2379" w:name="_Toc300934995"/>
      <w:bookmarkStart w:id="2380" w:name="_Toc304295571"/>
      <w:bookmarkStart w:id="2381" w:name="_Toc297048390"/>
      <w:r>
        <w:rPr>
          <w:rFonts w:hint="eastAsia" w:ascii="仿宋_GB2312" w:hAnsi="仿宋_GB2312" w:eastAsia="仿宋_GB2312" w:cs="仿宋_GB2312"/>
          <w:color w:val="auto"/>
          <w:sz w:val="32"/>
          <w:szCs w:val="32"/>
          <w:highlight w:val="none"/>
        </w:rPr>
        <w:t>承包人提出的合理化建议降低了合同价格或者提高了工程经济效益的奖励的方法和金额为：</w:t>
      </w:r>
      <w:r>
        <w:rPr>
          <w:rFonts w:hint="eastAsia" w:ascii="仿宋_GB2312" w:hAnsi="仿宋_GB2312" w:eastAsia="仿宋_GB2312" w:cs="仿宋_GB2312"/>
          <w:color w:val="auto"/>
          <w:sz w:val="32"/>
          <w:szCs w:val="32"/>
          <w:highlight w:val="none"/>
          <w:u w:val="single"/>
        </w:rPr>
        <w:t>/</w:t>
      </w:r>
      <w:r>
        <w:rPr>
          <w:rFonts w:hint="eastAsia" w:ascii="仿宋_GB2312" w:hAnsi="仿宋_GB2312" w:eastAsia="仿宋_GB2312" w:cs="仿宋_GB2312"/>
          <w:color w:val="auto"/>
          <w:sz w:val="32"/>
          <w:szCs w:val="32"/>
          <w:highlight w:val="none"/>
        </w:rPr>
        <w:t>。</w:t>
      </w:r>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p>
    <w:p w14:paraId="118A0C10">
      <w:pPr>
        <w:pageBreakBefore w:val="0"/>
        <w:kinsoku/>
        <w:wordWrap/>
        <w:overflowPunct/>
        <w:topLinePunct w:val="0"/>
        <w:bidi w:val="0"/>
        <w:adjustRightInd w:val="0"/>
        <w:snapToGrid w:val="0"/>
        <w:spacing w:line="560" w:lineRule="exact"/>
        <w:ind w:firstLine="640" w:firstLineChars="200"/>
        <w:jc w:val="both"/>
        <w:outlineLvl w:val="9"/>
        <w:rPr>
          <w:rFonts w:hint="eastAsia" w:ascii="仿宋_GB2312" w:hAnsi="仿宋_GB2312" w:eastAsia="仿宋_GB2312" w:cs="仿宋_GB2312"/>
          <w:color w:val="auto"/>
          <w:sz w:val="32"/>
          <w:szCs w:val="32"/>
          <w:highlight w:val="none"/>
        </w:rPr>
      </w:pPr>
      <w:bookmarkStart w:id="2382" w:name="_Toc16920"/>
      <w:bookmarkStart w:id="2383" w:name="_Toc300934997"/>
      <w:bookmarkStart w:id="2384" w:name="_Toc9387"/>
      <w:bookmarkStart w:id="2385" w:name="_Toc292559909"/>
      <w:bookmarkStart w:id="2386" w:name="_Toc24285"/>
      <w:bookmarkStart w:id="2387" w:name="_Toc297120499"/>
      <w:bookmarkStart w:id="2388" w:name="_Toc296346700"/>
      <w:bookmarkStart w:id="2389" w:name="_Toc296503199"/>
      <w:bookmarkStart w:id="2390" w:name="_Toc297216207"/>
      <w:bookmarkStart w:id="2391" w:name="_Toc19596"/>
      <w:bookmarkStart w:id="2392" w:name="_Toc312677507"/>
      <w:bookmarkStart w:id="2393" w:name="_Toc19"/>
      <w:bookmarkStart w:id="2394" w:name="_Toc296891027"/>
      <w:bookmarkStart w:id="2395" w:name="_Toc296891239"/>
      <w:bookmarkStart w:id="2396" w:name="_Toc31785"/>
      <w:bookmarkStart w:id="2397" w:name="_Toc312678033"/>
      <w:bookmarkStart w:id="2398" w:name="_Toc292559404"/>
      <w:bookmarkStart w:id="2399" w:name="_Toc297123548"/>
      <w:bookmarkStart w:id="2400" w:name="_Toc297048385"/>
      <w:bookmarkStart w:id="2401" w:name="_Toc296944538"/>
      <w:bookmarkStart w:id="2402" w:name="_Toc296347198"/>
      <w:bookmarkStart w:id="2403" w:name="_Toc303539154"/>
      <w:bookmarkStart w:id="2404" w:name="_Toc9668"/>
      <w:bookmarkStart w:id="2405" w:name="_Toc304295574"/>
      <w:bookmarkStart w:id="2406" w:name="_Toc28209"/>
      <w:r>
        <w:rPr>
          <w:rFonts w:hint="eastAsia" w:ascii="仿宋_GB2312" w:hAnsi="仿宋_GB2312" w:eastAsia="仿宋_GB2312" w:cs="仿宋_GB2312"/>
          <w:color w:val="auto"/>
          <w:sz w:val="32"/>
          <w:szCs w:val="32"/>
          <w:highlight w:val="none"/>
          <w:lang w:val="en-US" w:eastAsia="zh-CN"/>
        </w:rPr>
        <w:t>10</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7</w:t>
      </w:r>
      <w:r>
        <w:rPr>
          <w:rFonts w:hint="eastAsia" w:ascii="仿宋_GB2312" w:hAnsi="仿宋_GB2312" w:eastAsia="仿宋_GB2312" w:cs="仿宋_GB2312"/>
          <w:color w:val="auto"/>
          <w:sz w:val="32"/>
          <w:szCs w:val="32"/>
          <w:highlight w:val="none"/>
        </w:rPr>
        <w:t xml:space="preserve"> 暂估价</w:t>
      </w:r>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p>
    <w:p w14:paraId="46584520">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bookmarkStart w:id="2407" w:name="_Toc318581176"/>
      <w:bookmarkStart w:id="2408" w:name="_Toc312677508"/>
      <w:bookmarkStart w:id="2409" w:name="_Toc312678034"/>
      <w:r>
        <w:rPr>
          <w:rFonts w:hint="eastAsia" w:ascii="仿宋_GB2312" w:hAnsi="仿宋_GB2312" w:eastAsia="仿宋_GB2312" w:cs="仿宋_GB2312"/>
          <w:color w:val="auto"/>
          <w:kern w:val="0"/>
          <w:sz w:val="32"/>
          <w:szCs w:val="32"/>
          <w:highlight w:val="none"/>
        </w:rPr>
        <w:t>暂估价材料和工程设备的明细详见附件7：《</w:t>
      </w:r>
      <w:r>
        <w:rPr>
          <w:rFonts w:hint="eastAsia" w:ascii="仿宋_GB2312" w:hAnsi="仿宋_GB2312" w:eastAsia="仿宋_GB2312" w:cs="仿宋_GB2312"/>
          <w:color w:val="auto"/>
          <w:sz w:val="32"/>
          <w:szCs w:val="32"/>
          <w:highlight w:val="none"/>
        </w:rPr>
        <w:t>暂估价汇总表》</w:t>
      </w:r>
      <w:r>
        <w:rPr>
          <w:rFonts w:hint="eastAsia" w:ascii="仿宋_GB2312" w:hAnsi="仿宋_GB2312" w:eastAsia="仿宋_GB2312" w:cs="仿宋_GB2312"/>
          <w:color w:val="auto"/>
          <w:kern w:val="0"/>
          <w:sz w:val="32"/>
          <w:szCs w:val="32"/>
          <w:highlight w:val="none"/>
        </w:rPr>
        <w:t>。</w:t>
      </w:r>
      <w:bookmarkEnd w:id="2407"/>
      <w:bookmarkEnd w:id="2408"/>
      <w:bookmarkEnd w:id="2409"/>
    </w:p>
    <w:p w14:paraId="3381351D">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bookmarkStart w:id="2410" w:name="_Toc312678035"/>
      <w:bookmarkStart w:id="2411" w:name="_Toc318581177"/>
      <w:bookmarkStart w:id="2412" w:name="_Toc312677509"/>
      <w:r>
        <w:rPr>
          <w:rFonts w:hint="eastAsia" w:ascii="仿宋_GB2312" w:hAnsi="仿宋_GB2312" w:eastAsia="仿宋_GB2312" w:cs="仿宋_GB2312"/>
          <w:color w:val="auto"/>
          <w:sz w:val="32"/>
          <w:szCs w:val="32"/>
          <w:highlight w:val="none"/>
          <w:lang w:val="en-US" w:eastAsia="zh-CN"/>
        </w:rPr>
        <w:t>10</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7</w:t>
      </w:r>
      <w:r>
        <w:rPr>
          <w:rFonts w:hint="eastAsia" w:ascii="仿宋_GB2312" w:hAnsi="仿宋_GB2312" w:eastAsia="仿宋_GB2312" w:cs="仿宋_GB2312"/>
          <w:color w:val="auto"/>
          <w:sz w:val="32"/>
          <w:szCs w:val="32"/>
          <w:highlight w:val="none"/>
        </w:rPr>
        <w:t>.1 依法必须招标的暂估价项目</w:t>
      </w:r>
      <w:bookmarkEnd w:id="2410"/>
      <w:bookmarkEnd w:id="2411"/>
      <w:bookmarkEnd w:id="2412"/>
    </w:p>
    <w:p w14:paraId="1B28638B">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对于依法必须招标的暂估价项目，对该暂估价项目的确认和批准按照以下约定执行：</w:t>
      </w:r>
    </w:p>
    <w:p w14:paraId="6CBAEC9D">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1.承包人不参与投标的，由承包人作为招标人，且与组织招标工作有关的费用已经包含在合同价款中，后续不调整。承包人应当根据施工进度计划及以下约定开展招标工作：</w:t>
      </w:r>
    </w:p>
    <w:p w14:paraId="5C61E0A6">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1）招标工程量清单中给定暂估价的材料和工程设备：由承包人开展招标工作，在招标工作启动前14天，承包人将经监理人审核后的招标控制价报送发包人审查，发包人应当在收到承包人报送的招标控制价资料后7天内审批或提出修改意见，发包人有权确定招标控制价（原则上不超过合同暂估价）；承包人应当按照发包人的审批（或修改）意见开展招标工作。发包人与承包人之间的材料暂估价或工程设备暂估价结算方式为：以材料暂估价或工程设备暂估价项目的中标价为依据取代材料暂估价或工程设备暂估价，调整合同价款。</w:t>
      </w:r>
    </w:p>
    <w:p w14:paraId="248A70DA">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（2）招标工程量清单中给定暂估价的专业工程：在招标工作启动前14天</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lang w:val="en-US" w:eastAsia="zh-CN"/>
        </w:rPr>
        <w:t>承包人</w:t>
      </w:r>
      <w:r>
        <w:rPr>
          <w:rFonts w:hint="eastAsia" w:ascii="仿宋_GB2312" w:hAnsi="仿宋_GB2312" w:eastAsia="仿宋_GB2312" w:cs="仿宋_GB2312"/>
          <w:color w:val="auto"/>
          <w:sz w:val="32"/>
          <w:szCs w:val="32"/>
          <w:highlight w:val="none"/>
          <w:u w:val="none"/>
        </w:rPr>
        <w:t>将经</w:t>
      </w:r>
      <w:r>
        <w:rPr>
          <w:rFonts w:hint="eastAsia" w:ascii="仿宋_GB2312" w:hAnsi="仿宋_GB2312" w:eastAsia="仿宋_GB2312" w:cs="仿宋_GB2312"/>
          <w:color w:val="auto"/>
          <w:sz w:val="32"/>
          <w:szCs w:val="32"/>
          <w:highlight w:val="none"/>
          <w:u w:val="none"/>
          <w:lang w:eastAsia="zh-CN"/>
        </w:rPr>
        <w:t>监理人</w:t>
      </w:r>
      <w:r>
        <w:rPr>
          <w:rFonts w:hint="eastAsia" w:ascii="仿宋_GB2312" w:hAnsi="仿宋_GB2312" w:eastAsia="仿宋_GB2312" w:cs="仿宋_GB2312"/>
          <w:color w:val="auto"/>
          <w:sz w:val="32"/>
          <w:szCs w:val="32"/>
          <w:highlight w:val="none"/>
          <w:u w:val="none"/>
        </w:rPr>
        <w:t>审核后的招标控制价报送发包人审查，发包人应当在收到承包人报送的招标控制价资料后7天内审批或提出修改意见，发包人有权确定招标控制价（原则上不超过合同暂估价）；承包人应当按照发包人的审批（或修改）意见开展招标工作。发包人与承包人之间的专业工程暂估价结算方式为：以专业工程暂估价项目的中标价为依据取代专业工程暂估价，调整合同价款。</w:t>
      </w:r>
    </w:p>
    <w:p w14:paraId="491E77C1">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（3）承包人应当在其与中标供应商或中标分包人签订暂估价项目合同后7天内，将中标供应商或中标分包人的资料及合同副本报送</w:t>
      </w:r>
      <w:r>
        <w:rPr>
          <w:rFonts w:hint="eastAsia" w:ascii="仿宋_GB2312" w:hAnsi="仿宋_GB2312" w:eastAsia="仿宋_GB2312" w:cs="仿宋_GB2312"/>
          <w:color w:val="auto"/>
          <w:sz w:val="32"/>
          <w:szCs w:val="32"/>
          <w:highlight w:val="none"/>
          <w:u w:val="none"/>
          <w:lang w:eastAsia="zh-CN"/>
        </w:rPr>
        <w:t>发包人</w:t>
      </w:r>
      <w:r>
        <w:rPr>
          <w:rFonts w:hint="eastAsia" w:ascii="仿宋_GB2312" w:hAnsi="仿宋_GB2312" w:eastAsia="仿宋_GB2312" w:cs="仿宋_GB2312"/>
          <w:color w:val="auto"/>
          <w:sz w:val="32"/>
          <w:szCs w:val="32"/>
          <w:highlight w:val="none"/>
          <w:u w:val="none"/>
        </w:rPr>
        <w:t>。</w:t>
      </w:r>
    </w:p>
    <w:p w14:paraId="3C5FD37E">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single"/>
        </w:rPr>
      </w:pPr>
      <w:r>
        <w:rPr>
          <w:rFonts w:hint="eastAsia" w:ascii="仿宋_GB2312" w:hAnsi="仿宋_GB2312" w:eastAsia="仿宋_GB2312" w:cs="仿宋_GB2312"/>
          <w:color w:val="auto"/>
          <w:sz w:val="32"/>
          <w:szCs w:val="32"/>
          <w:highlight w:val="none"/>
          <w:u w:val="none"/>
        </w:rPr>
        <w:t>2.</w:t>
      </w:r>
      <w:r>
        <w:rPr>
          <w:rFonts w:hint="eastAsia" w:ascii="仿宋_GB2312" w:hAnsi="仿宋_GB2312" w:eastAsia="仿宋_GB2312" w:cs="仿宋_GB2312"/>
          <w:color w:val="auto"/>
          <w:sz w:val="32"/>
          <w:szCs w:val="32"/>
          <w:highlight w:val="none"/>
          <w:u w:val="single"/>
        </w:rPr>
        <w:t>承包人参与投标的，由发包人作为招标人并开展暂估价项目的招标工作。材料、工程设备暂估价由发包人以招标的方式选择供应商，确定价格，并应以此为依据取代暂估价，调整合同价款计入结算。专业工程暂估价项目的结算由发包人与中标分包人按该专业工程暂估中标含税总价计入结算。</w:t>
      </w:r>
    </w:p>
    <w:p w14:paraId="54AB8E51">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single"/>
        </w:rPr>
        <w:t>承包人应对暂估价项目的中标分包人进行总承包管理和协调，并同时提供相关配合服务，发包人不另行支付费用。</w:t>
      </w:r>
      <w:r>
        <w:rPr>
          <w:rFonts w:hint="eastAsia" w:ascii="仿宋_GB2312" w:hAnsi="仿宋_GB2312" w:eastAsia="仿宋_GB2312" w:cs="仿宋_GB2312"/>
          <w:color w:val="auto"/>
          <w:sz w:val="32"/>
          <w:szCs w:val="32"/>
          <w:highlight w:val="none"/>
          <w:u w:val="none"/>
        </w:rPr>
        <w:t>。</w:t>
      </w:r>
    </w:p>
    <w:p w14:paraId="5F732D4C">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10</w:t>
      </w:r>
      <w:r>
        <w:rPr>
          <w:rFonts w:hint="eastAsia" w:ascii="仿宋_GB2312" w:hAnsi="仿宋_GB2312" w:eastAsia="仿宋_GB2312" w:cs="仿宋_GB2312"/>
          <w:color w:val="auto"/>
          <w:sz w:val="32"/>
          <w:szCs w:val="32"/>
          <w:highlight w:val="none"/>
        </w:rPr>
        <w:t>.7</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 xml:space="preserve"> 不属于依法必须招标的暂估价项目</w:t>
      </w:r>
    </w:p>
    <w:p w14:paraId="3CBC2D33">
      <w:pPr>
        <w:pageBreakBefore w:val="0"/>
        <w:kinsoku/>
        <w:wordWrap/>
        <w:overflowPunct/>
        <w:topLinePunct w:val="0"/>
        <w:bidi w:val="0"/>
        <w:adjustRightInd/>
        <w:snapToGrid/>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对于</w:t>
      </w:r>
      <w:r>
        <w:rPr>
          <w:rFonts w:hint="eastAsia" w:ascii="仿宋_GB2312" w:hAnsi="仿宋_GB2312" w:eastAsia="仿宋_GB2312" w:cs="仿宋_GB2312"/>
          <w:color w:val="auto"/>
          <w:sz w:val="32"/>
          <w:szCs w:val="32"/>
          <w:highlight w:val="none"/>
          <w:u w:val="none"/>
          <w:lang w:val="en-US" w:eastAsia="zh-CN"/>
        </w:rPr>
        <w:t>不属于</w:t>
      </w:r>
      <w:r>
        <w:rPr>
          <w:rFonts w:hint="eastAsia" w:ascii="仿宋_GB2312" w:hAnsi="仿宋_GB2312" w:eastAsia="仿宋_GB2312" w:cs="仿宋_GB2312"/>
          <w:color w:val="auto"/>
          <w:sz w:val="32"/>
          <w:szCs w:val="32"/>
          <w:highlight w:val="none"/>
          <w:u w:val="none"/>
        </w:rPr>
        <w:t>依法必须招标的暂估价项目，对该暂估价项目的确认和批准按照以下约定执行：</w:t>
      </w:r>
    </w:p>
    <w:p w14:paraId="4877F578">
      <w:pPr>
        <w:pageBreakBefore w:val="0"/>
        <w:kinsoku/>
        <w:wordWrap/>
        <w:overflowPunct/>
        <w:topLinePunct w:val="0"/>
        <w:bidi w:val="0"/>
        <w:adjustRightInd/>
        <w:snapToGrid/>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lang w:val="en-US" w:eastAsia="zh-CN"/>
        </w:rPr>
        <w:t>1.</w:t>
      </w:r>
      <w:r>
        <w:rPr>
          <w:rFonts w:hint="eastAsia" w:ascii="仿宋_GB2312" w:hAnsi="仿宋_GB2312" w:eastAsia="仿宋_GB2312" w:cs="仿宋_GB2312"/>
          <w:color w:val="auto"/>
          <w:sz w:val="32"/>
          <w:szCs w:val="32"/>
          <w:highlight w:val="none"/>
          <w:lang w:val="en-US" w:eastAsia="zh-CN"/>
        </w:rPr>
        <w:t>发包人在招标工程量清单中给定的暂估价材料、工程设备不属于依法必须招标的，应由承包人按合同约定采购，经发包人确认价格单价后取代暂估价，调整合同价款。</w:t>
      </w:r>
    </w:p>
    <w:p w14:paraId="3FC5145D">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000000"/>
          <w:kern w:val="0"/>
          <w:sz w:val="32"/>
          <w:szCs w:val="32"/>
          <w:highlight w:val="none"/>
          <w:u w:val="none"/>
          <w:lang w:val="en-US" w:eastAsia="zh-CN"/>
        </w:rPr>
      </w:pPr>
      <w:r>
        <w:rPr>
          <w:rFonts w:hint="eastAsia" w:ascii="仿宋_GB2312" w:hAnsi="仿宋_GB2312" w:eastAsia="仿宋_GB2312" w:cs="仿宋_GB2312"/>
          <w:color w:val="000000"/>
          <w:kern w:val="0"/>
          <w:sz w:val="32"/>
          <w:szCs w:val="32"/>
          <w:highlight w:val="none"/>
          <w:u w:val="none"/>
          <w:lang w:val="en-US" w:eastAsia="zh-CN"/>
        </w:rPr>
        <w:t>2.发包人在招标工程量清单中给定的专业工程暂估价，</w:t>
      </w:r>
      <w:r>
        <w:rPr>
          <w:rFonts w:hint="eastAsia" w:ascii="仿宋_GB2312" w:hAnsi="仿宋_GB2312" w:eastAsia="仿宋_GB2312" w:cs="仿宋_GB2312"/>
          <w:color w:val="000000"/>
          <w:kern w:val="0"/>
          <w:sz w:val="32"/>
          <w:szCs w:val="32"/>
          <w:highlight w:val="none"/>
          <w:u w:val="none"/>
        </w:rPr>
        <w:t>承包人具备实施暂估价项目的资格和条件的，采取通用条款</w:t>
      </w:r>
      <w:r>
        <w:rPr>
          <w:rFonts w:hint="eastAsia" w:ascii="仿宋_GB2312" w:hAnsi="仿宋_GB2312" w:eastAsia="仿宋_GB2312" w:cs="仿宋_GB2312"/>
          <w:color w:val="000000"/>
          <w:kern w:val="0"/>
          <w:sz w:val="32"/>
          <w:szCs w:val="32"/>
          <w:highlight w:val="none"/>
          <w:u w:val="none"/>
          <w:lang w:val="en-US" w:eastAsia="zh-CN"/>
        </w:rPr>
        <w:t>第10.7.2条中</w:t>
      </w:r>
      <w:r>
        <w:rPr>
          <w:rFonts w:hint="eastAsia" w:ascii="仿宋_GB2312" w:hAnsi="仿宋_GB2312" w:eastAsia="仿宋_GB2312" w:cs="仿宋_GB2312"/>
          <w:color w:val="000000"/>
          <w:kern w:val="0"/>
          <w:sz w:val="32"/>
          <w:szCs w:val="32"/>
          <w:highlight w:val="none"/>
          <w:u w:val="none"/>
        </w:rPr>
        <w:t>第3种方式确定。承包人不具备实施暂估价项目的资格和条件的，采取通用条款</w:t>
      </w:r>
      <w:r>
        <w:rPr>
          <w:rFonts w:hint="eastAsia" w:ascii="仿宋_GB2312" w:hAnsi="仿宋_GB2312" w:eastAsia="仿宋_GB2312" w:cs="仿宋_GB2312"/>
          <w:color w:val="000000"/>
          <w:kern w:val="0"/>
          <w:sz w:val="32"/>
          <w:szCs w:val="32"/>
          <w:highlight w:val="none"/>
          <w:u w:val="none"/>
          <w:lang w:val="en-US" w:eastAsia="zh-CN"/>
        </w:rPr>
        <w:t>第10.7.2条中</w:t>
      </w:r>
      <w:r>
        <w:rPr>
          <w:rFonts w:hint="eastAsia" w:ascii="仿宋_GB2312" w:hAnsi="仿宋_GB2312" w:eastAsia="仿宋_GB2312" w:cs="仿宋_GB2312"/>
          <w:color w:val="000000"/>
          <w:kern w:val="0"/>
          <w:sz w:val="32"/>
          <w:szCs w:val="32"/>
          <w:highlight w:val="none"/>
          <w:u w:val="none"/>
        </w:rPr>
        <w:t>第1种方式确定；暂估价项目的价格确定方式按本合同专用条款第</w:t>
      </w:r>
      <w:r>
        <w:rPr>
          <w:rFonts w:hint="eastAsia" w:ascii="仿宋_GB2312" w:hAnsi="仿宋_GB2312" w:eastAsia="仿宋_GB2312" w:cs="仿宋_GB2312"/>
          <w:color w:val="000000"/>
          <w:kern w:val="0"/>
          <w:sz w:val="32"/>
          <w:szCs w:val="32"/>
          <w:highlight w:val="none"/>
          <w:u w:val="none"/>
          <w:lang w:val="en-US" w:eastAsia="zh-CN"/>
        </w:rPr>
        <w:t>10</w:t>
      </w:r>
      <w:r>
        <w:rPr>
          <w:rFonts w:hint="eastAsia" w:ascii="仿宋_GB2312" w:hAnsi="仿宋_GB2312" w:eastAsia="仿宋_GB2312" w:cs="仿宋_GB2312"/>
          <w:color w:val="000000"/>
          <w:kern w:val="0"/>
          <w:sz w:val="32"/>
          <w:szCs w:val="32"/>
          <w:highlight w:val="none"/>
          <w:u w:val="none"/>
        </w:rPr>
        <w:t>.4.1条执行</w:t>
      </w:r>
      <w:r>
        <w:rPr>
          <w:rFonts w:hint="eastAsia" w:ascii="仿宋_GB2312" w:hAnsi="仿宋_GB2312" w:eastAsia="仿宋_GB2312" w:cs="仿宋_GB2312"/>
          <w:color w:val="000000"/>
          <w:kern w:val="0"/>
          <w:sz w:val="32"/>
          <w:szCs w:val="32"/>
          <w:highlight w:val="none"/>
          <w:u w:val="none"/>
          <w:lang w:eastAsia="zh-CN"/>
        </w:rPr>
        <w:t>，</w:t>
      </w:r>
      <w:r>
        <w:rPr>
          <w:rFonts w:hint="eastAsia" w:ascii="仿宋_GB2312" w:hAnsi="仿宋_GB2312" w:eastAsia="仿宋_GB2312" w:cs="仿宋_GB2312"/>
          <w:color w:val="000000"/>
          <w:kern w:val="0"/>
          <w:sz w:val="32"/>
          <w:szCs w:val="32"/>
          <w:highlight w:val="none"/>
          <w:u w:val="none"/>
          <w:lang w:val="en-US" w:eastAsia="zh-CN"/>
        </w:rPr>
        <w:t>并应以此为依据取代专业工程暂估价，调整合同价款。</w:t>
      </w:r>
    </w:p>
    <w:p w14:paraId="795EC0F9">
      <w:pPr>
        <w:pageBreakBefore w:val="0"/>
        <w:kinsoku/>
        <w:wordWrap/>
        <w:overflowPunct/>
        <w:topLinePunct w:val="0"/>
        <w:bidi w:val="0"/>
        <w:adjustRightInd w:val="0"/>
        <w:snapToGrid w:val="0"/>
        <w:spacing w:line="560" w:lineRule="exact"/>
        <w:ind w:firstLine="640" w:firstLineChars="200"/>
        <w:jc w:val="both"/>
        <w:outlineLvl w:val="9"/>
        <w:rPr>
          <w:rFonts w:hint="default" w:ascii="仿宋_GB2312" w:hAnsi="仿宋_GB2312" w:eastAsia="仿宋_GB2312" w:cs="仿宋_GB2312"/>
          <w:color w:val="auto"/>
          <w:sz w:val="32"/>
          <w:szCs w:val="32"/>
          <w:highlight w:val="none"/>
          <w:lang w:val="en-US" w:eastAsia="zh-CN"/>
        </w:rPr>
      </w:pPr>
      <w:bookmarkStart w:id="2413" w:name="_Toc13884"/>
      <w:bookmarkStart w:id="2414" w:name="_Toc17330"/>
      <w:bookmarkStart w:id="2415" w:name="_Toc30756"/>
      <w:bookmarkStart w:id="2416" w:name="_Toc1625"/>
      <w:bookmarkStart w:id="2417" w:name="_Toc30511"/>
      <w:bookmarkStart w:id="2418" w:name="_Toc16846"/>
      <w:bookmarkStart w:id="2419" w:name="_Toc20998"/>
      <w:bookmarkStart w:id="2420" w:name="_Toc28981"/>
      <w:r>
        <w:rPr>
          <w:rFonts w:hint="eastAsia" w:ascii="仿宋_GB2312" w:hAnsi="仿宋_GB2312" w:eastAsia="仿宋_GB2312" w:cs="仿宋_GB2312"/>
          <w:color w:val="auto"/>
          <w:sz w:val="32"/>
          <w:szCs w:val="32"/>
          <w:highlight w:val="none"/>
          <w:lang w:val="en-US" w:eastAsia="zh-CN"/>
        </w:rPr>
        <w:t>3.</w:t>
      </w:r>
      <w:r>
        <w:rPr>
          <w:rFonts w:hint="default" w:ascii="仿宋_GB2312" w:hAnsi="仿宋_GB2312" w:eastAsia="仿宋_GB2312" w:cs="仿宋_GB2312"/>
          <w:color w:val="auto"/>
          <w:sz w:val="32"/>
          <w:szCs w:val="32"/>
          <w:highlight w:val="none"/>
          <w:lang w:val="en-US" w:eastAsia="zh-CN"/>
        </w:rPr>
        <w:t>暂估价项目的价格确定方式按本合同专用条款第</w:t>
      </w:r>
      <w:r>
        <w:rPr>
          <w:rFonts w:hint="eastAsia" w:ascii="仿宋_GB2312" w:hAnsi="仿宋_GB2312" w:eastAsia="仿宋_GB2312" w:cs="仿宋_GB2312"/>
          <w:color w:val="auto"/>
          <w:sz w:val="32"/>
          <w:szCs w:val="32"/>
          <w:highlight w:val="none"/>
          <w:lang w:val="en-US" w:eastAsia="zh-CN"/>
        </w:rPr>
        <w:t>10</w:t>
      </w:r>
      <w:r>
        <w:rPr>
          <w:rFonts w:hint="default" w:ascii="仿宋_GB2312" w:hAnsi="仿宋_GB2312" w:eastAsia="仿宋_GB2312" w:cs="仿宋_GB2312"/>
          <w:color w:val="auto"/>
          <w:sz w:val="32"/>
          <w:szCs w:val="32"/>
          <w:highlight w:val="none"/>
          <w:lang w:val="en-US" w:eastAsia="zh-CN"/>
        </w:rPr>
        <w:t>.4.1条执行，并应以此为依据取代暂估价，调整合同价款。</w:t>
      </w:r>
    </w:p>
    <w:p w14:paraId="78F401BE">
      <w:pPr>
        <w:pageBreakBefore w:val="0"/>
        <w:kinsoku/>
        <w:wordWrap/>
        <w:overflowPunct/>
        <w:topLinePunct w:val="0"/>
        <w:bidi w:val="0"/>
        <w:adjustRightInd w:val="0"/>
        <w:snapToGrid w:val="0"/>
        <w:spacing w:line="560" w:lineRule="exact"/>
        <w:ind w:firstLine="640" w:firstLineChars="200"/>
        <w:jc w:val="both"/>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10</w:t>
      </w:r>
      <w:r>
        <w:rPr>
          <w:rFonts w:hint="eastAsia" w:ascii="仿宋_GB2312" w:hAnsi="仿宋_GB2312" w:eastAsia="仿宋_GB2312" w:cs="仿宋_GB2312"/>
          <w:color w:val="auto"/>
          <w:sz w:val="32"/>
          <w:szCs w:val="32"/>
          <w:highlight w:val="none"/>
        </w:rPr>
        <w:t>.8 暂列金额</w:t>
      </w:r>
      <w:bookmarkEnd w:id="2413"/>
      <w:bookmarkEnd w:id="2414"/>
      <w:bookmarkEnd w:id="2415"/>
      <w:bookmarkEnd w:id="2416"/>
      <w:bookmarkEnd w:id="2417"/>
      <w:bookmarkEnd w:id="2418"/>
      <w:bookmarkEnd w:id="2419"/>
      <w:bookmarkEnd w:id="2420"/>
    </w:p>
    <w:p w14:paraId="4F7C80DA">
      <w:pPr>
        <w:pageBreakBefore w:val="0"/>
        <w:kinsoku/>
        <w:wordWrap/>
        <w:overflowPunct/>
        <w:topLinePunct w:val="0"/>
        <w:autoSpaceDE w:val="0"/>
        <w:autoSpaceDN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合同当事人关于暂列金额使用的约定：归发包人所有，</w:t>
      </w:r>
      <w:r>
        <w:rPr>
          <w:rFonts w:hint="eastAsia" w:ascii="仿宋_GB2312" w:hAnsi="仿宋_GB2312" w:eastAsia="仿宋_GB2312" w:cs="仿宋_GB2312"/>
          <w:color w:val="auto"/>
          <w:sz w:val="32"/>
          <w:szCs w:val="32"/>
          <w:highlight w:val="none"/>
          <w:u w:val="none"/>
        </w:rPr>
        <w:t>由发包人根据建设需要审核使用</w:t>
      </w:r>
      <w:r>
        <w:rPr>
          <w:rFonts w:hint="eastAsia" w:ascii="仿宋_GB2312" w:hAnsi="仿宋_GB2312" w:eastAsia="仿宋_GB2312" w:cs="仿宋_GB2312"/>
          <w:color w:val="auto"/>
          <w:kern w:val="0"/>
          <w:sz w:val="32"/>
          <w:szCs w:val="32"/>
          <w:highlight w:val="none"/>
        </w:rPr>
        <w:t>。</w:t>
      </w:r>
      <w:bookmarkStart w:id="2421" w:name="_Toc351203643"/>
    </w:p>
    <w:p w14:paraId="4540C890">
      <w:pPr>
        <w:pageBreakBefore w:val="0"/>
        <w:widowControl/>
        <w:kinsoku/>
        <w:wordWrap/>
        <w:overflowPunct/>
        <w:topLinePunct w:val="0"/>
        <w:bidi w:val="0"/>
        <w:adjustRightInd w:val="0"/>
        <w:snapToGrid w:val="0"/>
        <w:spacing w:line="560" w:lineRule="exact"/>
        <w:ind w:firstLine="640" w:firstLineChars="200"/>
        <w:jc w:val="both"/>
        <w:outlineLvl w:val="9"/>
        <w:rPr>
          <w:rFonts w:hint="eastAsia" w:ascii="黑体" w:hAnsi="黑体" w:eastAsia="黑体" w:cs="黑体"/>
          <w:b w:val="0"/>
          <w:bCs/>
          <w:color w:val="auto"/>
          <w:sz w:val="32"/>
          <w:szCs w:val="32"/>
          <w:highlight w:val="none"/>
        </w:rPr>
      </w:pPr>
      <w:bookmarkStart w:id="2422" w:name="_Toc21327"/>
      <w:bookmarkStart w:id="2423" w:name="_Toc8270"/>
      <w:bookmarkStart w:id="2424" w:name="_Toc7077"/>
      <w:bookmarkStart w:id="2425" w:name="_Toc7954"/>
      <w:bookmarkStart w:id="2426" w:name="_Toc24728"/>
      <w:bookmarkStart w:id="2427" w:name="_Toc14942"/>
      <w:bookmarkStart w:id="2428" w:name="_Toc20260"/>
      <w:bookmarkStart w:id="2429" w:name="_Toc4866"/>
      <w:bookmarkStart w:id="2430" w:name="_Toc5680"/>
      <w:bookmarkStart w:id="2431" w:name="_Toc21795"/>
      <w:r>
        <w:rPr>
          <w:rFonts w:hint="eastAsia" w:ascii="黑体" w:hAnsi="黑体" w:eastAsia="黑体" w:cs="黑体"/>
          <w:b w:val="0"/>
          <w:bCs/>
          <w:color w:val="auto"/>
          <w:sz w:val="32"/>
          <w:szCs w:val="32"/>
          <w:highlight w:val="none"/>
          <w:lang w:val="en-US" w:eastAsia="zh-CN"/>
        </w:rPr>
        <w:t>11</w:t>
      </w:r>
      <w:r>
        <w:rPr>
          <w:rFonts w:hint="eastAsia" w:ascii="黑体" w:hAnsi="黑体" w:eastAsia="黑体" w:cs="黑体"/>
          <w:b w:val="0"/>
          <w:bCs/>
          <w:color w:val="auto"/>
          <w:sz w:val="32"/>
          <w:szCs w:val="32"/>
          <w:highlight w:val="none"/>
        </w:rPr>
        <w:t>.价格调</w:t>
      </w:r>
      <w:bookmarkEnd w:id="2421"/>
      <w:r>
        <w:rPr>
          <w:rFonts w:hint="eastAsia" w:ascii="黑体" w:hAnsi="黑体" w:eastAsia="黑体" w:cs="黑体"/>
          <w:b w:val="0"/>
          <w:bCs/>
          <w:color w:val="auto"/>
          <w:sz w:val="32"/>
          <w:szCs w:val="32"/>
          <w:highlight w:val="none"/>
        </w:rPr>
        <w:t>整</w:t>
      </w:r>
      <w:bookmarkEnd w:id="2422"/>
      <w:bookmarkEnd w:id="2423"/>
      <w:bookmarkEnd w:id="2424"/>
      <w:bookmarkEnd w:id="2425"/>
      <w:bookmarkEnd w:id="2426"/>
      <w:bookmarkEnd w:id="2427"/>
      <w:bookmarkEnd w:id="2428"/>
      <w:bookmarkEnd w:id="2429"/>
      <w:bookmarkEnd w:id="2430"/>
      <w:bookmarkEnd w:id="2431"/>
      <w:bookmarkStart w:id="2432" w:name="_Toc297120501"/>
      <w:bookmarkStart w:id="2433" w:name="_Toc292559911"/>
      <w:bookmarkStart w:id="2434" w:name="_Toc296891029"/>
      <w:bookmarkStart w:id="2435" w:name="_Toc304295577"/>
      <w:bookmarkStart w:id="2436" w:name="_Toc300935000"/>
      <w:bookmarkStart w:id="2437" w:name="_Toc296347200"/>
      <w:bookmarkStart w:id="2438" w:name="_Toc296503201"/>
      <w:bookmarkStart w:id="2439" w:name="_Toc303539157"/>
      <w:bookmarkStart w:id="2440" w:name="_Toc312678039"/>
      <w:bookmarkStart w:id="2441" w:name="_Toc296891241"/>
      <w:bookmarkStart w:id="2442" w:name="_Toc297123550"/>
      <w:bookmarkStart w:id="2443" w:name="_Toc296346702"/>
      <w:bookmarkStart w:id="2444" w:name="_Toc296944540"/>
      <w:bookmarkStart w:id="2445" w:name="_Toc297048387"/>
      <w:bookmarkStart w:id="2446" w:name="_Toc292559406"/>
      <w:bookmarkStart w:id="2447" w:name="_Toc297216209"/>
    </w:p>
    <w:p w14:paraId="331B91EE">
      <w:pPr>
        <w:pageBreakBefore w:val="0"/>
        <w:kinsoku/>
        <w:wordWrap/>
        <w:overflowPunct/>
        <w:topLinePunct w:val="0"/>
        <w:bidi w:val="0"/>
        <w:adjustRightInd w:val="0"/>
        <w:snapToGrid w:val="0"/>
        <w:spacing w:line="560" w:lineRule="exact"/>
        <w:ind w:firstLine="640" w:firstLineChars="200"/>
        <w:jc w:val="both"/>
        <w:outlineLvl w:val="9"/>
        <w:rPr>
          <w:rFonts w:hint="eastAsia" w:ascii="仿宋_GB2312" w:hAnsi="仿宋_GB2312" w:eastAsia="仿宋_GB2312" w:cs="仿宋_GB2312"/>
          <w:color w:val="auto"/>
          <w:sz w:val="32"/>
          <w:szCs w:val="32"/>
          <w:highlight w:val="none"/>
        </w:rPr>
      </w:pPr>
      <w:bookmarkStart w:id="2448" w:name="_Toc30341"/>
      <w:bookmarkStart w:id="2449" w:name="_Toc7622"/>
      <w:bookmarkStart w:id="2450" w:name="_Toc24440"/>
      <w:bookmarkStart w:id="2451" w:name="_Toc3809"/>
      <w:bookmarkStart w:id="2452" w:name="_Toc32500"/>
      <w:bookmarkStart w:id="2453" w:name="_Toc7859"/>
      <w:bookmarkStart w:id="2454" w:name="_Toc2361"/>
      <w:bookmarkStart w:id="2455" w:name="_Toc28310"/>
      <w:r>
        <w:rPr>
          <w:rFonts w:hint="eastAsia" w:ascii="仿宋_GB2312" w:hAnsi="仿宋_GB2312" w:eastAsia="仿宋_GB2312" w:cs="仿宋_GB2312"/>
          <w:color w:val="auto"/>
          <w:sz w:val="32"/>
          <w:szCs w:val="32"/>
          <w:highlight w:val="none"/>
          <w:lang w:val="en-US" w:eastAsia="zh-CN"/>
        </w:rPr>
        <w:t>11</w:t>
      </w:r>
      <w:r>
        <w:rPr>
          <w:rFonts w:hint="eastAsia" w:ascii="仿宋_GB2312" w:hAnsi="仿宋_GB2312" w:eastAsia="仿宋_GB2312" w:cs="仿宋_GB2312"/>
          <w:color w:val="auto"/>
          <w:sz w:val="32"/>
          <w:szCs w:val="32"/>
          <w:highlight w:val="none"/>
        </w:rPr>
        <w:t>.1 市场价格波动引起的调整</w:t>
      </w:r>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p>
    <w:p w14:paraId="4035722C">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kern w:val="0"/>
          <w:sz w:val="32"/>
          <w:szCs w:val="32"/>
          <w:highlight w:val="none"/>
        </w:rPr>
        <w:t>市场价格波动是否调整合同价格的约定：</w:t>
      </w:r>
      <w:permStart w:id="63" w:edGrp="everyone"/>
      <w:r>
        <w:rPr>
          <w:rFonts w:hint="eastAsia" w:ascii="仿宋_GB2312" w:hAnsi="仿宋_GB2312" w:eastAsia="仿宋_GB2312" w:cs="仿宋_GB2312"/>
          <w:color w:val="auto"/>
          <w:sz w:val="32"/>
          <w:szCs w:val="32"/>
          <w:highlight w:val="none"/>
          <w:u w:val="single"/>
          <w:lang w:val="en-US" w:eastAsia="zh-CN"/>
        </w:rPr>
        <w:t>否</w:t>
      </w:r>
      <w:permEnd w:id="63"/>
      <w:r>
        <w:rPr>
          <w:rFonts w:hint="eastAsia" w:ascii="仿宋_GB2312" w:hAnsi="仿宋_GB2312" w:eastAsia="仿宋_GB2312" w:cs="仿宋_GB2312"/>
          <w:color w:val="auto"/>
          <w:sz w:val="32"/>
          <w:szCs w:val="32"/>
          <w:highlight w:val="none"/>
        </w:rPr>
        <w:t>。</w:t>
      </w:r>
    </w:p>
    <w:p w14:paraId="7D5598B1">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因市场价格波动调整合同价格，采用以下第</w:t>
      </w:r>
      <w:r>
        <w:rPr>
          <w:rFonts w:hint="eastAsia" w:ascii="仿宋_GB2312" w:hAnsi="仿宋_GB2312" w:eastAsia="仿宋_GB2312" w:cs="仿宋_GB2312"/>
          <w:color w:val="auto"/>
          <w:sz w:val="32"/>
          <w:szCs w:val="32"/>
          <w:highlight w:val="none"/>
          <w:u w:val="single"/>
        </w:rPr>
        <w:t>3</w:t>
      </w:r>
      <w:r>
        <w:rPr>
          <w:rFonts w:hint="eastAsia" w:ascii="仿宋_GB2312" w:hAnsi="仿宋_GB2312" w:eastAsia="仿宋_GB2312" w:cs="仿宋_GB2312"/>
          <w:color w:val="auto"/>
          <w:sz w:val="32"/>
          <w:szCs w:val="32"/>
          <w:highlight w:val="none"/>
        </w:rPr>
        <w:t>种方式对合同价格进行调整：</w:t>
      </w:r>
    </w:p>
    <w:p w14:paraId="7B65DB4E">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第1种方式：采用价格指数进行价格调整。</w:t>
      </w:r>
    </w:p>
    <w:p w14:paraId="7DDF8A4C">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single"/>
        </w:rPr>
      </w:pPr>
      <w:r>
        <w:rPr>
          <w:rFonts w:hint="eastAsia" w:ascii="仿宋_GB2312" w:hAnsi="仿宋_GB2312" w:eastAsia="仿宋_GB2312" w:cs="仿宋_GB2312"/>
          <w:color w:val="auto"/>
          <w:sz w:val="32"/>
          <w:szCs w:val="32"/>
          <w:highlight w:val="none"/>
        </w:rPr>
        <w:t>关于各可调因子、定值和变值权重，以及基本价格指数及其来源的约定：</w:t>
      </w:r>
      <w:r>
        <w:rPr>
          <w:rFonts w:hint="eastAsia" w:ascii="仿宋_GB2312" w:hAnsi="仿宋_GB2312" w:eastAsia="仿宋_GB2312" w:cs="仿宋_GB2312"/>
          <w:color w:val="auto"/>
          <w:sz w:val="32"/>
          <w:szCs w:val="32"/>
          <w:highlight w:val="none"/>
          <w:u w:val="single"/>
        </w:rPr>
        <w:t>/</w:t>
      </w:r>
      <w:r>
        <w:rPr>
          <w:rFonts w:hint="eastAsia" w:ascii="仿宋_GB2312" w:hAnsi="仿宋_GB2312" w:eastAsia="仿宋_GB2312" w:cs="仿宋_GB2312"/>
          <w:color w:val="auto"/>
          <w:sz w:val="32"/>
          <w:szCs w:val="32"/>
          <w:highlight w:val="none"/>
        </w:rPr>
        <w:t>；</w:t>
      </w:r>
    </w:p>
    <w:p w14:paraId="43A3CDAD">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第2种方式：采用造价信息进行价格调整。</w:t>
      </w:r>
    </w:p>
    <w:p w14:paraId="01539888">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（2）关于基准价格的约定：</w:t>
      </w:r>
    </w:p>
    <w:p w14:paraId="6A1D0C6E">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①承包人在已标价工程量清单或预算书中载明的材料单价低于基准价格的：专用合同条款合同履行期间材料单价涨幅以基准价格为基础超过</w:t>
      </w:r>
      <w:permStart w:id="64" w:edGrp="everyone"/>
      <w:r>
        <w:rPr>
          <w:rFonts w:hint="eastAsia" w:ascii="仿宋_GB2312" w:hAnsi="仿宋_GB2312" w:eastAsia="仿宋_GB2312" w:cs="仿宋_GB2312"/>
          <w:color w:val="auto"/>
          <w:sz w:val="32"/>
          <w:szCs w:val="32"/>
          <w:highlight w:val="none"/>
          <w:u w:val="none"/>
          <w:lang w:val="en-US" w:eastAsia="zh-CN"/>
        </w:rPr>
        <w:t xml:space="preserve">  </w:t>
      </w:r>
      <w:permEnd w:id="64"/>
      <w:r>
        <w:rPr>
          <w:rFonts w:hint="eastAsia" w:ascii="仿宋_GB2312" w:hAnsi="仿宋_GB2312" w:eastAsia="仿宋_GB2312" w:cs="仿宋_GB2312"/>
          <w:color w:val="auto"/>
          <w:sz w:val="32"/>
          <w:szCs w:val="32"/>
          <w:highlight w:val="none"/>
          <w:u w:val="none"/>
        </w:rPr>
        <w:t>%时，或材料单价跌幅以已标价工程量清单或预算书中载明材料单价为基础超过</w:t>
      </w:r>
      <w:permStart w:id="65" w:edGrp="everyone"/>
      <w:r>
        <w:rPr>
          <w:rFonts w:hint="eastAsia" w:ascii="仿宋_GB2312" w:hAnsi="仿宋_GB2312" w:eastAsia="仿宋_GB2312" w:cs="仿宋_GB2312"/>
          <w:color w:val="auto"/>
          <w:sz w:val="32"/>
          <w:szCs w:val="32"/>
          <w:highlight w:val="none"/>
          <w:u w:val="none"/>
          <w:lang w:val="en-US" w:eastAsia="zh-CN"/>
        </w:rPr>
        <w:t xml:space="preserve">  </w:t>
      </w:r>
      <w:permEnd w:id="65"/>
      <w:r>
        <w:rPr>
          <w:rFonts w:hint="eastAsia" w:ascii="仿宋_GB2312" w:hAnsi="仿宋_GB2312" w:eastAsia="仿宋_GB2312" w:cs="仿宋_GB2312"/>
          <w:color w:val="auto"/>
          <w:sz w:val="32"/>
          <w:szCs w:val="32"/>
          <w:highlight w:val="none"/>
          <w:u w:val="none"/>
        </w:rPr>
        <w:t>%时，其超过部分据实调整。</w:t>
      </w:r>
    </w:p>
    <w:p w14:paraId="542D2419">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②承包人在已标价工程量清单或预算书中载明的材料单价高于基准价格的：专用合同条款合同履行期间材料单价跌幅以基准价格为基础超过</w:t>
      </w:r>
      <w:permStart w:id="66" w:edGrp="everyone"/>
      <w:r>
        <w:rPr>
          <w:rFonts w:hint="eastAsia" w:ascii="仿宋_GB2312" w:hAnsi="仿宋_GB2312" w:eastAsia="仿宋_GB2312" w:cs="仿宋_GB2312"/>
          <w:color w:val="auto"/>
          <w:sz w:val="32"/>
          <w:szCs w:val="32"/>
          <w:highlight w:val="none"/>
          <w:u w:val="none"/>
          <w:lang w:val="en-US" w:eastAsia="zh-CN"/>
        </w:rPr>
        <w:t xml:space="preserve">  </w:t>
      </w:r>
      <w:permEnd w:id="66"/>
      <w:r>
        <w:rPr>
          <w:rFonts w:hint="eastAsia" w:ascii="仿宋_GB2312" w:hAnsi="仿宋_GB2312" w:eastAsia="仿宋_GB2312" w:cs="仿宋_GB2312"/>
          <w:color w:val="auto"/>
          <w:sz w:val="32"/>
          <w:szCs w:val="32"/>
          <w:highlight w:val="none"/>
          <w:u w:val="none"/>
        </w:rPr>
        <w:t>%时，材料单价涨幅以已标价工程量清单或预算书中载明材料单价为基础超过</w:t>
      </w:r>
      <w:permStart w:id="67" w:edGrp="everyone"/>
      <w:r>
        <w:rPr>
          <w:rFonts w:hint="eastAsia" w:ascii="仿宋_GB2312" w:hAnsi="仿宋_GB2312" w:eastAsia="仿宋_GB2312" w:cs="仿宋_GB2312"/>
          <w:color w:val="auto"/>
          <w:sz w:val="32"/>
          <w:szCs w:val="32"/>
          <w:highlight w:val="none"/>
          <w:u w:val="none"/>
          <w:lang w:val="en-US" w:eastAsia="zh-CN"/>
        </w:rPr>
        <w:t xml:space="preserve">  </w:t>
      </w:r>
      <w:permEnd w:id="67"/>
      <w:r>
        <w:rPr>
          <w:rFonts w:hint="eastAsia" w:ascii="仿宋_GB2312" w:hAnsi="仿宋_GB2312" w:eastAsia="仿宋_GB2312" w:cs="仿宋_GB2312"/>
          <w:color w:val="auto"/>
          <w:sz w:val="32"/>
          <w:szCs w:val="32"/>
          <w:highlight w:val="none"/>
          <w:u w:val="none"/>
        </w:rPr>
        <w:t>%时，其超过部分据实调整。</w:t>
      </w:r>
    </w:p>
    <w:p w14:paraId="7A5F30A5">
      <w:pPr>
        <w:pageBreakBefore w:val="0"/>
        <w:kinsoku/>
        <w:wordWrap/>
        <w:overflowPunct/>
        <w:topLinePunct w:val="0"/>
        <w:bidi w:val="0"/>
        <w:adjustRightInd w:val="0"/>
        <w:snapToGrid w:val="0"/>
        <w:spacing w:line="560" w:lineRule="exact"/>
        <w:ind w:firstLine="645"/>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③承包人在已标价工程量清单或预算书中载明的材料单价等于基准单价的：专用合同条款合同履行期间材料单价涨跌幅以基准单价为基础超过±%时，其超过部分据实调整。</w:t>
      </w:r>
    </w:p>
    <w:p w14:paraId="5B57A7E5">
      <w:pPr>
        <w:pageBreakBefore w:val="0"/>
        <w:kinsoku/>
        <w:wordWrap/>
        <w:overflowPunct/>
        <w:topLinePunct w:val="0"/>
        <w:bidi w:val="0"/>
        <w:adjustRightInd w:val="0"/>
        <w:snapToGrid w:val="0"/>
        <w:spacing w:line="560" w:lineRule="exact"/>
        <w:ind w:firstLine="645"/>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第3种方式：其他价格调整方式：</w:t>
      </w:r>
    </w:p>
    <w:p w14:paraId="011F28C4">
      <w:pPr>
        <w:pageBreakBefore w:val="0"/>
        <w:kinsoku/>
        <w:wordWrap/>
        <w:overflowPunct/>
        <w:topLinePunct w:val="0"/>
        <w:bidi w:val="0"/>
        <w:adjustRightInd w:val="0"/>
        <w:snapToGrid w:val="0"/>
        <w:spacing w:line="560" w:lineRule="exact"/>
        <w:ind w:firstLine="645"/>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物价波动引起的价格调整方法：</w:t>
      </w:r>
      <w:bookmarkEnd w:id="2285"/>
      <w:bookmarkEnd w:id="2286"/>
      <w:bookmarkEnd w:id="2287"/>
      <w:bookmarkEnd w:id="2288"/>
      <w:bookmarkEnd w:id="2289"/>
      <w:bookmarkEnd w:id="2290"/>
      <w:bookmarkStart w:id="2456" w:name="_Toc297048391"/>
      <w:bookmarkStart w:id="2457" w:name="_Toc292559915"/>
      <w:bookmarkStart w:id="2458" w:name="_Toc296891033"/>
      <w:bookmarkStart w:id="2459" w:name="_Toc292559410"/>
      <w:bookmarkStart w:id="2460" w:name="_Toc296347204"/>
      <w:bookmarkStart w:id="2461" w:name="_Toc296891245"/>
      <w:bookmarkStart w:id="2462" w:name="_Toc296944544"/>
      <w:bookmarkStart w:id="2463" w:name="_Toc296346706"/>
      <w:bookmarkStart w:id="2464" w:name="_Toc297120505"/>
      <w:bookmarkStart w:id="2465" w:name="_Toc296503205"/>
      <w:bookmarkStart w:id="2466" w:name="_Toc351203644"/>
      <w:bookmarkStart w:id="2467" w:name="_Toc312678040"/>
      <w:bookmarkStart w:id="2468" w:name="_Toc297216211"/>
      <w:bookmarkStart w:id="2469" w:name="_Toc304295579"/>
      <w:bookmarkStart w:id="2470" w:name="_Toc300935002"/>
      <w:bookmarkStart w:id="2471" w:name="_Toc303539159"/>
      <w:bookmarkStart w:id="2472" w:name="_Toc297123552"/>
    </w:p>
    <w:p w14:paraId="3B490E47">
      <w:pPr>
        <w:pageBreakBefore w:val="0"/>
        <w:kinsoku/>
        <w:wordWrap/>
        <w:overflowPunct/>
        <w:topLinePunct w:val="0"/>
        <w:bidi w:val="0"/>
        <w:adjustRightInd w:val="0"/>
        <w:snapToGrid w:val="0"/>
        <w:spacing w:line="560" w:lineRule="exact"/>
        <w:ind w:firstLine="645"/>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1）非承包人原因造成的合同工期延长，该延长期（以下简称“可调差期”）内，可对因物价波动引起的价格进行调整；否则不予以调整。合同工期（指本合同第一部分第二条约定的合同工期，下同）内及由承包人原因造成的合同工期延长期内均不予以调整。</w:t>
      </w:r>
    </w:p>
    <w:p w14:paraId="7180F091">
      <w:pPr>
        <w:pageBreakBefore w:val="0"/>
        <w:kinsoku/>
        <w:wordWrap/>
        <w:overflowPunct/>
        <w:topLinePunct w:val="0"/>
        <w:bidi w:val="0"/>
        <w:adjustRightInd w:val="0"/>
        <w:snapToGrid w:val="0"/>
        <w:spacing w:line="560" w:lineRule="exact"/>
        <w:ind w:firstLine="645"/>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2）可调差期内对主要材料价格进行调整。可调差期内，可调整价格的主要材料包括砂、水泥、钢材和商品混凝土（不包含预制钢筋混凝土构件及衍生制品中的钢筋和混凝土），其余材料（含预制构件）价格不予调整。</w:t>
      </w:r>
    </w:p>
    <w:p w14:paraId="7B516103">
      <w:pPr>
        <w:pageBreakBefore w:val="0"/>
        <w:kinsoku/>
        <w:wordWrap/>
        <w:overflowPunct/>
        <w:topLinePunct w:val="0"/>
        <w:bidi w:val="0"/>
        <w:adjustRightInd w:val="0"/>
        <w:snapToGrid w:val="0"/>
        <w:spacing w:line="560" w:lineRule="exact"/>
        <w:ind w:firstLine="645"/>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（3）以投标截止日前28天当月海南省建设工程造价协会主办发布的《海南省工程造价信息》（厂商报价除外）中市场信息价作为基期价格。材料基准价约定如下：</w:t>
      </w:r>
    </w:p>
    <w:p w14:paraId="319B4003">
      <w:pPr>
        <w:pageBreakBefore w:val="0"/>
        <w:kinsoku/>
        <w:wordWrap/>
        <w:overflowPunct/>
        <w:topLinePunct w:val="0"/>
        <w:bidi w:val="0"/>
        <w:adjustRightInd w:val="0"/>
        <w:snapToGrid w:val="0"/>
        <w:spacing w:line="560" w:lineRule="exact"/>
        <w:ind w:firstLine="645"/>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1）承包人投标报价中材料单价低于基期价格</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rPr>
        <w:t>可调差期内，材料单价涨幅以基期价格为基准价，超过合同约定的风险幅度值</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rPr>
        <w:t>或材料单价跌幅以投标报价为基准价超过合同约定的风险幅度值时</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rPr>
        <w:t>其超过部分按本合同约定的主要材料价差计算方法进行调整。</w:t>
      </w:r>
    </w:p>
    <w:p w14:paraId="1C00832A">
      <w:pPr>
        <w:pageBreakBefore w:val="0"/>
        <w:kinsoku/>
        <w:wordWrap/>
        <w:overflowPunct/>
        <w:topLinePunct w:val="0"/>
        <w:bidi w:val="0"/>
        <w:adjustRightInd w:val="0"/>
        <w:snapToGrid w:val="0"/>
        <w:spacing w:line="560" w:lineRule="exact"/>
        <w:ind w:firstLine="645"/>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2）承包人投标报价中材料单价高于基期价格</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rPr>
        <w:t>可调差期内，材料单价跌幅以基期价格为基准价超过合同约定的风险幅度值</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rPr>
        <w:t>或材料单价涨幅以投标报价为基准价超过合同约定的风险幅度值时</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rPr>
        <w:t>其超过部分按本合同约定的主要材料价差计算方法进行调整。</w:t>
      </w:r>
    </w:p>
    <w:p w14:paraId="565AE646">
      <w:pPr>
        <w:pageBreakBefore w:val="0"/>
        <w:kinsoku/>
        <w:wordWrap/>
        <w:overflowPunct/>
        <w:topLinePunct w:val="0"/>
        <w:bidi w:val="0"/>
        <w:adjustRightInd w:val="0"/>
        <w:snapToGrid w:val="0"/>
        <w:spacing w:line="560" w:lineRule="exact"/>
        <w:ind w:firstLine="645"/>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3）承包人投标报价中材料单价等于基期价格</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rPr>
        <w:t>可调差期内，材料单价涨</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rPr>
        <w:t>跌幅以基期价格为基准价超过合同约定的风险幅度值时</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rPr>
        <w:t>其超过部分按本合同约定的主要材料价差计算方法进行调整。</w:t>
      </w:r>
    </w:p>
    <w:p w14:paraId="07AFD4E6">
      <w:pPr>
        <w:pageBreakBefore w:val="0"/>
        <w:kinsoku/>
        <w:wordWrap/>
        <w:overflowPunct/>
        <w:topLinePunct w:val="0"/>
        <w:bidi w:val="0"/>
        <w:adjustRightInd w:val="0"/>
        <w:snapToGrid w:val="0"/>
        <w:spacing w:line="560" w:lineRule="exact"/>
        <w:ind w:firstLine="645"/>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（4）在上述第（1）款情形中，当可调差期内的主要材料价格超过基准价变化幅度±10% （含）的主要材料价格进行调整。即：主要材料超过基准价涨价幅度10%以内（含）部分由承包人承担，超过10%以外部分由发包人承担；主要材料超过基准价跌价幅度10%以内（含）部分由发包人承担，超过10%以外部分由承包人承担。</w:t>
      </w:r>
    </w:p>
    <w:p w14:paraId="7DC8D281">
      <w:pPr>
        <w:pageBreakBefore w:val="0"/>
        <w:kinsoku/>
        <w:wordWrap/>
        <w:overflowPunct/>
        <w:topLinePunct w:val="0"/>
        <w:bidi w:val="0"/>
        <w:adjustRightInd w:val="0"/>
        <w:snapToGrid w:val="0"/>
        <w:spacing w:line="560" w:lineRule="exact"/>
        <w:ind w:firstLine="645"/>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 xml:space="preserve">主要材料价差以补差形式进行调整，只计税金，不计管理费、利润、规费、措施费等其他费用。 </w:t>
      </w:r>
    </w:p>
    <w:p w14:paraId="7E48263A">
      <w:pPr>
        <w:pageBreakBefore w:val="0"/>
        <w:kinsoku/>
        <w:wordWrap/>
        <w:overflowPunct/>
        <w:topLinePunct w:val="0"/>
        <w:bidi w:val="0"/>
        <w:adjustRightInd w:val="0"/>
        <w:snapToGrid w:val="0"/>
        <w:spacing w:line="560" w:lineRule="exact"/>
        <w:ind w:firstLine="645"/>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材料损耗已考虑综合报价内，结算调整材料价格时不另计算损耗部分。</w:t>
      </w:r>
    </w:p>
    <w:p w14:paraId="415DA18B">
      <w:pPr>
        <w:pageBreakBefore w:val="0"/>
        <w:kinsoku/>
        <w:wordWrap/>
        <w:overflowPunct/>
        <w:topLinePunct w:val="0"/>
        <w:bidi w:val="0"/>
        <w:adjustRightInd w:val="0"/>
        <w:snapToGrid w:val="0"/>
        <w:spacing w:line="560" w:lineRule="exact"/>
        <w:ind w:firstLine="645"/>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 xml:space="preserve">（5）主要材料价差计算方法（本款内约定的施工期间皆限定可调差期）： </w:t>
      </w:r>
    </w:p>
    <w:p w14:paraId="28D66DDB">
      <w:pPr>
        <w:pageBreakBefore w:val="0"/>
        <w:kinsoku/>
        <w:wordWrap/>
        <w:overflowPunct/>
        <w:topLinePunct w:val="0"/>
        <w:bidi w:val="0"/>
        <w:adjustRightInd w:val="0"/>
        <w:snapToGrid w:val="0"/>
        <w:spacing w:line="560" w:lineRule="exact"/>
        <w:ind w:firstLine="645"/>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价差为施工期材料加权平均价格与基准价的差额。按下列公式计算：</w:t>
      </w:r>
    </w:p>
    <w:p w14:paraId="03D7C2B1">
      <w:pPr>
        <w:pageBreakBefore w:val="0"/>
        <w:kinsoku/>
        <w:wordWrap/>
        <w:overflowPunct/>
        <w:topLinePunct w:val="0"/>
        <w:bidi w:val="0"/>
        <w:adjustRightInd w:val="0"/>
        <w:snapToGrid w:val="0"/>
        <w:spacing w:line="560" w:lineRule="exact"/>
        <w:ind w:firstLine="645"/>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a</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rPr>
        <w:t>施工期间材料加权平均价格若高于材料基准价10%：</w:t>
      </w:r>
    </w:p>
    <w:p w14:paraId="469257D3">
      <w:pPr>
        <w:pageBreakBefore w:val="0"/>
        <w:kinsoku/>
        <w:wordWrap/>
        <w:overflowPunct/>
        <w:topLinePunct w:val="0"/>
        <w:bidi w:val="0"/>
        <w:adjustRightInd w:val="0"/>
        <w:snapToGrid w:val="0"/>
        <w:spacing w:line="560" w:lineRule="exact"/>
        <w:ind w:firstLine="645"/>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主材价格调整金额=∑（双方确认的工程量×（施工期间材料加权平均价格-材料基准价×110%）×（1+税率））</w:t>
      </w:r>
    </w:p>
    <w:p w14:paraId="6E84FE31">
      <w:pPr>
        <w:pageBreakBefore w:val="0"/>
        <w:kinsoku/>
        <w:wordWrap/>
        <w:overflowPunct/>
        <w:topLinePunct w:val="0"/>
        <w:bidi w:val="0"/>
        <w:adjustRightInd w:val="0"/>
        <w:snapToGrid w:val="0"/>
        <w:spacing w:line="560" w:lineRule="exact"/>
        <w:ind w:firstLine="645"/>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b</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rPr>
        <w:t>施工期间材料加权平均价格若低于材料基准价10%：</w:t>
      </w:r>
    </w:p>
    <w:p w14:paraId="7F692BDB">
      <w:pPr>
        <w:pageBreakBefore w:val="0"/>
        <w:kinsoku/>
        <w:wordWrap/>
        <w:overflowPunct/>
        <w:topLinePunct w:val="0"/>
        <w:bidi w:val="0"/>
        <w:adjustRightInd w:val="0"/>
        <w:snapToGrid w:val="0"/>
        <w:spacing w:line="560" w:lineRule="exact"/>
        <w:ind w:firstLine="645"/>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主材价格调整金额=∑（双方确认的工程量×（施工期间材料加权平均价格-材料基准价×90%）×（1+税率））</w:t>
      </w:r>
    </w:p>
    <w:p w14:paraId="5AED9D0B">
      <w:pPr>
        <w:pageBreakBefore w:val="0"/>
        <w:kinsoku/>
        <w:wordWrap/>
        <w:overflowPunct/>
        <w:topLinePunct w:val="0"/>
        <w:bidi w:val="0"/>
        <w:adjustRightInd w:val="0"/>
        <w:snapToGrid w:val="0"/>
        <w:spacing w:line="560" w:lineRule="exact"/>
        <w:ind w:firstLine="645"/>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其中：施工期间材料加权平均价格=∑（某种材料每月实际使用量×当期材料指导价）/同类材料总用量 。</w:t>
      </w:r>
    </w:p>
    <w:p w14:paraId="4E34B9D1">
      <w:pPr>
        <w:pageBreakBefore w:val="0"/>
        <w:kinsoku/>
        <w:wordWrap/>
        <w:overflowPunct/>
        <w:topLinePunct w:val="0"/>
        <w:bidi w:val="0"/>
        <w:adjustRightInd w:val="0"/>
        <w:snapToGrid w:val="0"/>
        <w:spacing w:line="560" w:lineRule="exact"/>
        <w:ind w:firstLine="645"/>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 xml:space="preserve">（6）人工单价发生变化且符合省级或行业建设主管部门发布的人工费调整规定，合同当事人应按省级或行业建设主管部门或其授权的工程造价管理机构发布的人工费等文件调整合同价格，调整范围为非承包人原因引起合同工期延长的，该延长期内完成工程量对应的人工，但承包人对人工费或人工单价的报价高于发布价格、人工含量高于社会平均含量（按当地现行定额为标准）的除外。人工费价差以补差形式进行调整，只计税金，不计管理费、利润、规费、措施费等其他费用。 </w:t>
      </w:r>
    </w:p>
    <w:p w14:paraId="28749D54">
      <w:pPr>
        <w:pageBreakBefore w:val="0"/>
        <w:kinsoku/>
        <w:wordWrap/>
        <w:overflowPunct/>
        <w:topLinePunct w:val="0"/>
        <w:bidi w:val="0"/>
        <w:adjustRightInd w:val="0"/>
        <w:snapToGrid w:val="0"/>
        <w:spacing w:line="560" w:lineRule="exact"/>
        <w:ind w:firstLine="645"/>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（7）当投标报价书的相同项目（具有统一项目特征）出现两个或两个以上不同的综合单价时，按低价计取。</w:t>
      </w:r>
    </w:p>
    <w:p w14:paraId="771FF611">
      <w:pPr>
        <w:pageBreakBefore w:val="0"/>
        <w:kinsoku/>
        <w:wordWrap/>
        <w:overflowPunct/>
        <w:topLinePunct w:val="0"/>
        <w:bidi w:val="0"/>
        <w:adjustRightInd w:val="0"/>
        <w:snapToGrid w:val="0"/>
        <w:spacing w:line="560" w:lineRule="exact"/>
        <w:ind w:firstLine="645"/>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u w:val="none"/>
        </w:rPr>
        <w:t>（8）以上补差费用不与工程进度款同期支付，待发包人结算审核通过及第三方审计机构核定（如有）确认后支付。</w:t>
      </w:r>
    </w:p>
    <w:p w14:paraId="026A1D2A">
      <w:pPr>
        <w:pageBreakBefore w:val="0"/>
        <w:widowControl/>
        <w:kinsoku/>
        <w:wordWrap/>
        <w:overflowPunct/>
        <w:topLinePunct w:val="0"/>
        <w:bidi w:val="0"/>
        <w:adjustRightInd w:val="0"/>
        <w:snapToGrid w:val="0"/>
        <w:spacing w:line="560" w:lineRule="exact"/>
        <w:ind w:firstLine="640" w:firstLineChars="200"/>
        <w:jc w:val="both"/>
        <w:outlineLvl w:val="9"/>
        <w:rPr>
          <w:rFonts w:hint="eastAsia" w:ascii="黑体" w:hAnsi="黑体" w:eastAsia="黑体" w:cs="黑体"/>
          <w:b w:val="0"/>
          <w:bCs/>
          <w:color w:val="auto"/>
          <w:sz w:val="32"/>
          <w:szCs w:val="32"/>
          <w:highlight w:val="none"/>
        </w:rPr>
      </w:pPr>
      <w:bookmarkStart w:id="2473" w:name="_Toc11238"/>
      <w:bookmarkStart w:id="2474" w:name="_Toc29190"/>
      <w:bookmarkStart w:id="2475" w:name="_Toc3690"/>
      <w:bookmarkStart w:id="2476" w:name="_Toc13472"/>
      <w:bookmarkStart w:id="2477" w:name="_Toc12989"/>
      <w:bookmarkStart w:id="2478" w:name="_Toc28185"/>
      <w:bookmarkStart w:id="2479" w:name="_Toc18029"/>
      <w:bookmarkStart w:id="2480" w:name="_Toc31446"/>
      <w:bookmarkStart w:id="2481" w:name="_Toc14772"/>
      <w:bookmarkStart w:id="2482" w:name="_Toc28286"/>
      <w:r>
        <w:rPr>
          <w:rFonts w:hint="eastAsia" w:ascii="黑体" w:hAnsi="黑体" w:eastAsia="黑体" w:cs="黑体"/>
          <w:b w:val="0"/>
          <w:bCs/>
          <w:color w:val="auto"/>
          <w:sz w:val="32"/>
          <w:szCs w:val="32"/>
          <w:highlight w:val="none"/>
          <w:lang w:val="en-US" w:eastAsia="zh-CN"/>
        </w:rPr>
        <w:t>12</w:t>
      </w:r>
      <w:r>
        <w:rPr>
          <w:rFonts w:hint="eastAsia" w:ascii="黑体" w:hAnsi="黑体" w:eastAsia="黑体" w:cs="黑体"/>
          <w:b w:val="0"/>
          <w:bCs/>
          <w:color w:val="auto"/>
          <w:sz w:val="32"/>
          <w:szCs w:val="32"/>
          <w:highlight w:val="none"/>
        </w:rPr>
        <w:t>.</w:t>
      </w:r>
      <w:bookmarkEnd w:id="2456"/>
      <w:bookmarkEnd w:id="2457"/>
      <w:bookmarkEnd w:id="2458"/>
      <w:bookmarkEnd w:id="2459"/>
      <w:bookmarkEnd w:id="2460"/>
      <w:bookmarkEnd w:id="2461"/>
      <w:bookmarkEnd w:id="2462"/>
      <w:bookmarkEnd w:id="2463"/>
      <w:bookmarkEnd w:id="2464"/>
      <w:bookmarkEnd w:id="2465"/>
      <w:r>
        <w:rPr>
          <w:rFonts w:hint="eastAsia" w:ascii="黑体" w:hAnsi="黑体" w:eastAsia="黑体" w:cs="黑体"/>
          <w:b w:val="0"/>
          <w:bCs/>
          <w:color w:val="auto"/>
          <w:sz w:val="32"/>
          <w:szCs w:val="32"/>
          <w:highlight w:val="none"/>
        </w:rPr>
        <w:t xml:space="preserve"> 合同价格、计量与支</w:t>
      </w:r>
      <w:bookmarkEnd w:id="2466"/>
      <w:r>
        <w:rPr>
          <w:rFonts w:hint="eastAsia" w:ascii="黑体" w:hAnsi="黑体" w:eastAsia="黑体" w:cs="黑体"/>
          <w:b w:val="0"/>
          <w:bCs/>
          <w:color w:val="auto"/>
          <w:sz w:val="32"/>
          <w:szCs w:val="32"/>
          <w:highlight w:val="none"/>
        </w:rPr>
        <w:t>付</w:t>
      </w:r>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Start w:id="2483" w:name="_Toc267251461"/>
      <w:bookmarkStart w:id="2484" w:name="_Toc292559916"/>
      <w:bookmarkStart w:id="2485" w:name="_Toc292559411"/>
      <w:bookmarkStart w:id="2486" w:name="_Toc296347205"/>
      <w:bookmarkStart w:id="2487" w:name="_Toc297048392"/>
      <w:bookmarkStart w:id="2488" w:name="_Toc296891246"/>
      <w:bookmarkStart w:id="2489" w:name="_Toc297120506"/>
      <w:bookmarkStart w:id="2490" w:name="_Toc296944545"/>
      <w:bookmarkStart w:id="2491" w:name="_Toc296346707"/>
      <w:bookmarkStart w:id="2492" w:name="_Toc296503206"/>
      <w:bookmarkStart w:id="2493" w:name="_Toc296891034"/>
      <w:bookmarkStart w:id="2494" w:name="_Toc304295580"/>
      <w:bookmarkStart w:id="2495" w:name="_Toc297123553"/>
      <w:bookmarkStart w:id="2496" w:name="_Toc303539160"/>
      <w:bookmarkStart w:id="2497" w:name="_Toc300935003"/>
      <w:bookmarkStart w:id="2498" w:name="_Toc312678041"/>
      <w:bookmarkStart w:id="2499" w:name="_Toc297216212"/>
    </w:p>
    <w:p w14:paraId="141096C0">
      <w:pPr>
        <w:pageBreakBefore w:val="0"/>
        <w:kinsoku/>
        <w:wordWrap/>
        <w:overflowPunct/>
        <w:topLinePunct w:val="0"/>
        <w:bidi w:val="0"/>
        <w:adjustRightInd w:val="0"/>
        <w:snapToGrid w:val="0"/>
        <w:spacing w:line="560" w:lineRule="exact"/>
        <w:ind w:firstLine="640" w:firstLineChars="200"/>
        <w:rPr>
          <w:rFonts w:hint="eastAsia" w:ascii="仿宋_GB2312" w:hAnsi="仿宋_GB2312" w:eastAsia="仿宋_GB2312" w:cs="仿宋_GB2312"/>
          <w:sz w:val="32"/>
          <w:szCs w:val="32"/>
          <w:highlight w:val="none"/>
        </w:rPr>
      </w:pPr>
      <w:bookmarkStart w:id="2500" w:name="_Toc6751"/>
      <w:bookmarkStart w:id="2501" w:name="_Toc9670"/>
      <w:bookmarkStart w:id="2502" w:name="_Toc12017"/>
      <w:bookmarkStart w:id="2503" w:name="_Toc493"/>
      <w:bookmarkStart w:id="2504" w:name="_Toc22665"/>
      <w:bookmarkStart w:id="2505" w:name="_Toc12522"/>
      <w:bookmarkStart w:id="2506" w:name="_Toc4063"/>
      <w:r>
        <w:rPr>
          <w:rFonts w:hint="eastAsia" w:ascii="仿宋_GB2312" w:hAnsi="仿宋_GB2312" w:eastAsia="仿宋_GB2312" w:cs="仿宋_GB2312"/>
          <w:sz w:val="32"/>
          <w:szCs w:val="32"/>
          <w:highlight w:val="none"/>
        </w:rPr>
        <w:t>发包人开票信息</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如开票信息有变，以发包人的书面通知为准</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w:t>
      </w:r>
    </w:p>
    <w:p w14:paraId="31C2E488">
      <w:pPr>
        <w:pageBreakBefore w:val="0"/>
        <w:kinsoku/>
        <w:wordWrap/>
        <w:overflowPunct/>
        <w:topLinePunct w:val="0"/>
        <w:bidi w:val="0"/>
        <w:adjustRightInd w:val="0"/>
        <w:snapToGrid w:val="0"/>
        <w:spacing w:line="560" w:lineRule="exact"/>
        <w:ind w:firstLine="640"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委托人：</w:t>
      </w:r>
      <w:permStart w:id="68" w:edGrp="everyone"/>
      <w:r>
        <w:rPr>
          <w:rFonts w:hint="eastAsia" w:ascii="仿宋_GB2312" w:hAnsi="仿宋_GB2312" w:eastAsia="仿宋_GB2312" w:cs="仿宋_GB2312"/>
          <w:color w:val="000000"/>
          <w:sz w:val="32"/>
          <w:szCs w:val="32"/>
          <w:lang w:val="en-US" w:eastAsia="zh-CN"/>
        </w:rPr>
        <w:t>海南省桂林洋公用事业发展有限公司</w:t>
      </w:r>
      <w:permEnd w:id="68"/>
      <w:r>
        <w:rPr>
          <w:rFonts w:hint="eastAsia" w:ascii="仿宋_GB2312" w:hAnsi="仿宋_GB2312" w:eastAsia="仿宋_GB2312" w:cs="仿宋_GB2312"/>
          <w:color w:val="000000"/>
          <w:sz w:val="32"/>
          <w:szCs w:val="32"/>
          <w:lang w:val="en-US" w:eastAsia="zh-CN"/>
        </w:rPr>
        <w:t xml:space="preserve">     </w:t>
      </w:r>
    </w:p>
    <w:p w14:paraId="6E3266E3">
      <w:pPr>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纳税人识别号：</w:t>
      </w:r>
      <w:permStart w:id="69" w:edGrp="everyone"/>
      <w:r>
        <w:rPr>
          <w:rFonts w:hint="eastAsia" w:ascii="仿宋_GB2312" w:hAnsi="仿宋_GB2312" w:eastAsia="仿宋_GB2312" w:cs="仿宋_GB2312"/>
          <w:color w:val="000000"/>
          <w:sz w:val="32"/>
          <w:szCs w:val="32"/>
        </w:rPr>
        <w:t xml:space="preserve">91460100MA5RF8R816 </w:t>
      </w:r>
      <w:permEnd w:id="69"/>
      <w:r>
        <w:rPr>
          <w:rFonts w:hint="eastAsia" w:ascii="仿宋_GB2312" w:hAnsi="仿宋_GB2312" w:eastAsia="仿宋_GB2312" w:cs="仿宋_GB2312"/>
          <w:color w:val="000000"/>
          <w:sz w:val="32"/>
          <w:szCs w:val="32"/>
        </w:rPr>
        <w:t xml:space="preserve">             </w:t>
      </w:r>
    </w:p>
    <w:p w14:paraId="798E1B6F">
      <w:pPr>
        <w:pageBreakBefore w:val="0"/>
        <w:widowControl w:val="0"/>
        <w:kinsoku/>
        <w:wordWrap/>
        <w:overflowPunct/>
        <w:topLinePunct w:val="0"/>
        <w:bidi w:val="0"/>
        <w:adjustRightInd w:val="0"/>
        <w:snapToGrid w:val="0"/>
        <w:spacing w:line="560" w:lineRule="exact"/>
        <w:ind w:left="638" w:leftChars="304" w:firstLine="0" w:firstLineChars="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color w:val="000000"/>
          <w:sz w:val="32"/>
          <w:szCs w:val="32"/>
        </w:rPr>
        <w:t>地址：</w:t>
      </w:r>
      <w:permStart w:id="70" w:edGrp="everyone"/>
      <w:r>
        <w:rPr>
          <w:rFonts w:hint="eastAsia" w:ascii="仿宋_GB2312" w:hAnsi="仿宋_GB2312" w:eastAsia="仿宋_GB2312" w:cs="仿宋_GB2312"/>
          <w:color w:val="000000"/>
          <w:sz w:val="32"/>
          <w:szCs w:val="32"/>
          <w:lang w:val="en-US" w:eastAsia="zh-CN"/>
        </w:rPr>
        <w:t>海口市桂林洋经济开发区兴洋大道94号</w:t>
      </w:r>
      <w:r>
        <w:rPr>
          <w:rFonts w:hint="eastAsia" w:ascii="仿宋_GB2312" w:hAnsi="仿宋_GB2312" w:eastAsia="仿宋_GB2312" w:cs="仿宋_GB2312"/>
          <w:color w:val="000000"/>
          <w:sz w:val="32"/>
          <w:szCs w:val="32"/>
        </w:rPr>
        <w:t xml:space="preserve"> </w:t>
      </w:r>
      <w:permEnd w:id="70"/>
      <w:r>
        <w:rPr>
          <w:rFonts w:hint="eastAsia" w:ascii="仿宋_GB2312" w:hAnsi="仿宋_GB2312" w:eastAsia="仿宋_GB2312" w:cs="仿宋_GB2312"/>
          <w:color w:val="000000"/>
          <w:sz w:val="32"/>
          <w:szCs w:val="32"/>
        </w:rPr>
        <w:t xml:space="preserve">              电话： </w:t>
      </w:r>
      <w:permStart w:id="71" w:edGrp="everyone"/>
      <w:r>
        <w:rPr>
          <w:rFonts w:hint="eastAsia" w:ascii="仿宋_GB2312" w:hAnsi="仿宋_GB2312" w:eastAsia="仿宋_GB2312" w:cs="仿宋_GB2312"/>
          <w:color w:val="000000"/>
          <w:sz w:val="32"/>
          <w:szCs w:val="32"/>
          <w:lang w:val="en-US" w:eastAsia="zh-CN"/>
        </w:rPr>
        <w:t xml:space="preserve">65710083 </w:t>
      </w:r>
      <w:r>
        <w:rPr>
          <w:rFonts w:hint="eastAsia" w:ascii="仿宋_GB2312" w:hAnsi="仿宋_GB2312" w:eastAsia="仿宋_GB2312" w:cs="仿宋_GB2312"/>
          <w:color w:val="000000"/>
          <w:sz w:val="32"/>
          <w:szCs w:val="32"/>
        </w:rPr>
        <w:t xml:space="preserve"> </w:t>
      </w:r>
      <w:permEnd w:id="71"/>
    </w:p>
    <w:p w14:paraId="0AE6B0DC">
      <w:pPr>
        <w:pStyle w:val="3"/>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承包人指定收款账户信息（如账户信息有变，以承包人的书面通知为准）：</w:t>
      </w:r>
    </w:p>
    <w:p w14:paraId="317088C5">
      <w:pPr>
        <w:pStyle w:val="3"/>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委托人：</w:t>
      </w:r>
      <w:permStart w:id="72" w:edGrp="everyone"/>
      <w:r>
        <w:rPr>
          <w:rFonts w:hint="eastAsia" w:ascii="仿宋_GB2312" w:hAnsi="仿宋_GB2312" w:eastAsia="仿宋_GB2312" w:cs="仿宋_GB2312"/>
          <w:color w:val="000000"/>
          <w:sz w:val="32"/>
          <w:szCs w:val="32"/>
          <w:lang w:val="en-US" w:eastAsia="zh-CN"/>
        </w:rPr>
        <w:t xml:space="preserve">          </w:t>
      </w:r>
    </w:p>
    <w:permEnd w:id="72"/>
    <w:p w14:paraId="31DAE2FC">
      <w:pPr>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开户行：</w:t>
      </w:r>
      <w:permStart w:id="73" w:edGrp="everyone"/>
      <w:r>
        <w:rPr>
          <w:rFonts w:hint="eastAsia"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 xml:space="preserve"> </w:t>
      </w:r>
      <w:permEnd w:id="73"/>
      <w:r>
        <w:rPr>
          <w:rFonts w:hint="eastAsia" w:ascii="仿宋_GB2312" w:hAnsi="仿宋_GB2312" w:eastAsia="仿宋_GB2312" w:cs="仿宋_GB2312"/>
          <w:color w:val="000000"/>
          <w:sz w:val="32"/>
          <w:szCs w:val="32"/>
        </w:rPr>
        <w:t xml:space="preserve">               </w:t>
      </w:r>
    </w:p>
    <w:p w14:paraId="58DDC654">
      <w:pPr>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rPr>
        <w:t>地</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址：</w:t>
      </w:r>
      <w:permStart w:id="74" w:edGrp="everyone"/>
      <w:r>
        <w:rPr>
          <w:rFonts w:hint="eastAsia" w:ascii="仿宋_GB2312" w:hAnsi="仿宋_GB2312" w:eastAsia="仿宋_GB2312" w:cs="仿宋_GB2312"/>
          <w:color w:val="000000"/>
          <w:sz w:val="32"/>
          <w:szCs w:val="32"/>
          <w:lang w:val="en-US" w:eastAsia="zh-CN"/>
        </w:rPr>
        <w:t xml:space="preserve">         </w:t>
      </w:r>
    </w:p>
    <w:permEnd w:id="74"/>
    <w:p w14:paraId="5A32F105">
      <w:pPr>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账  户：</w:t>
      </w:r>
      <w:permStart w:id="75" w:edGrp="everyone"/>
      <w:r>
        <w:rPr>
          <w:rFonts w:hint="eastAsia"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 xml:space="preserve">  </w:t>
      </w:r>
      <w:permEnd w:id="75"/>
      <w:r>
        <w:rPr>
          <w:rFonts w:hint="eastAsia" w:ascii="仿宋_GB2312" w:hAnsi="仿宋_GB2312" w:eastAsia="仿宋_GB2312" w:cs="仿宋_GB2312"/>
          <w:color w:val="000000"/>
          <w:sz w:val="32"/>
          <w:szCs w:val="32"/>
        </w:rPr>
        <w:t xml:space="preserve">    </w:t>
      </w:r>
    </w:p>
    <w:p w14:paraId="2314805C">
      <w:pPr>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账</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号：</w:t>
      </w:r>
      <w:permStart w:id="76" w:edGrp="everyone"/>
      <w:r>
        <w:rPr>
          <w:rFonts w:hint="eastAsia"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 xml:space="preserve"> </w:t>
      </w:r>
      <w:permEnd w:id="76"/>
      <w:r>
        <w:rPr>
          <w:rFonts w:hint="eastAsia" w:ascii="仿宋_GB2312" w:hAnsi="仿宋_GB2312" w:eastAsia="仿宋_GB2312" w:cs="仿宋_GB2312"/>
          <w:color w:val="000000"/>
          <w:sz w:val="32"/>
          <w:szCs w:val="32"/>
        </w:rPr>
        <w:t xml:space="preserve"> </w:t>
      </w:r>
    </w:p>
    <w:p w14:paraId="1D46C368">
      <w:pPr>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sz w:val="32"/>
          <w:szCs w:val="32"/>
        </w:rPr>
        <w:t>每次付款前，</w:t>
      </w:r>
      <w:r>
        <w:rPr>
          <w:rFonts w:hint="eastAsia" w:ascii="仿宋_GB2312" w:hAnsi="仿宋_GB2312" w:eastAsia="仿宋_GB2312" w:cs="仿宋_GB2312"/>
          <w:sz w:val="32"/>
          <w:szCs w:val="32"/>
          <w:lang w:val="en-US" w:eastAsia="zh-CN"/>
        </w:rPr>
        <w:t>承包人</w:t>
      </w:r>
      <w:r>
        <w:rPr>
          <w:rFonts w:hint="eastAsia" w:ascii="仿宋_GB2312" w:hAnsi="仿宋_GB2312" w:eastAsia="仿宋_GB2312" w:cs="仿宋_GB2312"/>
          <w:sz w:val="32"/>
          <w:szCs w:val="32"/>
        </w:rPr>
        <w:t>应提供合法有效的增值税专用发票，否则</w:t>
      </w:r>
      <w:r>
        <w:rPr>
          <w:rFonts w:hint="eastAsia" w:ascii="仿宋_GB2312" w:hAnsi="仿宋_GB2312" w:eastAsia="仿宋_GB2312" w:cs="仿宋_GB2312"/>
          <w:sz w:val="32"/>
          <w:szCs w:val="32"/>
          <w:lang w:val="en-US" w:eastAsia="zh-CN"/>
        </w:rPr>
        <w:t>发包人</w:t>
      </w:r>
      <w:r>
        <w:rPr>
          <w:rFonts w:hint="eastAsia" w:ascii="仿宋_GB2312" w:hAnsi="仿宋_GB2312" w:eastAsia="仿宋_GB2312" w:cs="仿宋_GB2312"/>
          <w:sz w:val="32"/>
          <w:szCs w:val="32"/>
        </w:rPr>
        <w:t>有权延期付款，并不承担任何责任，由此造成的损失由</w:t>
      </w:r>
      <w:r>
        <w:rPr>
          <w:rFonts w:hint="eastAsia" w:ascii="仿宋_GB2312" w:hAnsi="仿宋_GB2312" w:eastAsia="仿宋_GB2312" w:cs="仿宋_GB2312"/>
          <w:sz w:val="32"/>
          <w:szCs w:val="32"/>
          <w:lang w:val="en-US" w:eastAsia="zh-CN"/>
        </w:rPr>
        <w:t>承包人</w:t>
      </w:r>
      <w:r>
        <w:rPr>
          <w:rFonts w:hint="eastAsia" w:ascii="仿宋_GB2312" w:hAnsi="仿宋_GB2312" w:eastAsia="仿宋_GB2312" w:cs="仿宋_GB2312"/>
          <w:sz w:val="32"/>
          <w:szCs w:val="32"/>
        </w:rPr>
        <w:t>承担。如遇国家税率调整，则不含税价格不变，合同含税价及税率相应调整，</w:t>
      </w:r>
      <w:r>
        <w:rPr>
          <w:rFonts w:hint="eastAsia" w:ascii="仿宋_GB2312" w:hAnsi="仿宋_GB2312" w:eastAsia="仿宋_GB2312" w:cs="仿宋_GB2312"/>
          <w:sz w:val="32"/>
          <w:szCs w:val="32"/>
          <w:lang w:val="en-US" w:eastAsia="zh-CN"/>
        </w:rPr>
        <w:t>承包人</w:t>
      </w:r>
      <w:r>
        <w:rPr>
          <w:rFonts w:hint="eastAsia" w:ascii="仿宋_GB2312" w:hAnsi="仿宋_GB2312" w:eastAsia="仿宋_GB2312" w:cs="仿宋_GB2312"/>
          <w:sz w:val="32"/>
          <w:szCs w:val="32"/>
        </w:rPr>
        <w:t>应按纳税义务发生时的税率开具增值税发票，税率变化导致价税金额的变更应在进度及结算金额中进行调整。</w:t>
      </w:r>
    </w:p>
    <w:p w14:paraId="2A20D725">
      <w:pPr>
        <w:pageBreakBefore w:val="0"/>
        <w:kinsoku/>
        <w:wordWrap/>
        <w:overflowPunct/>
        <w:topLinePunct w:val="0"/>
        <w:bidi w:val="0"/>
        <w:adjustRightInd w:val="0"/>
        <w:snapToGrid w:val="0"/>
        <w:spacing w:line="560" w:lineRule="exact"/>
        <w:ind w:firstLine="640" w:firstLineChars="200"/>
        <w:jc w:val="both"/>
        <w:outlineLvl w:val="9"/>
        <w:rPr>
          <w:rFonts w:hint="eastAsia" w:ascii="仿宋_GB2312" w:hAnsi="仿宋_GB2312" w:eastAsia="仿宋_GB2312" w:cs="仿宋_GB2312"/>
          <w:color w:val="auto"/>
          <w:sz w:val="32"/>
          <w:szCs w:val="32"/>
          <w:highlight w:val="none"/>
        </w:rPr>
      </w:pPr>
      <w:bookmarkStart w:id="2507" w:name="_Toc25493"/>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 xml:space="preserve">.1 </w:t>
      </w:r>
      <w:bookmarkEnd w:id="2483"/>
      <w:bookmarkEnd w:id="2484"/>
      <w:bookmarkEnd w:id="2485"/>
      <w:r>
        <w:rPr>
          <w:rFonts w:hint="eastAsia" w:ascii="仿宋_GB2312" w:hAnsi="仿宋_GB2312" w:eastAsia="仿宋_GB2312" w:cs="仿宋_GB2312"/>
          <w:color w:val="auto"/>
          <w:sz w:val="32"/>
          <w:szCs w:val="32"/>
          <w:highlight w:val="none"/>
        </w:rPr>
        <w:t>合同</w:t>
      </w:r>
      <w:bookmarkEnd w:id="2486"/>
      <w:bookmarkEnd w:id="2487"/>
      <w:bookmarkEnd w:id="2488"/>
      <w:bookmarkEnd w:id="2489"/>
      <w:bookmarkEnd w:id="2490"/>
      <w:bookmarkEnd w:id="2491"/>
      <w:bookmarkEnd w:id="2492"/>
      <w:bookmarkEnd w:id="2493"/>
      <w:r>
        <w:rPr>
          <w:rFonts w:hint="eastAsia" w:ascii="仿宋_GB2312" w:hAnsi="仿宋_GB2312" w:eastAsia="仿宋_GB2312" w:cs="仿宋_GB2312"/>
          <w:color w:val="auto"/>
          <w:sz w:val="32"/>
          <w:szCs w:val="32"/>
          <w:highlight w:val="none"/>
        </w:rPr>
        <w:t>价格形式</w:t>
      </w:r>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Start w:id="2508" w:name="_Toc312678042"/>
      <w:bookmarkStart w:id="2509" w:name="_Toc297216213"/>
      <w:bookmarkStart w:id="2510" w:name="_Toc297123554"/>
      <w:bookmarkStart w:id="2511" w:name="_Toc304295581"/>
      <w:bookmarkStart w:id="2512" w:name="_Toc300935004"/>
      <w:bookmarkStart w:id="2513" w:name="_Toc303539161"/>
      <w:bookmarkStart w:id="2514" w:name="_Toc296503207"/>
      <w:bookmarkStart w:id="2515" w:name="_Toc292559412"/>
      <w:bookmarkStart w:id="2516" w:name="_Toc296346708"/>
      <w:bookmarkStart w:id="2517" w:name="_Toc296347206"/>
      <w:bookmarkStart w:id="2518" w:name="_Toc292559917"/>
      <w:bookmarkStart w:id="2519" w:name="_Toc296891035"/>
      <w:bookmarkStart w:id="2520" w:name="_Toc297048393"/>
      <w:bookmarkStart w:id="2521" w:name="_Toc297120507"/>
      <w:bookmarkStart w:id="2522" w:name="_Toc296891247"/>
      <w:bookmarkStart w:id="2523" w:name="_Toc296944546"/>
    </w:p>
    <w:p w14:paraId="6C0ECFD9">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1、固定综合单价合同。</w:t>
      </w:r>
    </w:p>
    <w:p w14:paraId="0E9DE68C">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rPr>
        <w:t>综合单价包含的风险</w:t>
      </w:r>
      <w:r>
        <w:rPr>
          <w:rFonts w:hint="eastAsia" w:ascii="仿宋_GB2312" w:hAnsi="仿宋_GB2312" w:eastAsia="仿宋_GB2312" w:cs="仿宋_GB2312"/>
          <w:color w:val="auto"/>
          <w:sz w:val="32"/>
          <w:szCs w:val="32"/>
          <w:highlight w:val="none"/>
          <w:u w:val="none"/>
        </w:rPr>
        <w:t>范围：除合同约定可调整价格范围外，完成合同约定及</w:t>
      </w:r>
      <w:permStart w:id="77" w:edGrp="everyone"/>
      <w:r>
        <w:rPr>
          <w:rFonts w:hint="eastAsia" w:ascii="仿宋_GB2312" w:hAnsi="仿宋_GB2312" w:eastAsia="仿宋_GB2312" w:cs="仿宋_GB2312"/>
          <w:color w:val="auto"/>
          <w:sz w:val="32"/>
          <w:szCs w:val="32"/>
          <w:highlight w:val="none"/>
          <w:u w:val="none"/>
        </w:rPr>
        <w:t>工程量清单</w:t>
      </w:r>
      <w:permEnd w:id="77"/>
      <w:r>
        <w:rPr>
          <w:rFonts w:hint="eastAsia" w:ascii="仿宋_GB2312" w:hAnsi="仿宋_GB2312" w:eastAsia="仿宋_GB2312" w:cs="仿宋_GB2312"/>
          <w:color w:val="auto"/>
          <w:sz w:val="32"/>
          <w:szCs w:val="32"/>
          <w:highlight w:val="none"/>
          <w:u w:val="none"/>
        </w:rPr>
        <w:t>范围内的所有风险。</w:t>
      </w:r>
    </w:p>
    <w:p w14:paraId="68F6A74F">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single"/>
        </w:rPr>
      </w:pPr>
      <w:r>
        <w:rPr>
          <w:rFonts w:hint="eastAsia" w:ascii="仿宋_GB2312" w:hAnsi="仿宋_GB2312" w:eastAsia="仿宋_GB2312" w:cs="仿宋_GB2312"/>
          <w:color w:val="auto"/>
          <w:sz w:val="32"/>
          <w:szCs w:val="32"/>
          <w:highlight w:val="none"/>
        </w:rPr>
        <w:t>风险费用的计算方法：</w:t>
      </w:r>
      <w:r>
        <w:rPr>
          <w:rFonts w:hint="eastAsia" w:ascii="仿宋_GB2312" w:hAnsi="仿宋_GB2312" w:eastAsia="仿宋_GB2312" w:cs="仿宋_GB2312"/>
          <w:color w:val="auto"/>
          <w:sz w:val="32"/>
          <w:szCs w:val="32"/>
          <w:highlight w:val="none"/>
          <w:u w:val="single"/>
        </w:rPr>
        <w:t xml:space="preserve"> / </w:t>
      </w:r>
      <w:r>
        <w:rPr>
          <w:rFonts w:hint="eastAsia" w:ascii="仿宋_GB2312" w:hAnsi="仿宋_GB2312" w:eastAsia="仿宋_GB2312" w:cs="仿宋_GB2312"/>
          <w:color w:val="auto"/>
          <w:sz w:val="32"/>
          <w:szCs w:val="32"/>
          <w:highlight w:val="none"/>
        </w:rPr>
        <w:t>。</w:t>
      </w:r>
    </w:p>
    <w:p w14:paraId="2C5E10E8">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single"/>
        </w:rPr>
      </w:pPr>
      <w:r>
        <w:rPr>
          <w:rFonts w:hint="eastAsia" w:ascii="仿宋_GB2312" w:hAnsi="仿宋_GB2312" w:eastAsia="仿宋_GB2312" w:cs="仿宋_GB2312"/>
          <w:color w:val="auto"/>
          <w:sz w:val="32"/>
          <w:szCs w:val="32"/>
          <w:highlight w:val="none"/>
        </w:rPr>
        <w:t>风险范围以外合同价格的调整方法：</w:t>
      </w:r>
      <w:r>
        <w:rPr>
          <w:rFonts w:hint="eastAsia" w:ascii="仿宋_GB2312" w:hAnsi="仿宋_GB2312" w:eastAsia="仿宋_GB2312" w:cs="仿宋_GB2312"/>
          <w:color w:val="auto"/>
          <w:sz w:val="32"/>
          <w:szCs w:val="32"/>
          <w:highlight w:val="none"/>
          <w:u w:val="single"/>
        </w:rPr>
        <w:t xml:space="preserve"> / </w:t>
      </w:r>
      <w:r>
        <w:rPr>
          <w:rFonts w:hint="eastAsia" w:ascii="仿宋_GB2312" w:hAnsi="仿宋_GB2312" w:eastAsia="仿宋_GB2312" w:cs="仿宋_GB2312"/>
          <w:color w:val="auto"/>
          <w:sz w:val="32"/>
          <w:szCs w:val="32"/>
          <w:highlight w:val="none"/>
        </w:rPr>
        <w:t>。</w:t>
      </w:r>
    </w:p>
    <w:p w14:paraId="6B82CC4A">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2、总价合同。</w:t>
      </w:r>
    </w:p>
    <w:p w14:paraId="5764E17E">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总价包含的风险范围：</w:t>
      </w:r>
      <w:r>
        <w:rPr>
          <w:rFonts w:hint="eastAsia" w:ascii="仿宋_GB2312" w:hAnsi="仿宋_GB2312" w:eastAsia="仿宋_GB2312" w:cs="仿宋_GB2312"/>
          <w:color w:val="auto"/>
          <w:sz w:val="32"/>
          <w:szCs w:val="32"/>
          <w:highlight w:val="none"/>
          <w:u w:val="single"/>
        </w:rPr>
        <w:t xml:space="preserve"> / </w:t>
      </w:r>
      <w:r>
        <w:rPr>
          <w:rFonts w:hint="eastAsia" w:ascii="仿宋_GB2312" w:hAnsi="仿宋_GB2312" w:eastAsia="仿宋_GB2312" w:cs="仿宋_GB2312"/>
          <w:color w:val="auto"/>
          <w:sz w:val="32"/>
          <w:szCs w:val="32"/>
          <w:highlight w:val="none"/>
        </w:rPr>
        <w:t>。</w:t>
      </w:r>
    </w:p>
    <w:p w14:paraId="46E518A0">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风险费用的计算方法：</w:t>
      </w:r>
      <w:r>
        <w:rPr>
          <w:rFonts w:hint="eastAsia" w:ascii="仿宋_GB2312" w:hAnsi="仿宋_GB2312" w:eastAsia="仿宋_GB2312" w:cs="仿宋_GB2312"/>
          <w:color w:val="auto"/>
          <w:sz w:val="32"/>
          <w:szCs w:val="32"/>
          <w:highlight w:val="none"/>
          <w:u w:val="single"/>
        </w:rPr>
        <w:t xml:space="preserve"> / </w:t>
      </w:r>
      <w:r>
        <w:rPr>
          <w:rFonts w:hint="eastAsia" w:ascii="仿宋_GB2312" w:hAnsi="仿宋_GB2312" w:eastAsia="仿宋_GB2312" w:cs="仿宋_GB2312"/>
          <w:color w:val="auto"/>
          <w:sz w:val="32"/>
          <w:szCs w:val="32"/>
          <w:highlight w:val="none"/>
        </w:rPr>
        <w:t>。</w:t>
      </w:r>
    </w:p>
    <w:p w14:paraId="5E1A158A">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风险范围以外合同价格的调整方法：</w:t>
      </w:r>
      <w:r>
        <w:rPr>
          <w:rFonts w:hint="eastAsia" w:ascii="仿宋_GB2312" w:hAnsi="仿宋_GB2312" w:eastAsia="仿宋_GB2312" w:cs="仿宋_GB2312"/>
          <w:color w:val="auto"/>
          <w:sz w:val="32"/>
          <w:szCs w:val="32"/>
          <w:highlight w:val="none"/>
          <w:u w:val="single"/>
        </w:rPr>
        <w:t xml:space="preserve"> / </w:t>
      </w:r>
      <w:r>
        <w:rPr>
          <w:rFonts w:hint="eastAsia" w:ascii="仿宋_GB2312" w:hAnsi="仿宋_GB2312" w:eastAsia="仿宋_GB2312" w:cs="仿宋_GB2312"/>
          <w:color w:val="auto"/>
          <w:sz w:val="32"/>
          <w:szCs w:val="32"/>
          <w:highlight w:val="none"/>
        </w:rPr>
        <w:t>。</w:t>
      </w:r>
    </w:p>
    <w:p w14:paraId="39228979">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single"/>
        </w:rPr>
      </w:pPr>
      <w:r>
        <w:rPr>
          <w:rFonts w:hint="eastAsia" w:ascii="仿宋_GB2312" w:hAnsi="仿宋_GB2312" w:eastAsia="仿宋_GB2312" w:cs="仿宋_GB2312"/>
          <w:color w:val="auto"/>
          <w:sz w:val="32"/>
          <w:szCs w:val="32"/>
          <w:highlight w:val="none"/>
        </w:rPr>
        <w:t>3、其他价格方式</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u w:val="single"/>
        </w:rPr>
        <w:t xml:space="preserve"> / </w:t>
      </w:r>
      <w:r>
        <w:rPr>
          <w:rFonts w:hint="eastAsia" w:ascii="仿宋_GB2312" w:hAnsi="仿宋_GB2312" w:eastAsia="仿宋_GB2312" w:cs="仿宋_GB2312"/>
          <w:color w:val="auto"/>
          <w:sz w:val="32"/>
          <w:szCs w:val="32"/>
          <w:highlight w:val="none"/>
          <w:u w:val="none"/>
        </w:rPr>
        <w:t>。</w:t>
      </w:r>
    </w:p>
    <w:p w14:paraId="6AD5B967">
      <w:pPr>
        <w:pageBreakBefore w:val="0"/>
        <w:kinsoku/>
        <w:wordWrap/>
        <w:overflowPunct/>
        <w:topLinePunct w:val="0"/>
        <w:bidi w:val="0"/>
        <w:adjustRightInd w:val="0"/>
        <w:snapToGrid w:val="0"/>
        <w:spacing w:line="560" w:lineRule="exact"/>
        <w:ind w:firstLine="640" w:firstLineChars="200"/>
        <w:jc w:val="both"/>
        <w:outlineLvl w:val="9"/>
        <w:rPr>
          <w:rFonts w:hint="eastAsia" w:ascii="仿宋_GB2312" w:hAnsi="仿宋_GB2312" w:eastAsia="仿宋_GB2312" w:cs="仿宋_GB2312"/>
          <w:color w:val="auto"/>
          <w:sz w:val="32"/>
          <w:szCs w:val="32"/>
          <w:highlight w:val="none"/>
        </w:rPr>
      </w:pPr>
      <w:bookmarkStart w:id="2524" w:name="_Toc29966"/>
      <w:bookmarkStart w:id="2525" w:name="_Toc15726"/>
      <w:bookmarkStart w:id="2526" w:name="_Toc25909"/>
      <w:bookmarkStart w:id="2527" w:name="_Toc27088"/>
      <w:bookmarkStart w:id="2528" w:name="_Toc24698"/>
      <w:bookmarkStart w:id="2529" w:name="_Toc5567"/>
      <w:bookmarkStart w:id="2530" w:name="_Toc1072"/>
      <w:bookmarkStart w:id="2531" w:name="_Toc9995"/>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.2 预付款</w:t>
      </w:r>
      <w:bookmarkEnd w:id="2508"/>
      <w:bookmarkEnd w:id="2509"/>
      <w:bookmarkEnd w:id="2510"/>
      <w:bookmarkEnd w:id="2511"/>
      <w:bookmarkEnd w:id="2512"/>
      <w:bookmarkEnd w:id="2513"/>
      <w:bookmarkEnd w:id="2524"/>
      <w:bookmarkEnd w:id="2525"/>
      <w:bookmarkEnd w:id="2526"/>
      <w:bookmarkEnd w:id="2527"/>
      <w:bookmarkEnd w:id="2528"/>
      <w:bookmarkEnd w:id="2529"/>
      <w:bookmarkEnd w:id="2530"/>
      <w:bookmarkEnd w:id="2531"/>
    </w:p>
    <w:p w14:paraId="4D42E5C0">
      <w:pPr>
        <w:keepNext/>
        <w:keepLines/>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.2.1 预付款的支付</w:t>
      </w:r>
    </w:p>
    <w:bookmarkEnd w:id="2514"/>
    <w:bookmarkEnd w:id="2515"/>
    <w:bookmarkEnd w:id="2516"/>
    <w:bookmarkEnd w:id="2517"/>
    <w:bookmarkEnd w:id="2518"/>
    <w:bookmarkEnd w:id="2519"/>
    <w:bookmarkEnd w:id="2520"/>
    <w:bookmarkEnd w:id="2521"/>
    <w:bookmarkEnd w:id="2522"/>
    <w:bookmarkEnd w:id="2523"/>
    <w:p w14:paraId="556C7C06">
      <w:pPr>
        <w:pageBreakBefore w:val="0"/>
        <w:widowControl w:val="0"/>
        <w:kinsoku/>
        <w:wordWrap/>
        <w:overflowPunct/>
        <w:topLinePunct w:val="0"/>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highlight w:val="none"/>
        </w:rPr>
      </w:pPr>
      <w:bookmarkStart w:id="2532" w:name="_Toc258"/>
      <w:bookmarkStart w:id="2533" w:name="_Toc14549"/>
      <w:r>
        <w:rPr>
          <w:rFonts w:hint="eastAsia" w:ascii="仿宋_GB2312" w:hAnsi="仿宋_GB2312" w:eastAsia="仿宋_GB2312" w:cs="仿宋_GB2312"/>
          <w:color w:val="auto"/>
          <w:sz w:val="32"/>
          <w:szCs w:val="32"/>
          <w:highlight w:val="none"/>
        </w:rPr>
        <w:t>预付款支付比例或金额：</w:t>
      </w:r>
      <w:permStart w:id="78" w:edGrp="everyone"/>
      <w:r>
        <w:rPr>
          <w:rFonts w:hint="eastAsia" w:ascii="仿宋_GB2312" w:hAnsi="仿宋_GB2312" w:eastAsia="仿宋_GB2312" w:cs="仿宋_GB2312"/>
          <w:color w:val="auto"/>
          <w:sz w:val="32"/>
          <w:szCs w:val="32"/>
          <w:highlight w:val="none"/>
          <w:u w:val="single"/>
          <w:lang w:val="en-US" w:eastAsia="zh-CN"/>
        </w:rPr>
        <w:t xml:space="preserve"> 签约合同总价扣减暂列金和暂估价后的30%作为工程预付款;预付款计算方法:(签约合同总价-暂列金-暂估价)*30%(注:公式中的暂列金和暂估价指计取税金后的暂列金和暂估价);工程预付款中包含本合同范围内全部安全文明施工费基本部分 </w:t>
      </w:r>
      <w:permEnd w:id="78"/>
      <w:r>
        <w:rPr>
          <w:rFonts w:hint="eastAsia" w:ascii="仿宋_GB2312" w:hAnsi="仿宋_GB2312" w:eastAsia="仿宋_GB2312" w:cs="仿宋_GB2312"/>
          <w:color w:val="auto"/>
          <w:sz w:val="32"/>
          <w:szCs w:val="32"/>
          <w:highlight w:val="none"/>
        </w:rPr>
        <w:t>。</w:t>
      </w:r>
    </w:p>
    <w:p w14:paraId="6F7B55A3">
      <w:pPr>
        <w:pageBreakBefore w:val="0"/>
        <w:widowControl w:val="0"/>
        <w:kinsoku/>
        <w:wordWrap/>
        <w:overflowPunct/>
        <w:topLinePunct w:val="0"/>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预付款支付期限：</w:t>
      </w:r>
      <w:permStart w:id="79" w:edGrp="everyone"/>
      <w:r>
        <w:rPr>
          <w:rFonts w:hint="eastAsia" w:ascii="仿宋_GB2312" w:hAnsi="仿宋_GB2312" w:eastAsia="仿宋_GB2312" w:cs="仿宋_GB2312"/>
          <w:color w:val="auto"/>
          <w:sz w:val="32"/>
          <w:szCs w:val="32"/>
          <w:highlight w:val="none"/>
          <w:u w:val="single"/>
          <w:lang w:val="en-US" w:eastAsia="zh-CN"/>
        </w:rPr>
        <w:t xml:space="preserve"> 合同签订生效且承包人进场，承包人提交预付款担保及履约担保，并办理农民工工资保证金(同时提供农民工工资账户名称、账号)后 </w:t>
      </w:r>
      <w:permEnd w:id="79"/>
      <w:r>
        <w:rPr>
          <w:rFonts w:hint="eastAsia" w:ascii="仿宋_GB2312" w:hAnsi="仿宋_GB2312" w:eastAsia="仿宋_GB2312" w:cs="仿宋_GB2312"/>
          <w:color w:val="auto"/>
          <w:sz w:val="32"/>
          <w:szCs w:val="32"/>
          <w:highlight w:val="none"/>
          <w:u w:val="none"/>
        </w:rPr>
        <w:t>。</w:t>
      </w:r>
    </w:p>
    <w:p w14:paraId="498AEAD3">
      <w:pPr>
        <w:pageBreakBefore w:val="0"/>
        <w:widowControl w:val="0"/>
        <w:kinsoku/>
        <w:wordWrap/>
        <w:overflowPunct/>
        <w:topLinePunct w:val="0"/>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预付款扣回的方式：</w:t>
      </w:r>
      <w:permStart w:id="80" w:edGrp="everyone"/>
      <w:r>
        <w:rPr>
          <w:rFonts w:hint="eastAsia" w:ascii="仿宋_GB2312" w:hAnsi="仿宋_GB2312" w:eastAsia="仿宋_GB2312" w:cs="仿宋_GB2312"/>
          <w:color w:val="auto"/>
          <w:sz w:val="32"/>
          <w:szCs w:val="32"/>
          <w:highlight w:val="none"/>
          <w:u w:val="single"/>
          <w:lang w:val="en-US" w:eastAsia="zh-CN"/>
        </w:rPr>
        <w:t xml:space="preserve"> 从第一期工程计量进度款开始扣回，每期扣回金额=本期施工完成审定产值x10%，直至扣完为止。根据项目建设需要，承包人可在进度款申报中申请暂缓扣回预付款，经监理人、发包人审核并同意后当期可缓扣回预付款，并在下一期进度款支付时予以补扣;预付款的扣回应在进度款支付至签约合同总价80%前完成 </w:t>
      </w:r>
      <w:permEnd w:id="80"/>
      <w:r>
        <w:rPr>
          <w:rFonts w:hint="eastAsia" w:ascii="仿宋_GB2312" w:hAnsi="仿宋_GB2312" w:eastAsia="仿宋_GB2312" w:cs="仿宋_GB2312"/>
          <w:color w:val="auto"/>
          <w:sz w:val="32"/>
          <w:szCs w:val="32"/>
          <w:highlight w:val="none"/>
        </w:rPr>
        <w:t>。</w:t>
      </w:r>
    </w:p>
    <w:p w14:paraId="0C592270">
      <w:pPr>
        <w:pageBreakBefore w:val="0"/>
        <w:widowControl w:val="0"/>
        <w:kinsoku/>
        <w:wordWrap/>
        <w:overflowPunct/>
        <w:topLinePunct w:val="0"/>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.2.2 预付款担保</w:t>
      </w:r>
    </w:p>
    <w:p w14:paraId="0B4D62D7">
      <w:pPr>
        <w:pageBreakBefore w:val="0"/>
        <w:widowControl w:val="0"/>
        <w:kinsoku/>
        <w:wordWrap/>
        <w:overflowPunct/>
        <w:topLinePunct w:val="0"/>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承包人提交预付款担保的期限：</w:t>
      </w:r>
      <w:permStart w:id="81" w:edGrp="everyone"/>
      <w:r>
        <w:rPr>
          <w:rFonts w:hint="eastAsia" w:ascii="仿宋_GB2312" w:hAnsi="仿宋_GB2312" w:eastAsia="仿宋_GB2312" w:cs="仿宋_GB2312"/>
          <w:color w:val="auto"/>
          <w:sz w:val="32"/>
          <w:szCs w:val="32"/>
          <w:highlight w:val="none"/>
          <w:u w:val="single"/>
          <w:lang w:val="en-US" w:eastAsia="zh-CN"/>
        </w:rPr>
        <w:t xml:space="preserve"> 合同签订后30天内承包人应按本合同附件18约定的预付款担保格式向</w:t>
      </w:r>
      <w:bookmarkStart w:id="3100" w:name="_GoBack"/>
      <w:bookmarkEnd w:id="3100"/>
      <w:r>
        <w:rPr>
          <w:rFonts w:hint="eastAsia" w:ascii="仿宋_GB2312" w:hAnsi="仿宋_GB2312" w:eastAsia="仿宋_GB2312" w:cs="仿宋_GB2312"/>
          <w:color w:val="auto"/>
          <w:sz w:val="32"/>
          <w:szCs w:val="32"/>
          <w:highlight w:val="none"/>
          <w:u w:val="single"/>
          <w:lang w:val="en-US" w:eastAsia="zh-CN"/>
        </w:rPr>
        <w:t xml:space="preserve">发包人提供与预付款等额的预付款担保 </w:t>
      </w:r>
      <w:permEnd w:id="81"/>
      <w:r>
        <w:rPr>
          <w:rFonts w:hint="eastAsia" w:ascii="仿宋_GB2312" w:hAnsi="仿宋_GB2312" w:eastAsia="仿宋_GB2312" w:cs="仿宋_GB2312"/>
          <w:color w:val="auto"/>
          <w:sz w:val="32"/>
          <w:szCs w:val="32"/>
          <w:highlight w:val="none"/>
        </w:rPr>
        <w:t>。</w:t>
      </w:r>
    </w:p>
    <w:p w14:paraId="4EE7D22B">
      <w:pPr>
        <w:pageBreakBefore w:val="0"/>
        <w:widowControl w:val="0"/>
        <w:kinsoku/>
        <w:wordWrap/>
        <w:overflowPunct/>
        <w:topLinePunct w:val="0"/>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预付款担保的形式为：</w:t>
      </w:r>
      <w:permStart w:id="82" w:edGrp="everyone"/>
      <w:r>
        <w:rPr>
          <w:rFonts w:hint="eastAsia" w:ascii="仿宋_GB2312" w:hAnsi="仿宋_GB2312" w:eastAsia="仿宋_GB2312" w:cs="仿宋_GB2312"/>
          <w:color w:val="auto"/>
          <w:sz w:val="32"/>
          <w:szCs w:val="32"/>
          <w:highlight w:val="none"/>
          <w:u w:val="single"/>
          <w:lang w:val="en-US" w:eastAsia="zh-CN"/>
        </w:rPr>
        <w:t xml:space="preserve"> 银行保函 </w:t>
      </w:r>
      <w:permEnd w:id="82"/>
      <w:r>
        <w:rPr>
          <w:rFonts w:hint="eastAsia" w:ascii="仿宋_GB2312" w:hAnsi="仿宋_GB2312" w:eastAsia="仿宋_GB2312" w:cs="仿宋_GB2312"/>
          <w:color w:val="auto"/>
          <w:sz w:val="32"/>
          <w:szCs w:val="32"/>
          <w:highlight w:val="none"/>
        </w:rPr>
        <w:t>。</w:t>
      </w:r>
    </w:p>
    <w:p w14:paraId="673B2322">
      <w:pPr>
        <w:pageBreakBefore w:val="0"/>
        <w:widowControl w:val="0"/>
        <w:kinsoku/>
        <w:wordWrap/>
        <w:overflowPunct/>
        <w:topLinePunct w:val="0"/>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预付款担保金额：</w:t>
      </w:r>
      <w:permStart w:id="83" w:edGrp="everyone"/>
      <w:r>
        <w:rPr>
          <w:rFonts w:hint="eastAsia" w:ascii="仿宋_GB2312" w:hAnsi="仿宋_GB2312" w:eastAsia="仿宋_GB2312" w:cs="仿宋_GB2312"/>
          <w:color w:val="auto"/>
          <w:sz w:val="32"/>
          <w:szCs w:val="32"/>
          <w:highlight w:val="none"/>
          <w:u w:val="single"/>
          <w:lang w:val="en-US" w:eastAsia="zh-CN"/>
        </w:rPr>
        <w:t xml:space="preserve"> 应与预付款金额等额。因银行保函或非银行金融机构保函或连带责任保证延期等情形需重新开具的预付款保函金额不得少于未被扣回的预付款金额 </w:t>
      </w:r>
      <w:permEnd w:id="83"/>
      <w:r>
        <w:rPr>
          <w:rFonts w:hint="eastAsia" w:ascii="仿宋_GB2312" w:hAnsi="仿宋_GB2312" w:eastAsia="仿宋_GB2312" w:cs="仿宋_GB2312"/>
          <w:color w:val="auto"/>
          <w:sz w:val="32"/>
          <w:szCs w:val="32"/>
          <w:highlight w:val="none"/>
        </w:rPr>
        <w:t>。</w:t>
      </w:r>
    </w:p>
    <w:p w14:paraId="3E72026C">
      <w:pPr>
        <w:pageBreakBefore w:val="0"/>
        <w:widowControl w:val="0"/>
        <w:kinsoku/>
        <w:wordWrap/>
        <w:overflowPunct/>
        <w:topLinePunct w:val="0"/>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highlight w:val="none"/>
          <w:u w:val="single"/>
          <w:lang w:val="en-US" w:eastAsia="zh-CN"/>
        </w:rPr>
      </w:pPr>
      <w:r>
        <w:rPr>
          <w:rFonts w:hint="eastAsia" w:ascii="仿宋_GB2312" w:hAnsi="仿宋_GB2312" w:eastAsia="仿宋_GB2312" w:cs="仿宋_GB2312"/>
          <w:color w:val="auto"/>
          <w:sz w:val="32"/>
          <w:szCs w:val="32"/>
          <w:highlight w:val="none"/>
        </w:rPr>
        <w:t>预付款担保的有效期限：</w:t>
      </w:r>
      <w:permStart w:id="84" w:edGrp="everyone"/>
      <w:r>
        <w:rPr>
          <w:rFonts w:hint="eastAsia" w:ascii="仿宋_GB2312" w:hAnsi="仿宋_GB2312" w:eastAsia="仿宋_GB2312" w:cs="仿宋_GB2312"/>
          <w:color w:val="auto"/>
          <w:sz w:val="32"/>
          <w:szCs w:val="32"/>
          <w:highlight w:val="none"/>
          <w:u w:val="single"/>
          <w:lang w:val="en-US" w:eastAsia="zh-CN"/>
        </w:rPr>
        <w:t xml:space="preserve"> 自银行保函开立之日起至预付款全部扣回止预付款扣完前如出现预付款担保(银行保函或非银行金融机构保函或连带责任保证)期满的情形，承包人应无条件于预付款担保期满前30日内主动办理延期手续;如承包人因其自身原因导致担保人不予以办理预付款担保延期手续(含新开预付款担保，下同)的，承包人可向发包人提供担保人不予办理预付款担保延期手续或开立新预付款担保的相关证明文件并提交更改预付款担保的书面申请，发包人有权核实上述相关证明的真实性，经发包人同意后双方签订补充协议方可更改预付款担保方式，如发包人不同意或双方对更改后的预付款担保方式无法达成一致意见的，承包人仍应按照合同原约定办理预付款担保延期手续或开立新的预付款担保。经发包人书面通知，承包人仍未办理预付款担保延期手续的，发包人将依据本合同专用条款第16.2.2条第(19)款追究承包人的违约责任。</w:t>
      </w:r>
    </w:p>
    <w:p w14:paraId="527F2D6D">
      <w:pPr>
        <w:pageBreakBefore w:val="0"/>
        <w:widowControl w:val="0"/>
        <w:kinsoku/>
        <w:wordWrap/>
        <w:overflowPunct/>
        <w:topLinePunct w:val="0"/>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highlight w:val="none"/>
          <w:u w:val="single"/>
          <w:lang w:val="en-US" w:eastAsia="zh-CN"/>
        </w:rPr>
      </w:pPr>
      <w:r>
        <w:rPr>
          <w:rFonts w:hint="eastAsia" w:ascii="仿宋_GB2312" w:hAnsi="仿宋_GB2312" w:eastAsia="仿宋_GB2312" w:cs="仿宋_GB2312"/>
          <w:color w:val="auto"/>
          <w:sz w:val="32"/>
          <w:szCs w:val="32"/>
          <w:highlight w:val="none"/>
          <w:u w:val="single"/>
          <w:lang w:val="en-US" w:eastAsia="zh-CN"/>
        </w:rPr>
        <w:t>本合同履行期间，因承包人违反合同约定的义务时，发包人有权无条件收回剩余预付款。</w:t>
      </w:r>
    </w:p>
    <w:p w14:paraId="682C6735">
      <w:pPr>
        <w:pageBreakBefore w:val="0"/>
        <w:widowControl w:val="0"/>
        <w:kinsoku/>
        <w:wordWrap/>
        <w:overflowPunct/>
        <w:topLinePunct w:val="0"/>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u w:val="single"/>
          <w:lang w:val="en-US" w:eastAsia="zh-CN"/>
        </w:rPr>
        <w:t xml:space="preserve">如承包人确认不需要预付款或可提前全部扣回预付款的，承包人需出具放弃(或提前扣回)预付款申请函，经发包人、监理人书面同意后，发包人可不支付预付款或提前扣回已付预付款。 </w:t>
      </w:r>
      <w:permEnd w:id="84"/>
    </w:p>
    <w:p w14:paraId="01A191DC">
      <w:pPr>
        <w:pageBreakBefore w:val="0"/>
        <w:kinsoku/>
        <w:wordWrap/>
        <w:overflowPunct/>
        <w:topLinePunct w:val="0"/>
        <w:bidi w:val="0"/>
        <w:adjustRightInd w:val="0"/>
        <w:snapToGrid w:val="0"/>
        <w:spacing w:line="560" w:lineRule="exact"/>
        <w:ind w:firstLine="640" w:firstLineChars="200"/>
        <w:jc w:val="both"/>
        <w:outlineLvl w:val="9"/>
        <w:rPr>
          <w:rFonts w:hint="eastAsia" w:ascii="仿宋_GB2312" w:hAnsi="仿宋_GB2312" w:eastAsia="仿宋_GB2312" w:cs="仿宋_GB2312"/>
          <w:color w:val="auto"/>
          <w:sz w:val="32"/>
          <w:szCs w:val="32"/>
          <w:highlight w:val="none"/>
        </w:rPr>
      </w:pPr>
      <w:bookmarkStart w:id="2534" w:name="_Toc30360"/>
      <w:bookmarkStart w:id="2535" w:name="_Toc26949"/>
      <w:bookmarkStart w:id="2536" w:name="_Toc9379"/>
      <w:bookmarkStart w:id="2537" w:name="_Toc9841"/>
      <w:bookmarkStart w:id="2538" w:name="_Toc14963"/>
      <w:bookmarkStart w:id="2539" w:name="_Toc26666"/>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.3 计量</w:t>
      </w:r>
      <w:bookmarkEnd w:id="2532"/>
      <w:bookmarkEnd w:id="2533"/>
      <w:bookmarkEnd w:id="2534"/>
      <w:bookmarkEnd w:id="2535"/>
      <w:bookmarkEnd w:id="2536"/>
      <w:bookmarkEnd w:id="2537"/>
      <w:bookmarkEnd w:id="2538"/>
      <w:bookmarkEnd w:id="2539"/>
    </w:p>
    <w:p w14:paraId="44194160">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.3.1 计量原则</w:t>
      </w:r>
    </w:p>
    <w:p w14:paraId="742166D0">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工程量计算规则：</w:t>
      </w:r>
      <w:r>
        <w:rPr>
          <w:rFonts w:hint="eastAsia" w:ascii="仿宋_GB2312" w:hAnsi="仿宋_GB2312" w:eastAsia="仿宋_GB2312" w:cs="仿宋_GB2312"/>
          <w:color w:val="auto"/>
          <w:sz w:val="32"/>
          <w:szCs w:val="32"/>
          <w:highlight w:val="none"/>
          <w:u w:val="none"/>
        </w:rPr>
        <w:t>承包人实际完成的工程量按《建设工程工程量清单计价规范》（GB50500-2013）、海南省住房和城乡建设厅《关于发布</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rPr>
        <w:t>建设工程工程量清单计价规范</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rPr>
        <w:t>（GB50500-2013）中规定的工程量计算规则和有合同约束力的图纸进行计量，对于工程量清单及其相关说明中已标明包干使用的执行工程量清单及其相关说明中包干约定。如有政府部门颁布最新规范，则按最新规范相关要求执行</w:t>
      </w:r>
      <w:r>
        <w:rPr>
          <w:rFonts w:hint="eastAsia" w:ascii="仿宋_GB2312" w:hAnsi="仿宋_GB2312" w:eastAsia="仿宋_GB2312" w:cs="仿宋_GB2312"/>
          <w:color w:val="auto"/>
          <w:sz w:val="32"/>
          <w:szCs w:val="32"/>
          <w:highlight w:val="none"/>
        </w:rPr>
        <w:t>。</w:t>
      </w:r>
    </w:p>
    <w:p w14:paraId="0DAB12CF">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.3.2 计量周期</w:t>
      </w:r>
    </w:p>
    <w:p w14:paraId="316578E4">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关于计量周期的约定：</w:t>
      </w:r>
      <w:r>
        <w:rPr>
          <w:rFonts w:hint="eastAsia" w:ascii="仿宋_GB2312" w:hAnsi="仿宋_GB2312" w:eastAsia="仿宋_GB2312" w:cs="仿宋_GB2312"/>
          <w:color w:val="auto"/>
          <w:sz w:val="32"/>
          <w:szCs w:val="32"/>
          <w:highlight w:val="none"/>
          <w:u w:val="none"/>
        </w:rPr>
        <w:t>本合同的计量周期为月，每月25日为当月计量截止日期（不含当日）和下月计量起始日期（含当日）</w:t>
      </w:r>
      <w:r>
        <w:rPr>
          <w:rFonts w:hint="eastAsia" w:ascii="仿宋_GB2312" w:hAnsi="仿宋_GB2312" w:eastAsia="仿宋_GB2312" w:cs="仿宋_GB2312"/>
          <w:color w:val="auto"/>
          <w:sz w:val="32"/>
          <w:szCs w:val="32"/>
          <w:highlight w:val="none"/>
          <w:u w:val="none"/>
          <w:lang w:val="en-US" w:eastAsia="zh-CN"/>
        </w:rPr>
        <w:t xml:space="preserve"> 。</w:t>
      </w:r>
    </w:p>
    <w:p w14:paraId="7181F779">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.3.3 单价合同的计量</w:t>
      </w:r>
    </w:p>
    <w:p w14:paraId="75400785">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rPr>
        <w:t>关于单价合同计量的约定：</w:t>
      </w:r>
      <w:r>
        <w:rPr>
          <w:rFonts w:hint="eastAsia" w:ascii="仿宋_GB2312" w:hAnsi="仿宋_GB2312" w:eastAsia="仿宋_GB2312" w:cs="仿宋_GB2312"/>
          <w:color w:val="auto"/>
          <w:sz w:val="32"/>
          <w:szCs w:val="32"/>
          <w:highlight w:val="none"/>
          <w:u w:val="none"/>
        </w:rPr>
        <w:t>除合同另有约定外，承包人实际完成合格工程的工程量按约定的工程量计算规则和有合同约束力的图纸进行计量：</w:t>
      </w:r>
    </w:p>
    <w:p w14:paraId="65692776">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1、清表工作内容包含施工范围内的树（胸径 30cm以内）灌木、所有植被、垃圾、障碍物等砍、挖、运树根、挖</w:t>
      </w:r>
      <w:r>
        <w:rPr>
          <w:rFonts w:hint="eastAsia" w:ascii="仿宋_GB2312" w:hAnsi="仿宋_GB2312" w:eastAsia="仿宋_GB2312" w:cs="仿宋_GB2312"/>
          <w:color w:val="auto"/>
          <w:sz w:val="32"/>
          <w:szCs w:val="32"/>
          <w:highlight w:val="none"/>
          <w:u w:val="none"/>
          <w:lang w:eastAsia="zh-CN"/>
        </w:rPr>
        <w:t>树蔸</w:t>
      </w:r>
      <w:r>
        <w:rPr>
          <w:rFonts w:hint="eastAsia" w:ascii="仿宋_GB2312" w:hAnsi="仿宋_GB2312" w:eastAsia="仿宋_GB2312" w:cs="仿宋_GB2312"/>
          <w:color w:val="auto"/>
          <w:sz w:val="32"/>
          <w:szCs w:val="32"/>
          <w:highlight w:val="none"/>
          <w:u w:val="none"/>
        </w:rPr>
        <w:t>，清表土外运等工作内容，清表宽度按设计场地红线宽计，清表深度按设计厚度计算，没有设计时按满足施工需求综合考虑，且深度均不应超过30cm</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rPr>
        <w:t>相关费用已包含在</w:t>
      </w:r>
      <w:r>
        <w:rPr>
          <w:rFonts w:hint="eastAsia" w:ascii="仿宋_GB2312" w:hAnsi="仿宋_GB2312" w:eastAsia="仿宋_GB2312" w:cs="仿宋_GB2312"/>
          <w:color w:val="auto"/>
          <w:sz w:val="32"/>
          <w:szCs w:val="32"/>
          <w:highlight w:val="none"/>
          <w:u w:val="none"/>
          <w:lang w:eastAsia="zh-CN"/>
        </w:rPr>
        <w:t>合同价款中的各分部分项或措施项目清单综合单价</w:t>
      </w:r>
      <w:r>
        <w:rPr>
          <w:rFonts w:hint="eastAsia" w:ascii="仿宋_GB2312" w:hAnsi="仿宋_GB2312" w:eastAsia="仿宋_GB2312" w:cs="仿宋_GB2312"/>
          <w:color w:val="auto"/>
          <w:sz w:val="32"/>
          <w:szCs w:val="32"/>
          <w:highlight w:val="none"/>
          <w:u w:val="none"/>
        </w:rPr>
        <w:t>中，发包人不另行支付。</w:t>
      </w:r>
    </w:p>
    <w:p w14:paraId="73CF6260">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 xml:space="preserve">2、挖一般土、沟槽、基坑、管沟土方工程量计算规则执行 2013 年住房和城乡建设部颁布的《建设工程工程量清单计价规范》（GB50500-2013）、《海南省市政工程综合定额（2017版）》中规定的工程量计算规则进行计算，排水边沟在工作面宽度内设置。沟槽开挖所需措施，由承包人根据自行施工方案进行报价，在措施费中按项计列或在清单综合单价中综合考虑报价。 </w:t>
      </w:r>
    </w:p>
    <w:p w14:paraId="5FFDF5A7">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3、本工程所有施工措施费，承包人根据现场情况和施工图纸自行拟定，如基坑支护（或放坡）方案、降、排水措施，围堰、抽水台班、井点降水、回填土处理方案等，在措施费中按项计列或在清单综合单价中综合考虑报价。工程量清单中以“项”计的措施费施工期间除合同另有约定外，结算时，承包人需交相应的施工方案及经确认的现场实际实施的工程量表，并根据实际工程量进行结算，且结算价不得超过相应的中标价。施工过程中，承包人在措施工程隐蔽之前或拆除之前未及时通知参建各方参加现场实际实施的工程量确认程序，以及未将现场已发生并已确认的工程量在7天内形成正式表单上报发包人完善手续的，均视为承包人放弃该部分费用。监理工程师根据合同约定及工程进度计量支付。项目发生变更时，按专用合同条款</w:t>
      </w:r>
      <w:r>
        <w:rPr>
          <w:rFonts w:hint="eastAsia" w:ascii="仿宋_GB2312" w:hAnsi="仿宋_GB2312" w:eastAsia="仿宋_GB2312" w:cs="仿宋_GB2312"/>
          <w:color w:val="auto"/>
          <w:sz w:val="32"/>
          <w:szCs w:val="32"/>
          <w:highlight w:val="none"/>
          <w:u w:val="none"/>
          <w:lang w:val="en-US" w:eastAsia="zh-CN"/>
        </w:rPr>
        <w:t>10</w:t>
      </w:r>
      <w:r>
        <w:rPr>
          <w:rFonts w:hint="eastAsia" w:ascii="仿宋_GB2312" w:hAnsi="仿宋_GB2312" w:eastAsia="仿宋_GB2312" w:cs="仿宋_GB2312"/>
          <w:color w:val="auto"/>
          <w:sz w:val="32"/>
          <w:szCs w:val="32"/>
          <w:highlight w:val="none"/>
          <w:u w:val="none"/>
        </w:rPr>
        <w:t>.4.1执行，例如因地质与地勘不符造成沟槽开挖边坡支护方案变化，扣除原方案变更部分的措施费并按批准后的方案计取措施费。涉及《危险性较大的分部分项工程安全管理规定》有关问题的通知（建办质〔2018〕31号）中附件2《超过一定规模的危险性较大的分部分项工程范围》按专家论证通过的方案计取相关措施费用</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rPr>
        <w:t>签证变更应按发包人的要求办理报批报备手续。</w:t>
      </w:r>
    </w:p>
    <w:p w14:paraId="254E0A09">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4、雨水口连接管管道铺设在《建设工程工程量清单计价规范》（GB50500-2013）附录工程内容基础上增加工作内容：路面级配碎石层破除及恢复，土方开挖及回填，余土外运，混凝土满包。</w:t>
      </w:r>
    </w:p>
    <w:p w14:paraId="31E9FBAF">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5、弃土场地点、清表土、建筑垃圾、生活垃圾等运距承包人自行考虑，其费用在相应清单项目已标价工程量清单综合单价中综合考虑。</w:t>
      </w:r>
    </w:p>
    <w:p w14:paraId="0622F063">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6、其他项目费计量支付说明：扬尘噪音在线监测设备费、场地准备、临时设施费及交通疏导费用，承包人在</w:t>
      </w:r>
      <w:r>
        <w:rPr>
          <w:rFonts w:hint="eastAsia" w:ascii="仿宋_GB2312" w:hAnsi="仿宋_GB2312" w:eastAsia="仿宋_GB2312" w:cs="仿宋_GB2312"/>
          <w:color w:val="auto"/>
          <w:sz w:val="32"/>
          <w:szCs w:val="32"/>
          <w:highlight w:val="none"/>
          <w:u w:val="none"/>
          <w:lang w:eastAsia="zh-CN"/>
        </w:rPr>
        <w:t>合同价款中的各分部分项或措施项目清单综合单价</w:t>
      </w:r>
      <w:r>
        <w:rPr>
          <w:rFonts w:hint="eastAsia" w:ascii="仿宋_GB2312" w:hAnsi="仿宋_GB2312" w:eastAsia="仿宋_GB2312" w:cs="仿宋_GB2312"/>
          <w:color w:val="auto"/>
          <w:sz w:val="32"/>
          <w:szCs w:val="32"/>
          <w:highlight w:val="none"/>
          <w:u w:val="none"/>
        </w:rPr>
        <w:t>中自行考虑，不再单独计取。</w:t>
      </w:r>
    </w:p>
    <w:p w14:paraId="3F43CEA4">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7、除合同另有约定外，承包人实际完成的工程量按约定的工程量计算规则和有合同约束力的图纸进行计量。</w:t>
      </w:r>
    </w:p>
    <w:p w14:paraId="650F425F">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8、降、排水费采用包干制，结算时不做调整。</w:t>
      </w:r>
    </w:p>
    <w:p w14:paraId="55C434EC">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9、桩基工程中预制钢筋混凝土管桩或方桩（含试桩）清单中引孔所需费用，承包人在打（压）桩清单报价内自行考虑，不再另外计取。</w:t>
      </w:r>
    </w:p>
    <w:p w14:paraId="5212FA61">
      <w:pPr>
        <w:pageBreakBefore w:val="0"/>
        <w:widowControl w:val="0"/>
        <w:kinsoku/>
        <w:wordWrap/>
        <w:overflowPunct/>
        <w:topLinePunct w:val="0"/>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lang w:val="en-US" w:eastAsia="zh-CN"/>
        </w:rPr>
        <w:t>10、</w:t>
      </w:r>
      <w:r>
        <w:rPr>
          <w:rFonts w:hint="eastAsia" w:ascii="仿宋_GB2312" w:hAnsi="仿宋_GB2312" w:eastAsia="仿宋_GB2312" w:cs="仿宋_GB2312"/>
          <w:color w:val="auto"/>
          <w:sz w:val="32"/>
          <w:szCs w:val="32"/>
          <w:highlight w:val="none"/>
          <w:u w:val="none"/>
        </w:rPr>
        <w:t>本合同履约过程中的所有变更、签证价款、所有价差类调整、方案（如本合同明确规定有涉及价格的）及下浮费率调整费用等，均于工程竣工结算时综合计算，工程进度款支付时不考虑。</w:t>
      </w:r>
    </w:p>
    <w:p w14:paraId="0BAF6305">
      <w:pPr>
        <w:pageBreakBefore w:val="0"/>
        <w:widowControl w:val="0"/>
        <w:kinsoku/>
        <w:wordWrap/>
        <w:overflowPunct/>
        <w:topLinePunct w:val="0"/>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lang w:val="en-US" w:eastAsia="zh-CN"/>
        </w:rPr>
        <w:t>11、</w:t>
      </w:r>
      <w:r>
        <w:rPr>
          <w:rFonts w:hint="eastAsia" w:ascii="仿宋_GB2312" w:hAnsi="仿宋_GB2312" w:eastAsia="仿宋_GB2312" w:cs="仿宋_GB2312"/>
          <w:color w:val="auto"/>
          <w:sz w:val="32"/>
          <w:szCs w:val="32"/>
          <w:highlight w:val="none"/>
          <w:u w:val="none"/>
        </w:rPr>
        <w:t>除合同另有约定外，若因</w:t>
      </w:r>
      <w:r>
        <w:rPr>
          <w:rFonts w:hint="eastAsia" w:ascii="仿宋_GB2312" w:hAnsi="仿宋_GB2312" w:eastAsia="仿宋_GB2312" w:cs="仿宋_GB2312"/>
          <w:color w:val="auto"/>
          <w:sz w:val="32"/>
          <w:szCs w:val="32"/>
          <w:highlight w:val="none"/>
          <w:u w:val="none"/>
          <w:lang w:val="en-US" w:eastAsia="zh-CN"/>
        </w:rPr>
        <w:t>发包人</w:t>
      </w:r>
      <w:r>
        <w:rPr>
          <w:rFonts w:hint="eastAsia" w:ascii="仿宋_GB2312" w:hAnsi="仿宋_GB2312" w:eastAsia="仿宋_GB2312" w:cs="仿宋_GB2312"/>
          <w:color w:val="auto"/>
          <w:sz w:val="32"/>
          <w:szCs w:val="32"/>
          <w:highlight w:val="none"/>
          <w:u w:val="none"/>
        </w:rPr>
        <w:t>原因</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lang w:val="en-US" w:eastAsia="zh-CN"/>
        </w:rPr>
        <w:t>含政府原因</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rPr>
        <w:t>导致合同终止、设计变更或规模减小，发包人仅针对承包人按照发包人审批通过的工程进度计划的详细节点实际完成施工图纸中的工程量和虽未施工但已完成制作进场的报验合格的成品、半成品进行计量结算，承包人</w:t>
      </w:r>
      <w:r>
        <w:rPr>
          <w:rFonts w:hint="eastAsia" w:ascii="仿宋_GB2312" w:hAnsi="仿宋_GB2312" w:eastAsia="仿宋_GB2312" w:cs="仿宋_GB2312"/>
          <w:color w:val="auto"/>
          <w:sz w:val="32"/>
          <w:szCs w:val="32"/>
          <w:highlight w:val="none"/>
          <w:u w:val="none"/>
          <w:lang w:eastAsia="zh-CN"/>
        </w:rPr>
        <w:t>其他已</w:t>
      </w:r>
      <w:r>
        <w:rPr>
          <w:rFonts w:hint="eastAsia" w:ascii="仿宋_GB2312" w:hAnsi="仿宋_GB2312" w:eastAsia="仿宋_GB2312" w:cs="仿宋_GB2312"/>
          <w:color w:val="auto"/>
          <w:sz w:val="32"/>
          <w:szCs w:val="32"/>
          <w:highlight w:val="none"/>
          <w:u w:val="none"/>
        </w:rPr>
        <w:t>购原材料及未实施的施工图纸中工程量一律不进行计量结算。</w:t>
      </w:r>
    </w:p>
    <w:p w14:paraId="761CE9EB">
      <w:pPr>
        <w:pageBreakBefore w:val="0"/>
        <w:widowControl w:val="0"/>
        <w:shd w:val="clear" w:color="auto" w:fill="auto"/>
        <w:kinsoku/>
        <w:wordWrap/>
        <w:overflowPunct/>
        <w:topLinePunct w:val="0"/>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u w:val="none"/>
          <w:lang w:val="en-US" w:eastAsia="zh-CN"/>
        </w:rPr>
        <w:t>12、</w:t>
      </w:r>
      <w:r>
        <w:rPr>
          <w:rFonts w:hint="eastAsia" w:ascii="仿宋_GB2312" w:hAnsi="仿宋_GB2312" w:eastAsia="仿宋_GB2312" w:cs="仿宋_GB2312"/>
          <w:color w:val="auto"/>
          <w:sz w:val="32"/>
          <w:szCs w:val="32"/>
          <w:highlight w:val="none"/>
          <w:u w:val="none"/>
        </w:rPr>
        <w:t>承包人进场后，发包人在15日内组织测量单位、承包人、</w:t>
      </w:r>
      <w:r>
        <w:rPr>
          <w:rFonts w:hint="eastAsia" w:ascii="仿宋_GB2312" w:hAnsi="仿宋_GB2312" w:eastAsia="仿宋_GB2312" w:cs="仿宋_GB2312"/>
          <w:color w:val="auto"/>
          <w:sz w:val="32"/>
          <w:szCs w:val="32"/>
          <w:highlight w:val="none"/>
          <w:u w:val="none"/>
          <w:lang w:eastAsia="zh-CN"/>
        </w:rPr>
        <w:t>监理人</w:t>
      </w:r>
      <w:r>
        <w:rPr>
          <w:rFonts w:hint="eastAsia" w:ascii="仿宋_GB2312" w:hAnsi="仿宋_GB2312" w:eastAsia="仿宋_GB2312" w:cs="仿宋_GB2312"/>
          <w:color w:val="auto"/>
          <w:sz w:val="32"/>
          <w:szCs w:val="32"/>
          <w:highlight w:val="none"/>
          <w:u w:val="none"/>
        </w:rPr>
        <w:t>对</w:t>
      </w:r>
      <w:r>
        <w:rPr>
          <w:rFonts w:hint="eastAsia" w:ascii="仿宋_GB2312" w:hAnsi="仿宋_GB2312" w:eastAsia="仿宋_GB2312" w:cs="仿宋_GB2312"/>
          <w:color w:val="auto"/>
          <w:sz w:val="32"/>
          <w:szCs w:val="32"/>
          <w:highlight w:val="none"/>
          <w:u w:val="none"/>
          <w:lang w:val="en-US" w:eastAsia="zh-CN"/>
        </w:rPr>
        <w:t>施工</w:t>
      </w:r>
      <w:r>
        <w:rPr>
          <w:rFonts w:hint="eastAsia" w:ascii="仿宋_GB2312" w:hAnsi="仿宋_GB2312" w:eastAsia="仿宋_GB2312" w:cs="仿宋_GB2312"/>
          <w:color w:val="auto"/>
          <w:sz w:val="32"/>
          <w:szCs w:val="32"/>
          <w:highlight w:val="none"/>
          <w:u w:val="none"/>
        </w:rPr>
        <w:t>范围内现状地形进行测量，各方签字确认的测量结果作为土石方工程计量进度款和结算审核的依据。</w:t>
      </w:r>
    </w:p>
    <w:p w14:paraId="38C6ABC4">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12</w:t>
      </w:r>
      <w:r>
        <w:rPr>
          <w:rFonts w:hint="eastAsia" w:ascii="仿宋_GB2312" w:hAnsi="仿宋_GB2312" w:eastAsia="仿宋_GB2312" w:cs="仿宋_GB2312"/>
          <w:color w:val="auto"/>
          <w:sz w:val="32"/>
          <w:szCs w:val="32"/>
          <w:highlight w:val="none"/>
        </w:rPr>
        <w:t>.3.4 总价合同的计量</w:t>
      </w:r>
    </w:p>
    <w:p w14:paraId="320DC215">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关于总价合同计量的约定：</w:t>
      </w:r>
      <w:r>
        <w:rPr>
          <w:rFonts w:hint="eastAsia" w:ascii="仿宋_GB2312" w:hAnsi="仿宋_GB2312" w:eastAsia="仿宋_GB2312" w:cs="仿宋_GB2312"/>
          <w:color w:val="auto"/>
          <w:sz w:val="32"/>
          <w:szCs w:val="32"/>
          <w:highlight w:val="none"/>
          <w:u w:val="single"/>
        </w:rPr>
        <w:t>/</w:t>
      </w:r>
      <w:r>
        <w:rPr>
          <w:rFonts w:hint="eastAsia" w:ascii="仿宋_GB2312" w:hAnsi="仿宋_GB2312" w:eastAsia="仿宋_GB2312" w:cs="仿宋_GB2312"/>
          <w:color w:val="auto"/>
          <w:sz w:val="32"/>
          <w:szCs w:val="32"/>
          <w:highlight w:val="none"/>
        </w:rPr>
        <w:t>。</w:t>
      </w:r>
    </w:p>
    <w:p w14:paraId="527DC623">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12</w:t>
      </w:r>
      <w:r>
        <w:rPr>
          <w:rFonts w:hint="eastAsia" w:ascii="仿宋_GB2312" w:hAnsi="仿宋_GB2312" w:eastAsia="仿宋_GB2312" w:cs="仿宋_GB2312"/>
          <w:color w:val="auto"/>
          <w:sz w:val="32"/>
          <w:szCs w:val="32"/>
          <w:highlight w:val="none"/>
        </w:rPr>
        <w:t>.3.5总价合同采用支付分解表计量支付的，是否适用第</w:t>
      </w:r>
      <w:r>
        <w:rPr>
          <w:rFonts w:hint="eastAsia" w:ascii="仿宋_GB2312" w:hAnsi="仿宋_GB2312" w:eastAsia="仿宋_GB2312" w:cs="仿宋_GB2312"/>
          <w:color w:val="auto"/>
          <w:kern w:val="0"/>
          <w:sz w:val="32"/>
          <w:szCs w:val="32"/>
          <w:highlight w:val="none"/>
        </w:rPr>
        <w:t>12.3.4</w:t>
      </w:r>
      <w:r>
        <w:rPr>
          <w:rFonts w:hint="eastAsia" w:ascii="仿宋_GB2312" w:hAnsi="仿宋_GB2312" w:eastAsia="仿宋_GB2312" w:cs="仿宋_GB2312"/>
          <w:color w:val="auto"/>
          <w:sz w:val="32"/>
          <w:szCs w:val="32"/>
          <w:highlight w:val="none"/>
        </w:rPr>
        <w:t>项</w:t>
      </w:r>
      <w:r>
        <w:rPr>
          <w:rFonts w:hint="eastAsia" w:ascii="仿宋_GB2312" w:hAnsi="仿宋_GB2312" w:eastAsia="仿宋_GB2312" w:cs="仿宋_GB2312"/>
          <w:color w:val="auto"/>
          <w:kern w:val="0"/>
          <w:sz w:val="32"/>
          <w:szCs w:val="32"/>
          <w:highlight w:val="none"/>
        </w:rPr>
        <w:t>〔总价合同的计量〕</w:t>
      </w:r>
      <w:r>
        <w:rPr>
          <w:rFonts w:hint="eastAsia" w:ascii="仿宋_GB2312" w:hAnsi="仿宋_GB2312" w:eastAsia="仿宋_GB2312" w:cs="仿宋_GB2312"/>
          <w:color w:val="auto"/>
          <w:sz w:val="32"/>
          <w:szCs w:val="32"/>
          <w:highlight w:val="none"/>
        </w:rPr>
        <w:t>约定进行计量：</w:t>
      </w:r>
      <w:r>
        <w:rPr>
          <w:rFonts w:hint="eastAsia" w:ascii="仿宋_GB2312" w:hAnsi="仿宋_GB2312" w:eastAsia="仿宋_GB2312" w:cs="仿宋_GB2312"/>
          <w:color w:val="auto"/>
          <w:sz w:val="32"/>
          <w:szCs w:val="32"/>
          <w:highlight w:val="none"/>
          <w:u w:val="single"/>
        </w:rPr>
        <w:t>/</w:t>
      </w:r>
      <w:r>
        <w:rPr>
          <w:rFonts w:hint="eastAsia" w:ascii="仿宋_GB2312" w:hAnsi="仿宋_GB2312" w:eastAsia="仿宋_GB2312" w:cs="仿宋_GB2312"/>
          <w:color w:val="auto"/>
          <w:sz w:val="32"/>
          <w:szCs w:val="32"/>
          <w:highlight w:val="none"/>
        </w:rPr>
        <w:t>。</w:t>
      </w:r>
    </w:p>
    <w:p w14:paraId="025A2C39">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12</w:t>
      </w:r>
      <w:r>
        <w:rPr>
          <w:rFonts w:hint="eastAsia" w:ascii="仿宋_GB2312" w:hAnsi="仿宋_GB2312" w:eastAsia="仿宋_GB2312" w:cs="仿宋_GB2312"/>
          <w:color w:val="auto"/>
          <w:sz w:val="32"/>
          <w:szCs w:val="32"/>
          <w:highlight w:val="none"/>
        </w:rPr>
        <w:t>.3.6 其他价格形式合同的计量</w:t>
      </w:r>
    </w:p>
    <w:p w14:paraId="4A18C11D">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其他价格形式的计量方式和程序：</w:t>
      </w:r>
      <w:r>
        <w:rPr>
          <w:rFonts w:hint="eastAsia" w:ascii="仿宋_GB2312" w:hAnsi="仿宋_GB2312" w:eastAsia="仿宋_GB2312" w:cs="仿宋_GB2312"/>
          <w:color w:val="auto"/>
          <w:sz w:val="32"/>
          <w:szCs w:val="32"/>
          <w:highlight w:val="none"/>
          <w:u w:val="single"/>
        </w:rPr>
        <w:t>/</w:t>
      </w:r>
      <w:r>
        <w:rPr>
          <w:rFonts w:hint="eastAsia" w:ascii="仿宋_GB2312" w:hAnsi="仿宋_GB2312" w:eastAsia="仿宋_GB2312" w:cs="仿宋_GB2312"/>
          <w:color w:val="auto"/>
          <w:sz w:val="32"/>
          <w:szCs w:val="32"/>
          <w:highlight w:val="none"/>
        </w:rPr>
        <w:t>。</w:t>
      </w:r>
    </w:p>
    <w:p w14:paraId="4B474854">
      <w:pPr>
        <w:pageBreakBefore w:val="0"/>
        <w:kinsoku/>
        <w:wordWrap/>
        <w:overflowPunct/>
        <w:topLinePunct w:val="0"/>
        <w:bidi w:val="0"/>
        <w:adjustRightInd w:val="0"/>
        <w:snapToGrid w:val="0"/>
        <w:spacing w:line="560" w:lineRule="exact"/>
        <w:ind w:firstLine="640" w:firstLineChars="200"/>
        <w:jc w:val="both"/>
        <w:outlineLvl w:val="9"/>
        <w:rPr>
          <w:rFonts w:hint="eastAsia" w:ascii="仿宋_GB2312" w:hAnsi="仿宋_GB2312" w:eastAsia="仿宋_GB2312" w:cs="仿宋_GB2312"/>
          <w:color w:val="auto"/>
          <w:sz w:val="32"/>
          <w:szCs w:val="32"/>
          <w:highlight w:val="none"/>
        </w:rPr>
      </w:pPr>
      <w:bookmarkStart w:id="2540" w:name="_Toc26008"/>
      <w:bookmarkStart w:id="2541" w:name="_Toc26987"/>
      <w:bookmarkStart w:id="2542" w:name="_Toc15746"/>
      <w:bookmarkStart w:id="2543" w:name="_Toc8146"/>
      <w:bookmarkStart w:id="2544" w:name="_Toc18715"/>
      <w:bookmarkStart w:id="2545" w:name="_Toc7683"/>
      <w:bookmarkStart w:id="2546" w:name="_Toc16454"/>
      <w:bookmarkStart w:id="2547" w:name="_Toc11690"/>
      <w:r>
        <w:rPr>
          <w:rFonts w:hint="eastAsia" w:ascii="仿宋_GB2312" w:hAnsi="仿宋_GB2312" w:eastAsia="仿宋_GB2312" w:cs="仿宋_GB2312"/>
          <w:color w:val="auto"/>
          <w:sz w:val="32"/>
          <w:szCs w:val="32"/>
          <w:highlight w:val="none"/>
          <w:lang w:val="en-US" w:eastAsia="zh-CN"/>
        </w:rPr>
        <w:t>12</w:t>
      </w:r>
      <w:r>
        <w:rPr>
          <w:rFonts w:hint="eastAsia" w:ascii="仿宋_GB2312" w:hAnsi="仿宋_GB2312" w:eastAsia="仿宋_GB2312" w:cs="仿宋_GB2312"/>
          <w:color w:val="auto"/>
          <w:sz w:val="32"/>
          <w:szCs w:val="32"/>
          <w:highlight w:val="none"/>
        </w:rPr>
        <w:t>.4 工程进度款支付</w:t>
      </w:r>
      <w:bookmarkEnd w:id="2540"/>
      <w:bookmarkEnd w:id="2541"/>
      <w:bookmarkEnd w:id="2542"/>
      <w:bookmarkEnd w:id="2543"/>
      <w:bookmarkEnd w:id="2544"/>
      <w:bookmarkEnd w:id="2545"/>
      <w:bookmarkEnd w:id="2546"/>
      <w:bookmarkEnd w:id="2547"/>
      <w:bookmarkStart w:id="2548" w:name="_Toc296346712"/>
      <w:bookmarkStart w:id="2549" w:name="_Toc296503211"/>
      <w:bookmarkStart w:id="2550" w:name="_Toc296891251"/>
      <w:bookmarkStart w:id="2551" w:name="_Toc300935006"/>
      <w:bookmarkStart w:id="2552" w:name="_Toc296891039"/>
      <w:bookmarkStart w:id="2553" w:name="_Toc303539163"/>
      <w:bookmarkStart w:id="2554" w:name="_Toc297048397"/>
      <w:bookmarkStart w:id="2555" w:name="_Toc296347210"/>
      <w:bookmarkStart w:id="2556" w:name="_Toc297216215"/>
      <w:bookmarkStart w:id="2557" w:name="_Toc297123556"/>
      <w:bookmarkStart w:id="2558" w:name="_Toc296944550"/>
      <w:bookmarkStart w:id="2559" w:name="_Toc292559921"/>
      <w:bookmarkStart w:id="2560" w:name="_Toc297120511"/>
      <w:bookmarkStart w:id="2561" w:name="_Toc292559416"/>
    </w:p>
    <w:p w14:paraId="39B5E79B">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12</w:t>
      </w:r>
      <w:r>
        <w:rPr>
          <w:rFonts w:hint="eastAsia" w:ascii="仿宋_GB2312" w:hAnsi="仿宋_GB2312" w:eastAsia="仿宋_GB2312" w:cs="仿宋_GB2312"/>
          <w:color w:val="auto"/>
          <w:sz w:val="32"/>
          <w:szCs w:val="32"/>
          <w:highlight w:val="none"/>
        </w:rPr>
        <w:t>.4.1 付款周期</w:t>
      </w:r>
    </w:p>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p w14:paraId="39A3793A">
      <w:pPr>
        <w:pageBreakBefore w:val="0"/>
        <w:kinsoku/>
        <w:wordWrap/>
        <w:overflowPunct/>
        <w:topLinePunct w:val="0"/>
        <w:bidi w:val="0"/>
        <w:adjustRightInd w:val="0"/>
        <w:snapToGrid w:val="0"/>
        <w:spacing w:line="560" w:lineRule="exact"/>
        <w:ind w:firstLine="640" w:firstLineChars="200"/>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auto"/>
          <w:sz w:val="32"/>
          <w:szCs w:val="32"/>
          <w:highlight w:val="none"/>
        </w:rPr>
        <w:t>关于付款周期的约定</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b w:val="0"/>
          <w:bCs w:val="0"/>
          <w:color w:val="000000"/>
          <w:sz w:val="32"/>
          <w:szCs w:val="32"/>
          <w:highlight w:val="none"/>
        </w:rPr>
        <w:t>具体实施办法如表：</w:t>
      </w:r>
    </w:p>
    <w:tbl>
      <w:tblPr>
        <w:tblStyle w:val="13"/>
        <w:tblW w:w="8294"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4"/>
        <w:gridCol w:w="4430"/>
        <w:gridCol w:w="1719"/>
        <w:gridCol w:w="1191"/>
      </w:tblGrid>
      <w:tr w14:paraId="502F4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7" w:hRule="atLeast"/>
        </w:trPr>
        <w:tc>
          <w:tcPr>
            <w:tcW w:w="954" w:type="dxa"/>
            <w:noWrap w:val="0"/>
            <w:vAlign w:val="center"/>
          </w:tcPr>
          <w:p w14:paraId="6701F4A8">
            <w:pPr>
              <w:pageBreakBefore w:val="0"/>
              <w:kinsoku/>
              <w:wordWrap/>
              <w:overflowPunct/>
              <w:topLinePunct w:val="0"/>
              <w:bidi w:val="0"/>
              <w:adjustRightInd w:val="0"/>
              <w:snapToGrid w:val="0"/>
              <w:spacing w:line="560" w:lineRule="exact"/>
              <w:jc w:val="both"/>
              <w:rPr>
                <w:rFonts w:hint="eastAsia" w:ascii="仿宋_GB2312" w:hAnsi="仿宋_GB2312" w:eastAsia="仿宋_GB2312" w:cs="仿宋_GB2312"/>
                <w:b/>
                <w:bCs/>
                <w:color w:val="000000"/>
                <w:sz w:val="32"/>
                <w:szCs w:val="32"/>
                <w:highlight w:val="none"/>
              </w:rPr>
            </w:pPr>
            <w:r>
              <w:rPr>
                <w:rFonts w:hint="eastAsia" w:ascii="仿宋_GB2312" w:hAnsi="仿宋_GB2312" w:eastAsia="仿宋_GB2312" w:cs="仿宋_GB2312"/>
                <w:b/>
                <w:bCs/>
                <w:color w:val="000000"/>
                <w:sz w:val="32"/>
                <w:szCs w:val="32"/>
                <w:highlight w:val="none"/>
              </w:rPr>
              <w:t>序号</w:t>
            </w:r>
          </w:p>
        </w:tc>
        <w:tc>
          <w:tcPr>
            <w:tcW w:w="4430" w:type="dxa"/>
            <w:noWrap w:val="0"/>
            <w:vAlign w:val="center"/>
          </w:tcPr>
          <w:p w14:paraId="6106FFC1">
            <w:pPr>
              <w:pageBreakBefore w:val="0"/>
              <w:kinsoku/>
              <w:wordWrap/>
              <w:overflowPunct/>
              <w:topLinePunct w:val="0"/>
              <w:bidi w:val="0"/>
              <w:adjustRightInd w:val="0"/>
              <w:snapToGrid w:val="0"/>
              <w:spacing w:line="560" w:lineRule="exact"/>
              <w:jc w:val="both"/>
              <w:rPr>
                <w:rFonts w:hint="eastAsia" w:ascii="仿宋_GB2312" w:hAnsi="仿宋_GB2312" w:eastAsia="仿宋_GB2312" w:cs="仿宋_GB2312"/>
                <w:b/>
                <w:bCs/>
                <w:color w:val="000000"/>
                <w:sz w:val="32"/>
                <w:szCs w:val="32"/>
                <w:highlight w:val="none"/>
              </w:rPr>
            </w:pPr>
            <w:r>
              <w:rPr>
                <w:rFonts w:hint="eastAsia" w:ascii="仿宋_GB2312" w:hAnsi="仿宋_GB2312" w:eastAsia="仿宋_GB2312" w:cs="仿宋_GB2312"/>
                <w:b/>
                <w:bCs/>
                <w:color w:val="000000"/>
                <w:sz w:val="32"/>
                <w:szCs w:val="32"/>
                <w:highlight w:val="none"/>
              </w:rPr>
              <w:t>支付节点</w:t>
            </w:r>
          </w:p>
        </w:tc>
        <w:tc>
          <w:tcPr>
            <w:tcW w:w="1719" w:type="dxa"/>
            <w:noWrap w:val="0"/>
            <w:vAlign w:val="center"/>
          </w:tcPr>
          <w:p w14:paraId="7F488AEC">
            <w:pPr>
              <w:pageBreakBefore w:val="0"/>
              <w:kinsoku/>
              <w:wordWrap/>
              <w:overflowPunct/>
              <w:topLinePunct w:val="0"/>
              <w:bidi w:val="0"/>
              <w:adjustRightInd w:val="0"/>
              <w:snapToGrid w:val="0"/>
              <w:spacing w:line="560" w:lineRule="exact"/>
              <w:jc w:val="both"/>
              <w:rPr>
                <w:rFonts w:hint="eastAsia" w:ascii="仿宋_GB2312" w:hAnsi="仿宋_GB2312" w:eastAsia="仿宋_GB2312" w:cs="仿宋_GB2312"/>
                <w:b/>
                <w:bCs/>
                <w:color w:val="000000"/>
                <w:sz w:val="32"/>
                <w:szCs w:val="32"/>
                <w:highlight w:val="none"/>
                <w:lang w:val="en-US" w:eastAsia="zh-CN"/>
              </w:rPr>
            </w:pPr>
            <w:r>
              <w:rPr>
                <w:rFonts w:hint="eastAsia" w:ascii="仿宋_GB2312" w:hAnsi="仿宋_GB2312" w:eastAsia="仿宋_GB2312" w:cs="仿宋_GB2312"/>
                <w:b/>
                <w:bCs/>
                <w:color w:val="000000"/>
                <w:sz w:val="32"/>
                <w:szCs w:val="32"/>
                <w:highlight w:val="none"/>
              </w:rPr>
              <w:t>支付比率</w:t>
            </w:r>
            <w:r>
              <w:rPr>
                <w:rFonts w:hint="eastAsia" w:ascii="仿宋_GB2312" w:hAnsi="仿宋_GB2312" w:eastAsia="仿宋_GB2312" w:cs="仿宋_GB2312"/>
                <w:b/>
                <w:bCs/>
                <w:color w:val="000000"/>
                <w:sz w:val="32"/>
                <w:szCs w:val="32"/>
                <w:highlight w:val="none"/>
                <w:lang w:val="en-US" w:eastAsia="zh-CN"/>
              </w:rPr>
              <w:t>/金额</w:t>
            </w:r>
          </w:p>
        </w:tc>
        <w:tc>
          <w:tcPr>
            <w:tcW w:w="1191" w:type="dxa"/>
            <w:noWrap w:val="0"/>
            <w:vAlign w:val="center"/>
          </w:tcPr>
          <w:p w14:paraId="014795A2">
            <w:pPr>
              <w:pageBreakBefore w:val="0"/>
              <w:kinsoku/>
              <w:wordWrap/>
              <w:overflowPunct/>
              <w:topLinePunct w:val="0"/>
              <w:bidi w:val="0"/>
              <w:adjustRightInd w:val="0"/>
              <w:snapToGrid w:val="0"/>
              <w:spacing w:line="560" w:lineRule="exact"/>
              <w:jc w:val="both"/>
              <w:rPr>
                <w:rFonts w:hint="eastAsia" w:ascii="仿宋_GB2312" w:hAnsi="仿宋_GB2312" w:eastAsia="仿宋_GB2312" w:cs="仿宋_GB2312"/>
                <w:b/>
                <w:bCs/>
                <w:color w:val="000000"/>
                <w:sz w:val="32"/>
                <w:szCs w:val="32"/>
                <w:highlight w:val="none"/>
              </w:rPr>
            </w:pPr>
            <w:r>
              <w:rPr>
                <w:rFonts w:hint="eastAsia" w:ascii="仿宋_GB2312" w:hAnsi="仿宋_GB2312" w:eastAsia="仿宋_GB2312" w:cs="仿宋_GB2312"/>
                <w:b/>
                <w:bCs/>
                <w:color w:val="000000"/>
                <w:sz w:val="32"/>
                <w:szCs w:val="32"/>
                <w:highlight w:val="none"/>
              </w:rPr>
              <w:t>累计</w:t>
            </w:r>
          </w:p>
        </w:tc>
      </w:tr>
      <w:tr w14:paraId="08F5E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 w:hRule="atLeast"/>
        </w:trPr>
        <w:tc>
          <w:tcPr>
            <w:tcW w:w="954" w:type="dxa"/>
            <w:noWrap w:val="0"/>
            <w:vAlign w:val="center"/>
          </w:tcPr>
          <w:p w14:paraId="1DD9CF0E">
            <w:pPr>
              <w:pageBreakBefore w:val="0"/>
              <w:kinsoku/>
              <w:wordWrap/>
              <w:overflowPunct/>
              <w:topLinePunct w:val="0"/>
              <w:bidi w:val="0"/>
              <w:adjustRightInd w:val="0"/>
              <w:snapToGrid w:val="0"/>
              <w:spacing w:line="560" w:lineRule="exact"/>
              <w:jc w:val="both"/>
              <w:rPr>
                <w:rFonts w:hint="eastAsia" w:ascii="仿宋_GB2312" w:hAnsi="仿宋_GB2312" w:eastAsia="仿宋_GB2312" w:cs="仿宋_GB2312"/>
                <w:b/>
                <w:bCs/>
                <w:color w:val="000000"/>
                <w:sz w:val="32"/>
                <w:szCs w:val="32"/>
                <w:highlight w:val="none"/>
              </w:rPr>
            </w:pPr>
            <w:permStart w:id="85" w:edGrp="everyone" w:colFirst="2" w:colLast="2"/>
            <w:permStart w:id="86" w:edGrp="everyone" w:colFirst="3" w:colLast="3"/>
            <w:r>
              <w:rPr>
                <w:rFonts w:hint="eastAsia" w:ascii="仿宋_GB2312" w:hAnsi="仿宋_GB2312" w:eastAsia="仿宋_GB2312" w:cs="仿宋_GB2312"/>
                <w:b/>
                <w:bCs/>
                <w:color w:val="000000"/>
                <w:sz w:val="32"/>
                <w:szCs w:val="32"/>
                <w:highlight w:val="none"/>
              </w:rPr>
              <w:t>1</w:t>
            </w:r>
          </w:p>
        </w:tc>
        <w:tc>
          <w:tcPr>
            <w:tcW w:w="4430" w:type="dxa"/>
            <w:noWrap w:val="0"/>
            <w:vAlign w:val="center"/>
          </w:tcPr>
          <w:p w14:paraId="763B0DB4">
            <w:pPr>
              <w:pageBreakBefore w:val="0"/>
              <w:kinsoku/>
              <w:wordWrap/>
              <w:overflowPunct/>
              <w:topLinePunct w:val="0"/>
              <w:bidi w:val="0"/>
              <w:adjustRightInd w:val="0"/>
              <w:snapToGrid w:val="0"/>
              <w:spacing w:line="560" w:lineRule="exact"/>
              <w:jc w:val="both"/>
              <w:rPr>
                <w:rFonts w:hint="default" w:ascii="仿宋_GB2312" w:hAnsi="仿宋_GB2312" w:eastAsia="仿宋_GB2312" w:cs="仿宋_GB2312"/>
                <w:b/>
                <w:bCs/>
                <w:color w:val="000000"/>
                <w:sz w:val="32"/>
                <w:szCs w:val="32"/>
                <w:highlight w:val="none"/>
                <w:lang w:val="en-US" w:eastAsia="zh-CN"/>
              </w:rPr>
            </w:pPr>
            <w:r>
              <w:rPr>
                <w:rFonts w:hint="eastAsia" w:ascii="仿宋_GB2312" w:hAnsi="仿宋_GB2312" w:eastAsia="仿宋_GB2312" w:cs="仿宋_GB2312"/>
                <w:b/>
                <w:bCs/>
                <w:color w:val="000000"/>
                <w:sz w:val="32"/>
                <w:szCs w:val="32"/>
                <w:highlight w:val="none"/>
                <w:lang w:val="en-US" w:eastAsia="zh-CN"/>
              </w:rPr>
              <w:t>合同签订，且下发开工令后</w:t>
            </w:r>
          </w:p>
        </w:tc>
        <w:tc>
          <w:tcPr>
            <w:tcW w:w="1719" w:type="dxa"/>
            <w:noWrap w:val="0"/>
            <w:vAlign w:val="center"/>
          </w:tcPr>
          <w:p w14:paraId="397A7BCC">
            <w:pPr>
              <w:pageBreakBefore w:val="0"/>
              <w:kinsoku/>
              <w:wordWrap/>
              <w:overflowPunct/>
              <w:topLinePunct w:val="0"/>
              <w:bidi w:val="0"/>
              <w:adjustRightInd w:val="0"/>
              <w:snapToGrid w:val="0"/>
              <w:spacing w:line="560" w:lineRule="exact"/>
              <w:ind w:firstLine="630" w:firstLineChars="196"/>
              <w:rPr>
                <w:rFonts w:hint="default" w:ascii="仿宋_GB2312" w:hAnsi="仿宋_GB2312" w:eastAsia="仿宋_GB2312" w:cs="仿宋_GB2312"/>
                <w:b/>
                <w:bCs/>
                <w:color w:val="000000"/>
                <w:sz w:val="32"/>
                <w:szCs w:val="32"/>
                <w:highlight w:val="none"/>
                <w:lang w:val="en-US" w:eastAsia="zh-CN"/>
              </w:rPr>
            </w:pPr>
            <w:r>
              <w:rPr>
                <w:rFonts w:hint="eastAsia" w:ascii="仿宋_GB2312" w:hAnsi="仿宋_GB2312" w:eastAsia="仿宋_GB2312" w:cs="仿宋_GB2312"/>
                <w:b/>
                <w:bCs/>
                <w:color w:val="000000"/>
                <w:sz w:val="32"/>
                <w:szCs w:val="32"/>
                <w:highlight w:val="none"/>
                <w:lang w:val="en-US" w:eastAsia="zh-CN"/>
              </w:rPr>
              <w:t>30%</w:t>
            </w:r>
          </w:p>
        </w:tc>
        <w:tc>
          <w:tcPr>
            <w:tcW w:w="1191" w:type="dxa"/>
            <w:noWrap w:val="0"/>
            <w:vAlign w:val="center"/>
          </w:tcPr>
          <w:p w14:paraId="3D5B22ED">
            <w:pPr>
              <w:pageBreakBefore w:val="0"/>
              <w:kinsoku/>
              <w:wordWrap/>
              <w:overflowPunct/>
              <w:topLinePunct w:val="0"/>
              <w:bidi w:val="0"/>
              <w:adjustRightInd w:val="0"/>
              <w:snapToGrid w:val="0"/>
              <w:spacing w:line="560" w:lineRule="exact"/>
              <w:jc w:val="both"/>
              <w:rPr>
                <w:rFonts w:hint="default" w:ascii="仿宋_GB2312" w:hAnsi="仿宋_GB2312" w:eastAsia="仿宋_GB2312" w:cs="仿宋_GB2312"/>
                <w:b/>
                <w:bCs/>
                <w:color w:val="000000"/>
                <w:sz w:val="32"/>
                <w:szCs w:val="32"/>
                <w:highlight w:val="none"/>
                <w:lang w:val="en-US" w:eastAsia="zh-CN"/>
              </w:rPr>
            </w:pPr>
            <w:r>
              <w:rPr>
                <w:rFonts w:hint="eastAsia" w:ascii="仿宋_GB2312" w:hAnsi="仿宋_GB2312" w:eastAsia="仿宋_GB2312" w:cs="仿宋_GB2312"/>
                <w:b/>
                <w:bCs/>
                <w:color w:val="000000"/>
                <w:sz w:val="32"/>
                <w:szCs w:val="32"/>
                <w:highlight w:val="none"/>
                <w:lang w:val="en-US" w:eastAsia="zh-CN"/>
              </w:rPr>
              <w:t>30%</w:t>
            </w:r>
          </w:p>
        </w:tc>
      </w:tr>
      <w:permEnd w:id="85"/>
      <w:permEnd w:id="86"/>
      <w:tr w14:paraId="372BA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 w:hRule="atLeast"/>
        </w:trPr>
        <w:tc>
          <w:tcPr>
            <w:tcW w:w="954" w:type="dxa"/>
            <w:noWrap w:val="0"/>
            <w:vAlign w:val="center"/>
          </w:tcPr>
          <w:p w14:paraId="1BA98DD5">
            <w:pPr>
              <w:pageBreakBefore w:val="0"/>
              <w:kinsoku/>
              <w:wordWrap/>
              <w:overflowPunct/>
              <w:topLinePunct w:val="0"/>
              <w:bidi w:val="0"/>
              <w:adjustRightInd w:val="0"/>
              <w:snapToGrid w:val="0"/>
              <w:spacing w:line="560" w:lineRule="exact"/>
              <w:jc w:val="both"/>
              <w:rPr>
                <w:rFonts w:hint="eastAsia" w:ascii="仿宋_GB2312" w:hAnsi="仿宋_GB2312" w:eastAsia="仿宋_GB2312" w:cs="仿宋_GB2312"/>
                <w:b/>
                <w:bCs/>
                <w:color w:val="000000"/>
                <w:sz w:val="32"/>
                <w:szCs w:val="32"/>
                <w:highlight w:val="none"/>
                <w:lang w:val="en-US" w:eastAsia="zh-CN"/>
              </w:rPr>
            </w:pPr>
            <w:r>
              <w:rPr>
                <w:rFonts w:hint="eastAsia" w:ascii="仿宋_GB2312" w:hAnsi="仿宋_GB2312" w:eastAsia="仿宋_GB2312" w:cs="仿宋_GB2312"/>
                <w:b/>
                <w:bCs/>
                <w:color w:val="000000"/>
                <w:sz w:val="32"/>
                <w:szCs w:val="32"/>
                <w:highlight w:val="none"/>
                <w:lang w:val="en-US" w:eastAsia="zh-CN"/>
              </w:rPr>
              <w:t>2</w:t>
            </w:r>
          </w:p>
        </w:tc>
        <w:tc>
          <w:tcPr>
            <w:tcW w:w="4430" w:type="dxa"/>
            <w:noWrap w:val="0"/>
            <w:vAlign w:val="center"/>
          </w:tcPr>
          <w:p w14:paraId="7D7183A2">
            <w:pPr>
              <w:pageBreakBefore w:val="0"/>
              <w:kinsoku/>
              <w:wordWrap/>
              <w:overflowPunct/>
              <w:topLinePunct w:val="0"/>
              <w:bidi w:val="0"/>
              <w:adjustRightInd w:val="0"/>
              <w:snapToGrid w:val="0"/>
              <w:spacing w:line="560" w:lineRule="exact"/>
              <w:rPr>
                <w:rFonts w:hint="eastAsia" w:ascii="仿宋_GB2312" w:hAnsi="仿宋_GB2312" w:eastAsia="仿宋_GB2312" w:cs="仿宋_GB2312"/>
                <w:b/>
                <w:bCs/>
                <w:color w:val="000000"/>
                <w:sz w:val="32"/>
                <w:szCs w:val="32"/>
                <w:highlight w:val="none"/>
                <w:lang w:eastAsia="zh-CN"/>
              </w:rPr>
            </w:pPr>
            <w:r>
              <w:rPr>
                <w:rFonts w:hint="eastAsia" w:ascii="仿宋_GB2312" w:hAnsi="仿宋_GB2312" w:eastAsia="仿宋_GB2312" w:cs="仿宋_GB2312"/>
                <w:b/>
                <w:bCs/>
                <w:color w:val="000000"/>
                <w:sz w:val="32"/>
                <w:szCs w:val="32"/>
                <w:highlight w:val="none"/>
                <w:lang w:val="en-US" w:eastAsia="zh-CN"/>
              </w:rPr>
              <w:t>甲方</w:t>
            </w:r>
            <w:r>
              <w:rPr>
                <w:rFonts w:hint="eastAsia" w:ascii="仿宋_GB2312" w:hAnsi="仿宋_GB2312" w:eastAsia="仿宋_GB2312" w:cs="仿宋_GB2312"/>
                <w:b/>
                <w:bCs/>
                <w:color w:val="000000"/>
                <w:sz w:val="32"/>
                <w:szCs w:val="32"/>
                <w:highlight w:val="none"/>
              </w:rPr>
              <w:t>收到</w:t>
            </w:r>
            <w:r>
              <w:rPr>
                <w:rFonts w:hint="eastAsia" w:ascii="仿宋_GB2312" w:hAnsi="仿宋_GB2312" w:eastAsia="仿宋_GB2312" w:cs="仿宋_GB2312"/>
                <w:b/>
                <w:bCs/>
                <w:color w:val="000000"/>
                <w:sz w:val="32"/>
                <w:szCs w:val="32"/>
                <w:highlight w:val="none"/>
                <w:lang w:val="en-US" w:eastAsia="zh-CN"/>
              </w:rPr>
              <w:t>乙方</w:t>
            </w:r>
            <w:r>
              <w:rPr>
                <w:rFonts w:hint="eastAsia" w:ascii="仿宋_GB2312" w:hAnsi="仿宋_GB2312" w:eastAsia="仿宋_GB2312" w:cs="仿宋_GB2312"/>
                <w:b/>
                <w:bCs/>
                <w:color w:val="000000"/>
                <w:sz w:val="32"/>
                <w:szCs w:val="32"/>
                <w:highlight w:val="none"/>
              </w:rPr>
              <w:t>的工程进度报告</w:t>
            </w:r>
            <w:r>
              <w:rPr>
                <w:rFonts w:hint="eastAsia" w:ascii="仿宋_GB2312" w:hAnsi="仿宋_GB2312" w:eastAsia="仿宋_GB2312" w:cs="仿宋_GB2312"/>
                <w:b/>
                <w:bCs/>
                <w:color w:val="000000"/>
                <w:sz w:val="32"/>
                <w:szCs w:val="32"/>
                <w:highlight w:val="none"/>
                <w:lang w:val="en-US" w:eastAsia="zh-CN"/>
              </w:rPr>
              <w:t>经审核</w:t>
            </w:r>
            <w:r>
              <w:rPr>
                <w:rFonts w:hint="eastAsia" w:ascii="仿宋_GB2312" w:hAnsi="仿宋_GB2312" w:eastAsia="仿宋_GB2312" w:cs="仿宋_GB2312"/>
                <w:b/>
                <w:bCs/>
                <w:color w:val="000000"/>
                <w:sz w:val="32"/>
                <w:szCs w:val="32"/>
                <w:highlight w:val="none"/>
              </w:rPr>
              <w:t>后</w:t>
            </w:r>
            <w:r>
              <w:rPr>
                <w:rFonts w:hint="eastAsia" w:ascii="仿宋_GB2312" w:hAnsi="仿宋_GB2312" w:eastAsia="仿宋_GB2312" w:cs="仿宋_GB2312"/>
                <w:b/>
                <w:bCs/>
                <w:color w:val="000000"/>
                <w:sz w:val="32"/>
                <w:szCs w:val="32"/>
                <w:highlight w:val="none"/>
                <w:lang w:eastAsia="zh-CN"/>
              </w:rPr>
              <w:t>，</w:t>
            </w:r>
            <w:r>
              <w:rPr>
                <w:rFonts w:hint="eastAsia" w:ascii="仿宋_GB2312" w:hAnsi="仿宋_GB2312" w:eastAsia="仿宋_GB2312" w:cs="仿宋_GB2312"/>
                <w:b/>
                <w:bCs/>
                <w:color w:val="000000"/>
                <w:sz w:val="32"/>
                <w:szCs w:val="32"/>
                <w:highlight w:val="none"/>
                <w:lang w:val="en-US" w:eastAsia="zh-CN"/>
              </w:rPr>
              <w:t>15</w:t>
            </w:r>
            <w:r>
              <w:rPr>
                <w:rFonts w:hint="eastAsia" w:ascii="仿宋_GB2312" w:hAnsi="仿宋_GB2312" w:eastAsia="仿宋_GB2312" w:cs="仿宋_GB2312"/>
                <w:b/>
                <w:bCs/>
                <w:color w:val="000000"/>
                <w:sz w:val="32"/>
                <w:szCs w:val="32"/>
                <w:highlight w:val="none"/>
              </w:rPr>
              <w:t>天内按核实的工程进度支付进度款</w:t>
            </w:r>
            <w:r>
              <w:rPr>
                <w:rFonts w:hint="eastAsia" w:ascii="仿宋_GB2312" w:hAnsi="仿宋_GB2312" w:eastAsia="仿宋_GB2312" w:cs="仿宋_GB2312"/>
                <w:b/>
                <w:bCs/>
                <w:color w:val="000000"/>
                <w:sz w:val="32"/>
                <w:szCs w:val="32"/>
                <w:highlight w:val="none"/>
                <w:lang w:eastAsia="zh-CN"/>
              </w:rPr>
              <w:t>。</w:t>
            </w:r>
          </w:p>
        </w:tc>
        <w:tc>
          <w:tcPr>
            <w:tcW w:w="1719" w:type="dxa"/>
            <w:noWrap w:val="0"/>
            <w:vAlign w:val="center"/>
          </w:tcPr>
          <w:p w14:paraId="3857DB81">
            <w:pPr>
              <w:pageBreakBefore w:val="0"/>
              <w:kinsoku/>
              <w:wordWrap/>
              <w:overflowPunct/>
              <w:topLinePunct w:val="0"/>
              <w:bidi w:val="0"/>
              <w:adjustRightInd w:val="0"/>
              <w:snapToGrid w:val="0"/>
              <w:spacing w:line="560" w:lineRule="exact"/>
              <w:ind w:firstLine="630" w:firstLineChars="196"/>
              <w:rPr>
                <w:rFonts w:hint="eastAsia" w:ascii="仿宋_GB2312" w:hAnsi="仿宋_GB2312" w:eastAsia="仿宋_GB2312" w:cs="仿宋_GB2312"/>
                <w:b/>
                <w:bCs/>
                <w:color w:val="000000"/>
                <w:sz w:val="32"/>
                <w:szCs w:val="32"/>
                <w:highlight w:val="none"/>
                <w:lang w:val="en-US" w:eastAsia="zh-CN"/>
              </w:rPr>
            </w:pPr>
          </w:p>
        </w:tc>
        <w:tc>
          <w:tcPr>
            <w:tcW w:w="1191" w:type="dxa"/>
            <w:noWrap w:val="0"/>
            <w:vAlign w:val="center"/>
          </w:tcPr>
          <w:p w14:paraId="7C08A04E">
            <w:pPr>
              <w:pageBreakBefore w:val="0"/>
              <w:kinsoku/>
              <w:wordWrap/>
              <w:overflowPunct/>
              <w:topLinePunct w:val="0"/>
              <w:bidi w:val="0"/>
              <w:adjustRightInd w:val="0"/>
              <w:snapToGrid w:val="0"/>
              <w:spacing w:line="560" w:lineRule="exact"/>
              <w:jc w:val="both"/>
              <w:rPr>
                <w:rFonts w:hint="default" w:ascii="仿宋_GB2312" w:hAnsi="仿宋_GB2312" w:eastAsia="仿宋_GB2312" w:cs="仿宋_GB2312"/>
                <w:b/>
                <w:bCs/>
                <w:color w:val="000000"/>
                <w:sz w:val="32"/>
                <w:szCs w:val="32"/>
                <w:highlight w:val="none"/>
                <w:lang w:val="en-US" w:eastAsia="zh-CN"/>
              </w:rPr>
            </w:pPr>
          </w:p>
        </w:tc>
      </w:tr>
      <w:tr w14:paraId="459E0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954" w:type="dxa"/>
            <w:noWrap w:val="0"/>
            <w:vAlign w:val="center"/>
          </w:tcPr>
          <w:p w14:paraId="71021C86">
            <w:pPr>
              <w:pageBreakBefore w:val="0"/>
              <w:kinsoku/>
              <w:wordWrap/>
              <w:overflowPunct/>
              <w:topLinePunct w:val="0"/>
              <w:bidi w:val="0"/>
              <w:adjustRightInd w:val="0"/>
              <w:snapToGrid w:val="0"/>
              <w:spacing w:line="560" w:lineRule="exact"/>
              <w:jc w:val="both"/>
              <w:rPr>
                <w:rFonts w:hint="default" w:ascii="仿宋_GB2312" w:hAnsi="仿宋_GB2312" w:eastAsia="仿宋_GB2312" w:cs="仿宋_GB2312"/>
                <w:b/>
                <w:bCs/>
                <w:color w:val="000000"/>
                <w:sz w:val="32"/>
                <w:szCs w:val="32"/>
                <w:highlight w:val="none"/>
                <w:lang w:val="en-US" w:eastAsia="zh-CN"/>
              </w:rPr>
            </w:pPr>
            <w:r>
              <w:rPr>
                <w:rFonts w:hint="eastAsia" w:ascii="仿宋_GB2312" w:hAnsi="仿宋_GB2312" w:eastAsia="仿宋_GB2312" w:cs="仿宋_GB2312"/>
                <w:b/>
                <w:bCs/>
                <w:color w:val="000000"/>
                <w:sz w:val="32"/>
                <w:szCs w:val="32"/>
                <w:highlight w:val="none"/>
                <w:lang w:val="en-US" w:eastAsia="zh-CN"/>
              </w:rPr>
              <w:t>3</w:t>
            </w:r>
          </w:p>
        </w:tc>
        <w:tc>
          <w:tcPr>
            <w:tcW w:w="4430" w:type="dxa"/>
            <w:noWrap w:val="0"/>
            <w:vAlign w:val="center"/>
          </w:tcPr>
          <w:p w14:paraId="503B9D48">
            <w:pPr>
              <w:pStyle w:val="3"/>
              <w:pageBreakBefore w:val="0"/>
              <w:kinsoku/>
              <w:wordWrap/>
              <w:overflowPunct/>
              <w:topLinePunct w:val="0"/>
              <w:bidi w:val="0"/>
              <w:adjustRightInd w:val="0"/>
              <w:snapToGrid w:val="0"/>
              <w:spacing w:line="560" w:lineRule="exact"/>
              <w:ind w:firstLine="0"/>
              <w:jc w:val="both"/>
              <w:rPr>
                <w:rFonts w:hint="eastAsia" w:ascii="仿宋_GB2312" w:hAnsi="仿宋_GB2312" w:eastAsia="仿宋_GB2312" w:cs="仿宋_GB2312"/>
                <w:b/>
                <w:bCs/>
                <w:color w:val="000000"/>
                <w:sz w:val="32"/>
                <w:szCs w:val="32"/>
                <w:highlight w:val="none"/>
                <w:lang w:eastAsia="zh-CN"/>
              </w:rPr>
            </w:pPr>
            <w:r>
              <w:rPr>
                <w:rFonts w:hint="eastAsia" w:ascii="仿宋_GB2312" w:hAnsi="仿宋_GB2312" w:eastAsia="仿宋_GB2312" w:cs="仿宋_GB2312"/>
                <w:b/>
                <w:bCs/>
                <w:color w:val="000000"/>
                <w:kern w:val="2"/>
                <w:sz w:val="32"/>
                <w:szCs w:val="32"/>
                <w:highlight w:val="none"/>
                <w:lang w:val="en-US" w:eastAsia="zh-CN" w:bidi="ar-SA"/>
              </w:rPr>
              <w:t>完成竣工验收取得相关合格意见</w:t>
            </w:r>
          </w:p>
        </w:tc>
        <w:tc>
          <w:tcPr>
            <w:tcW w:w="1719" w:type="dxa"/>
            <w:noWrap w:val="0"/>
            <w:vAlign w:val="center"/>
          </w:tcPr>
          <w:p w14:paraId="074F1E43">
            <w:pPr>
              <w:pageBreakBefore w:val="0"/>
              <w:kinsoku/>
              <w:wordWrap/>
              <w:overflowPunct/>
              <w:topLinePunct w:val="0"/>
              <w:bidi w:val="0"/>
              <w:adjustRightInd w:val="0"/>
              <w:snapToGrid w:val="0"/>
              <w:spacing w:line="560" w:lineRule="exact"/>
              <w:ind w:firstLine="630" w:firstLineChars="196"/>
              <w:jc w:val="both"/>
              <w:rPr>
                <w:rFonts w:hint="default" w:ascii="仿宋_GB2312" w:hAnsi="仿宋_GB2312" w:eastAsia="仿宋_GB2312" w:cs="仿宋_GB2312"/>
                <w:b/>
                <w:bCs/>
                <w:color w:val="000000"/>
                <w:sz w:val="32"/>
                <w:szCs w:val="32"/>
                <w:highlight w:val="none"/>
                <w:lang w:val="en-US" w:eastAsia="zh-CN"/>
              </w:rPr>
            </w:pPr>
          </w:p>
        </w:tc>
        <w:tc>
          <w:tcPr>
            <w:tcW w:w="1191" w:type="dxa"/>
            <w:noWrap w:val="0"/>
            <w:vAlign w:val="center"/>
          </w:tcPr>
          <w:p w14:paraId="090EB2BC">
            <w:pPr>
              <w:pageBreakBefore w:val="0"/>
              <w:kinsoku/>
              <w:wordWrap/>
              <w:overflowPunct/>
              <w:topLinePunct w:val="0"/>
              <w:bidi w:val="0"/>
              <w:adjustRightInd w:val="0"/>
              <w:snapToGrid w:val="0"/>
              <w:spacing w:line="560" w:lineRule="exact"/>
              <w:jc w:val="both"/>
              <w:rPr>
                <w:rFonts w:hint="eastAsia" w:ascii="仿宋_GB2312" w:hAnsi="仿宋_GB2312" w:eastAsia="仿宋_GB2312" w:cs="仿宋_GB2312"/>
                <w:b/>
                <w:bCs/>
                <w:color w:val="000000"/>
                <w:sz w:val="32"/>
                <w:szCs w:val="32"/>
                <w:highlight w:val="none"/>
              </w:rPr>
            </w:pPr>
            <w:r>
              <w:rPr>
                <w:rFonts w:hint="eastAsia" w:ascii="仿宋_GB2312" w:hAnsi="仿宋_GB2312" w:eastAsia="仿宋_GB2312" w:cs="仿宋_GB2312"/>
                <w:b/>
                <w:bCs/>
                <w:color w:val="000000"/>
                <w:sz w:val="32"/>
                <w:szCs w:val="32"/>
                <w:highlight w:val="none"/>
              </w:rPr>
              <w:t>80%</w:t>
            </w:r>
          </w:p>
        </w:tc>
      </w:tr>
      <w:tr w14:paraId="58FFD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954" w:type="dxa"/>
            <w:noWrap w:val="0"/>
            <w:vAlign w:val="center"/>
          </w:tcPr>
          <w:p w14:paraId="3D8069FD">
            <w:pPr>
              <w:pageBreakBefore w:val="0"/>
              <w:kinsoku/>
              <w:wordWrap/>
              <w:overflowPunct/>
              <w:topLinePunct w:val="0"/>
              <w:bidi w:val="0"/>
              <w:adjustRightInd w:val="0"/>
              <w:snapToGrid w:val="0"/>
              <w:spacing w:line="560" w:lineRule="exact"/>
              <w:jc w:val="both"/>
              <w:rPr>
                <w:rFonts w:hint="eastAsia" w:ascii="仿宋_GB2312" w:hAnsi="仿宋_GB2312" w:eastAsia="仿宋_GB2312" w:cs="仿宋_GB2312"/>
                <w:b/>
                <w:bCs/>
                <w:color w:val="000000"/>
                <w:sz w:val="32"/>
                <w:szCs w:val="32"/>
                <w:highlight w:val="none"/>
                <w:lang w:eastAsia="zh-CN"/>
              </w:rPr>
            </w:pPr>
            <w:r>
              <w:rPr>
                <w:rFonts w:hint="eastAsia" w:ascii="仿宋_GB2312" w:hAnsi="仿宋_GB2312" w:eastAsia="仿宋_GB2312" w:cs="仿宋_GB2312"/>
                <w:b/>
                <w:bCs/>
                <w:color w:val="000000"/>
                <w:sz w:val="32"/>
                <w:szCs w:val="32"/>
                <w:highlight w:val="none"/>
                <w:lang w:val="en-US" w:eastAsia="zh-CN"/>
              </w:rPr>
              <w:t>4</w:t>
            </w:r>
          </w:p>
        </w:tc>
        <w:tc>
          <w:tcPr>
            <w:tcW w:w="4430" w:type="dxa"/>
            <w:noWrap w:val="0"/>
            <w:vAlign w:val="center"/>
          </w:tcPr>
          <w:p w14:paraId="7C192A02">
            <w:pPr>
              <w:pageBreakBefore w:val="0"/>
              <w:kinsoku/>
              <w:wordWrap/>
              <w:overflowPunct/>
              <w:topLinePunct w:val="0"/>
              <w:bidi w:val="0"/>
              <w:adjustRightInd w:val="0"/>
              <w:snapToGrid w:val="0"/>
              <w:spacing w:line="560" w:lineRule="exact"/>
              <w:rPr>
                <w:rFonts w:hint="eastAsia" w:ascii="仿宋_GB2312" w:hAnsi="仿宋_GB2312" w:eastAsia="仿宋_GB2312" w:cs="仿宋_GB2312"/>
                <w:b/>
                <w:bCs/>
                <w:color w:val="000000"/>
                <w:sz w:val="32"/>
                <w:szCs w:val="32"/>
                <w:highlight w:val="none"/>
              </w:rPr>
            </w:pPr>
            <w:r>
              <w:rPr>
                <w:rFonts w:hint="eastAsia" w:ascii="仿宋_GB2312" w:hAnsi="仿宋_GB2312" w:eastAsia="仿宋_GB2312" w:cs="仿宋_GB2312"/>
                <w:b/>
                <w:bCs/>
                <w:color w:val="000000"/>
                <w:sz w:val="32"/>
                <w:szCs w:val="32"/>
                <w:highlight w:val="none"/>
              </w:rPr>
              <w:t>工程竣工验收备案并交付且经发包人结算审核及审计机构核定（如有）确认后30个工作日内</w:t>
            </w:r>
          </w:p>
        </w:tc>
        <w:tc>
          <w:tcPr>
            <w:tcW w:w="1719" w:type="dxa"/>
            <w:noWrap w:val="0"/>
            <w:vAlign w:val="center"/>
          </w:tcPr>
          <w:p w14:paraId="3C72AB36">
            <w:pPr>
              <w:pageBreakBefore w:val="0"/>
              <w:kinsoku/>
              <w:wordWrap/>
              <w:overflowPunct/>
              <w:topLinePunct w:val="0"/>
              <w:bidi w:val="0"/>
              <w:adjustRightInd w:val="0"/>
              <w:snapToGrid w:val="0"/>
              <w:spacing w:line="560" w:lineRule="exact"/>
              <w:ind w:firstLine="630" w:firstLineChars="196"/>
              <w:jc w:val="both"/>
              <w:rPr>
                <w:rFonts w:hint="eastAsia" w:ascii="仿宋_GB2312" w:hAnsi="仿宋_GB2312" w:eastAsia="仿宋_GB2312" w:cs="仿宋_GB2312"/>
                <w:b/>
                <w:bCs/>
                <w:color w:val="000000"/>
                <w:sz w:val="32"/>
                <w:szCs w:val="32"/>
                <w:highlight w:val="none"/>
              </w:rPr>
            </w:pPr>
            <w:r>
              <w:rPr>
                <w:rFonts w:hint="eastAsia" w:ascii="仿宋_GB2312" w:hAnsi="仿宋_GB2312" w:eastAsia="仿宋_GB2312" w:cs="仿宋_GB2312"/>
                <w:b/>
                <w:bCs/>
                <w:color w:val="000000"/>
                <w:sz w:val="32"/>
                <w:szCs w:val="32"/>
                <w:highlight w:val="none"/>
              </w:rPr>
              <w:t>1</w:t>
            </w:r>
            <w:r>
              <w:rPr>
                <w:rFonts w:hint="eastAsia" w:ascii="仿宋_GB2312" w:hAnsi="仿宋_GB2312" w:eastAsia="仿宋_GB2312" w:cs="仿宋_GB2312"/>
                <w:b/>
                <w:bCs/>
                <w:color w:val="000000"/>
                <w:sz w:val="32"/>
                <w:szCs w:val="32"/>
                <w:highlight w:val="none"/>
                <w:lang w:val="en-US" w:eastAsia="zh-CN"/>
              </w:rPr>
              <w:t>7</w:t>
            </w:r>
            <w:r>
              <w:rPr>
                <w:rFonts w:hint="eastAsia" w:ascii="仿宋_GB2312" w:hAnsi="仿宋_GB2312" w:eastAsia="仿宋_GB2312" w:cs="仿宋_GB2312"/>
                <w:b/>
                <w:bCs/>
                <w:color w:val="000000"/>
                <w:sz w:val="32"/>
                <w:szCs w:val="32"/>
                <w:highlight w:val="none"/>
              </w:rPr>
              <w:t>%</w:t>
            </w:r>
          </w:p>
        </w:tc>
        <w:tc>
          <w:tcPr>
            <w:tcW w:w="1191" w:type="dxa"/>
            <w:noWrap w:val="0"/>
            <w:vAlign w:val="center"/>
          </w:tcPr>
          <w:p w14:paraId="033FC254">
            <w:pPr>
              <w:pageBreakBefore w:val="0"/>
              <w:kinsoku/>
              <w:wordWrap/>
              <w:overflowPunct/>
              <w:topLinePunct w:val="0"/>
              <w:bidi w:val="0"/>
              <w:adjustRightInd w:val="0"/>
              <w:snapToGrid w:val="0"/>
              <w:spacing w:line="560" w:lineRule="exact"/>
              <w:jc w:val="both"/>
              <w:rPr>
                <w:rFonts w:hint="eastAsia" w:ascii="仿宋_GB2312" w:hAnsi="仿宋_GB2312" w:eastAsia="仿宋_GB2312" w:cs="仿宋_GB2312"/>
                <w:b/>
                <w:bCs/>
                <w:color w:val="000000"/>
                <w:sz w:val="32"/>
                <w:szCs w:val="32"/>
                <w:highlight w:val="none"/>
              </w:rPr>
            </w:pPr>
            <w:r>
              <w:rPr>
                <w:rFonts w:hint="eastAsia" w:ascii="仿宋_GB2312" w:hAnsi="仿宋_GB2312" w:eastAsia="仿宋_GB2312" w:cs="仿宋_GB2312"/>
                <w:b/>
                <w:bCs/>
                <w:color w:val="000000"/>
                <w:sz w:val="32"/>
                <w:szCs w:val="32"/>
                <w:highlight w:val="none"/>
              </w:rPr>
              <w:t>9</w:t>
            </w:r>
            <w:r>
              <w:rPr>
                <w:rFonts w:hint="eastAsia" w:ascii="仿宋_GB2312" w:hAnsi="仿宋_GB2312" w:eastAsia="仿宋_GB2312" w:cs="仿宋_GB2312"/>
                <w:b/>
                <w:bCs/>
                <w:color w:val="000000"/>
                <w:sz w:val="32"/>
                <w:szCs w:val="32"/>
                <w:highlight w:val="none"/>
                <w:lang w:val="en-US" w:eastAsia="zh-CN"/>
              </w:rPr>
              <w:t>7</w:t>
            </w:r>
            <w:r>
              <w:rPr>
                <w:rFonts w:hint="eastAsia" w:ascii="仿宋_GB2312" w:hAnsi="仿宋_GB2312" w:eastAsia="仿宋_GB2312" w:cs="仿宋_GB2312"/>
                <w:b/>
                <w:bCs/>
                <w:color w:val="000000"/>
                <w:sz w:val="32"/>
                <w:szCs w:val="32"/>
                <w:highlight w:val="none"/>
              </w:rPr>
              <w:t>%</w:t>
            </w:r>
          </w:p>
        </w:tc>
      </w:tr>
      <w:tr w14:paraId="4D6CE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trPr>
        <w:tc>
          <w:tcPr>
            <w:tcW w:w="954" w:type="dxa"/>
            <w:noWrap w:val="0"/>
            <w:vAlign w:val="center"/>
          </w:tcPr>
          <w:p w14:paraId="55EFD61B">
            <w:pPr>
              <w:pageBreakBefore w:val="0"/>
              <w:kinsoku/>
              <w:wordWrap/>
              <w:overflowPunct/>
              <w:topLinePunct w:val="0"/>
              <w:bidi w:val="0"/>
              <w:adjustRightInd w:val="0"/>
              <w:snapToGrid w:val="0"/>
              <w:spacing w:line="560" w:lineRule="exact"/>
              <w:ind w:right="0"/>
              <w:jc w:val="both"/>
              <w:rPr>
                <w:rFonts w:hint="eastAsia" w:ascii="仿宋_GB2312" w:hAnsi="仿宋_GB2312" w:eastAsia="仿宋_GB2312" w:cs="仿宋_GB2312"/>
                <w:b/>
                <w:bCs/>
                <w:color w:val="000000"/>
                <w:sz w:val="32"/>
                <w:szCs w:val="32"/>
                <w:highlight w:val="none"/>
                <w:lang w:eastAsia="zh-CN"/>
              </w:rPr>
            </w:pPr>
            <w:r>
              <w:rPr>
                <w:rFonts w:hint="eastAsia" w:ascii="仿宋_GB2312" w:hAnsi="仿宋_GB2312" w:eastAsia="仿宋_GB2312" w:cs="仿宋_GB2312"/>
                <w:b/>
                <w:bCs/>
                <w:color w:val="000000"/>
                <w:sz w:val="32"/>
                <w:szCs w:val="32"/>
                <w:highlight w:val="none"/>
                <w:lang w:val="en-US" w:eastAsia="zh-CN"/>
              </w:rPr>
              <w:t>5</w:t>
            </w:r>
          </w:p>
        </w:tc>
        <w:tc>
          <w:tcPr>
            <w:tcW w:w="4430" w:type="dxa"/>
            <w:noWrap w:val="0"/>
            <w:vAlign w:val="center"/>
          </w:tcPr>
          <w:p w14:paraId="03A5E0A8">
            <w:pPr>
              <w:pageBreakBefore w:val="0"/>
              <w:kinsoku/>
              <w:wordWrap/>
              <w:overflowPunct/>
              <w:topLinePunct w:val="0"/>
              <w:bidi w:val="0"/>
              <w:adjustRightInd w:val="0"/>
              <w:snapToGrid w:val="0"/>
              <w:spacing w:line="560" w:lineRule="exact"/>
              <w:ind w:firstLine="630" w:firstLineChars="196"/>
              <w:rPr>
                <w:rFonts w:hint="eastAsia" w:ascii="仿宋_GB2312" w:hAnsi="仿宋_GB2312" w:eastAsia="仿宋_GB2312" w:cs="仿宋_GB2312"/>
                <w:b/>
                <w:bCs/>
                <w:color w:val="000000"/>
                <w:sz w:val="32"/>
                <w:szCs w:val="32"/>
                <w:highlight w:val="none"/>
              </w:rPr>
            </w:pPr>
            <w:r>
              <w:rPr>
                <w:rFonts w:hint="eastAsia" w:ascii="仿宋_GB2312" w:hAnsi="仿宋_GB2312" w:eastAsia="仿宋_GB2312" w:cs="仿宋_GB2312"/>
                <w:b/>
                <w:bCs/>
                <w:color w:val="000000"/>
                <w:sz w:val="32"/>
                <w:szCs w:val="32"/>
                <w:highlight w:val="none"/>
                <w:lang w:val="en-US" w:eastAsia="zh-CN"/>
              </w:rPr>
              <w:t>缺陷责任期届满</w:t>
            </w:r>
          </w:p>
        </w:tc>
        <w:tc>
          <w:tcPr>
            <w:tcW w:w="1719" w:type="dxa"/>
            <w:noWrap w:val="0"/>
            <w:vAlign w:val="center"/>
          </w:tcPr>
          <w:p w14:paraId="7612F258">
            <w:pPr>
              <w:pageBreakBefore w:val="0"/>
              <w:kinsoku/>
              <w:wordWrap/>
              <w:overflowPunct/>
              <w:topLinePunct w:val="0"/>
              <w:bidi w:val="0"/>
              <w:adjustRightInd w:val="0"/>
              <w:snapToGrid w:val="0"/>
              <w:spacing w:line="560" w:lineRule="exact"/>
              <w:ind w:firstLine="630" w:firstLineChars="196"/>
              <w:jc w:val="both"/>
              <w:rPr>
                <w:rFonts w:hint="eastAsia" w:ascii="仿宋_GB2312" w:hAnsi="仿宋_GB2312" w:eastAsia="仿宋_GB2312" w:cs="仿宋_GB2312"/>
                <w:b/>
                <w:bCs/>
                <w:color w:val="000000"/>
                <w:sz w:val="32"/>
                <w:szCs w:val="32"/>
                <w:highlight w:val="none"/>
              </w:rPr>
            </w:pPr>
            <w:r>
              <w:rPr>
                <w:rFonts w:hint="eastAsia" w:ascii="仿宋_GB2312" w:hAnsi="仿宋_GB2312" w:eastAsia="仿宋_GB2312" w:cs="仿宋_GB2312"/>
                <w:b/>
                <w:bCs/>
                <w:color w:val="000000"/>
                <w:sz w:val="32"/>
                <w:szCs w:val="32"/>
                <w:highlight w:val="none"/>
                <w:lang w:val="en-US" w:eastAsia="zh-CN"/>
              </w:rPr>
              <w:t>3</w:t>
            </w:r>
            <w:r>
              <w:rPr>
                <w:rFonts w:hint="eastAsia" w:ascii="仿宋_GB2312" w:hAnsi="仿宋_GB2312" w:eastAsia="仿宋_GB2312" w:cs="仿宋_GB2312"/>
                <w:b/>
                <w:bCs/>
                <w:color w:val="000000"/>
                <w:sz w:val="32"/>
                <w:szCs w:val="32"/>
                <w:highlight w:val="none"/>
              </w:rPr>
              <w:t>%</w:t>
            </w:r>
          </w:p>
        </w:tc>
        <w:tc>
          <w:tcPr>
            <w:tcW w:w="1191" w:type="dxa"/>
            <w:noWrap w:val="0"/>
            <w:vAlign w:val="center"/>
          </w:tcPr>
          <w:p w14:paraId="1F04627B">
            <w:pPr>
              <w:pageBreakBefore w:val="0"/>
              <w:kinsoku/>
              <w:wordWrap/>
              <w:overflowPunct/>
              <w:topLinePunct w:val="0"/>
              <w:bidi w:val="0"/>
              <w:adjustRightInd w:val="0"/>
              <w:snapToGrid w:val="0"/>
              <w:spacing w:line="560" w:lineRule="exact"/>
              <w:jc w:val="both"/>
              <w:rPr>
                <w:rFonts w:hint="eastAsia" w:ascii="仿宋_GB2312" w:hAnsi="仿宋_GB2312" w:eastAsia="仿宋_GB2312" w:cs="仿宋_GB2312"/>
                <w:b/>
                <w:bCs/>
                <w:color w:val="000000"/>
                <w:sz w:val="32"/>
                <w:szCs w:val="32"/>
                <w:highlight w:val="none"/>
              </w:rPr>
            </w:pPr>
            <w:r>
              <w:rPr>
                <w:rFonts w:hint="eastAsia" w:ascii="仿宋_GB2312" w:hAnsi="仿宋_GB2312" w:eastAsia="仿宋_GB2312" w:cs="仿宋_GB2312"/>
                <w:b/>
                <w:bCs/>
                <w:color w:val="000000"/>
                <w:sz w:val="32"/>
                <w:szCs w:val="32"/>
                <w:highlight w:val="none"/>
                <w:lang w:val="en-US" w:eastAsia="zh-CN"/>
              </w:rPr>
              <w:t>100</w:t>
            </w:r>
            <w:r>
              <w:rPr>
                <w:rFonts w:hint="eastAsia" w:ascii="仿宋_GB2312" w:hAnsi="仿宋_GB2312" w:eastAsia="仿宋_GB2312" w:cs="仿宋_GB2312"/>
                <w:b/>
                <w:bCs/>
                <w:color w:val="000000"/>
                <w:sz w:val="32"/>
                <w:szCs w:val="32"/>
                <w:highlight w:val="none"/>
              </w:rPr>
              <w:t>%</w:t>
            </w:r>
          </w:p>
        </w:tc>
      </w:tr>
    </w:tbl>
    <w:p w14:paraId="333C5900">
      <w:pPr>
        <w:pageBreakBefore w:val="0"/>
        <w:kinsoku/>
        <w:wordWrap/>
        <w:overflowPunct/>
        <w:topLinePunct w:val="0"/>
        <w:bidi w:val="0"/>
        <w:adjustRightInd w:val="0"/>
        <w:snapToGrid w:val="0"/>
        <w:spacing w:line="560" w:lineRule="exact"/>
        <w:ind w:firstLine="640" w:firstLineChars="200"/>
        <w:rPr>
          <w:rFonts w:hint="eastAsia" w:ascii="仿宋_GB2312" w:hAnsi="仿宋_GB2312" w:eastAsia="仿宋_GB2312" w:cs="仿宋_GB2312"/>
          <w:b w:val="0"/>
          <w:bCs w:val="0"/>
          <w:color w:val="000000"/>
          <w:sz w:val="32"/>
          <w:szCs w:val="32"/>
          <w:highlight w:val="none"/>
        </w:rPr>
      </w:pPr>
      <w:r>
        <w:rPr>
          <w:rFonts w:hint="eastAsia" w:ascii="仿宋_GB2312" w:hAnsi="仿宋_GB2312" w:eastAsia="仿宋_GB2312" w:cs="仿宋_GB2312"/>
          <w:b w:val="0"/>
          <w:bCs w:val="0"/>
          <w:color w:val="000000"/>
          <w:sz w:val="32"/>
          <w:szCs w:val="32"/>
          <w:highlight w:val="none"/>
        </w:rPr>
        <w:t>说明：</w:t>
      </w:r>
    </w:p>
    <w:p w14:paraId="4324C31A">
      <w:pPr>
        <w:pageBreakBefore w:val="0"/>
        <w:kinsoku/>
        <w:wordWrap/>
        <w:overflowPunct/>
        <w:topLinePunct w:val="0"/>
        <w:bidi w:val="0"/>
        <w:adjustRightInd w:val="0"/>
        <w:snapToGrid w:val="0"/>
        <w:spacing w:line="560" w:lineRule="exact"/>
        <w:ind w:firstLine="627" w:firstLineChars="196"/>
        <w:rPr>
          <w:rFonts w:hint="eastAsia" w:ascii="仿宋_GB2312" w:hAnsi="仿宋_GB2312" w:eastAsia="仿宋_GB2312" w:cs="仿宋_GB2312"/>
          <w:b w:val="0"/>
          <w:bCs w:val="0"/>
          <w:color w:val="000000"/>
          <w:sz w:val="32"/>
          <w:szCs w:val="32"/>
          <w:highlight w:val="none"/>
        </w:rPr>
      </w:pPr>
      <w:r>
        <w:rPr>
          <w:rFonts w:hint="eastAsia" w:ascii="仿宋_GB2312" w:hAnsi="仿宋_GB2312" w:eastAsia="仿宋_GB2312" w:cs="仿宋_GB2312"/>
          <w:b w:val="0"/>
          <w:bCs w:val="0"/>
          <w:color w:val="000000"/>
          <w:sz w:val="32"/>
          <w:szCs w:val="32"/>
          <w:highlight w:val="none"/>
        </w:rPr>
        <w:t>按形象进度支付工程进度款，必须有工程实际完成工程量及按合同规定计算完成的工程投资，如形象付款大于或少于实际计算完成的投资额，在下期形象进度支付款中增减。</w:t>
      </w:r>
    </w:p>
    <w:p w14:paraId="19A42D22">
      <w:pPr>
        <w:pageBreakBefore w:val="0"/>
        <w:widowControl w:val="0"/>
        <w:kinsoku/>
        <w:wordWrap/>
        <w:overflowPunct/>
        <w:topLinePunct w:val="0"/>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lang w:val="en-US" w:eastAsia="zh-CN"/>
        </w:rPr>
        <w:t>12</w:t>
      </w:r>
      <w:r>
        <w:rPr>
          <w:rFonts w:hint="eastAsia" w:ascii="仿宋_GB2312" w:hAnsi="仿宋_GB2312" w:eastAsia="仿宋_GB2312" w:cs="仿宋_GB2312"/>
          <w:color w:val="auto"/>
          <w:sz w:val="32"/>
          <w:szCs w:val="32"/>
          <w:highlight w:val="none"/>
        </w:rPr>
        <w:t>.4.2 进度付款申请单的</w:t>
      </w:r>
      <w:r>
        <w:rPr>
          <w:rFonts w:hint="eastAsia" w:ascii="仿宋_GB2312" w:hAnsi="仿宋_GB2312" w:eastAsia="仿宋_GB2312" w:cs="仿宋_GB2312"/>
          <w:color w:val="auto"/>
          <w:sz w:val="32"/>
          <w:szCs w:val="32"/>
          <w:highlight w:val="none"/>
          <w:u w:val="none"/>
        </w:rPr>
        <w:t>编制</w:t>
      </w:r>
    </w:p>
    <w:p w14:paraId="79F50174">
      <w:pPr>
        <w:pageBreakBefore w:val="0"/>
        <w:widowControl w:val="0"/>
        <w:kinsoku/>
        <w:wordWrap/>
        <w:overflowPunct/>
        <w:topLinePunct w:val="0"/>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关于进度付款申请单编制的约定：</w:t>
      </w:r>
      <w:r>
        <w:rPr>
          <w:rFonts w:hint="eastAsia" w:ascii="仿宋_GB2312" w:hAnsi="仿宋_GB2312" w:eastAsia="仿宋_GB2312" w:cs="仿宋_GB2312"/>
          <w:sz w:val="32"/>
          <w:szCs w:val="32"/>
          <w:u w:val="none"/>
        </w:rPr>
        <w:t>承包人按发包人要求的进度付款申请单格式</w:t>
      </w:r>
      <w:r>
        <w:rPr>
          <w:rFonts w:hint="eastAsia" w:ascii="仿宋_GB2312" w:hAnsi="仿宋_GB2312" w:eastAsia="仿宋_GB2312" w:cs="仿宋_GB2312"/>
          <w:sz w:val="32"/>
          <w:szCs w:val="32"/>
          <w:u w:val="none"/>
          <w:lang w:val="en-US" w:eastAsia="zh-CN"/>
        </w:rPr>
        <w:t>编制后</w:t>
      </w:r>
      <w:r>
        <w:rPr>
          <w:rFonts w:hint="eastAsia" w:ascii="仿宋_GB2312" w:hAnsi="仿宋_GB2312" w:eastAsia="仿宋_GB2312" w:cs="仿宋_GB2312"/>
          <w:sz w:val="32"/>
          <w:szCs w:val="32"/>
          <w:u w:val="none"/>
        </w:rPr>
        <w:t>，向监理人和发包人报送</w:t>
      </w:r>
      <w:r>
        <w:rPr>
          <w:rFonts w:hint="eastAsia" w:ascii="仿宋_GB2312" w:hAnsi="仿宋_GB2312" w:eastAsia="仿宋_GB2312" w:cs="仿宋_GB2312"/>
          <w:sz w:val="32"/>
          <w:szCs w:val="32"/>
          <w:u w:val="none"/>
          <w:lang w:val="en-US" w:eastAsia="zh-CN"/>
        </w:rPr>
        <w:t>当期</w:t>
      </w:r>
      <w:r>
        <w:rPr>
          <w:rFonts w:hint="eastAsia" w:ascii="仿宋_GB2312" w:hAnsi="仿宋_GB2312" w:eastAsia="仿宋_GB2312" w:cs="仿宋_GB2312"/>
          <w:sz w:val="32"/>
          <w:szCs w:val="32"/>
          <w:u w:val="none"/>
        </w:rPr>
        <w:t>完成工作量报表和下</w:t>
      </w:r>
      <w:r>
        <w:rPr>
          <w:rFonts w:hint="eastAsia" w:ascii="仿宋_GB2312" w:hAnsi="仿宋_GB2312" w:eastAsia="仿宋_GB2312" w:cs="仿宋_GB2312"/>
          <w:sz w:val="32"/>
          <w:szCs w:val="32"/>
          <w:u w:val="none"/>
          <w:lang w:val="en-US" w:eastAsia="zh-CN"/>
        </w:rPr>
        <w:t>期</w:t>
      </w:r>
      <w:r>
        <w:rPr>
          <w:rFonts w:hint="eastAsia" w:ascii="仿宋_GB2312" w:hAnsi="仿宋_GB2312" w:eastAsia="仿宋_GB2312" w:cs="仿宋_GB2312"/>
          <w:sz w:val="32"/>
          <w:szCs w:val="32"/>
          <w:u w:val="none"/>
        </w:rPr>
        <w:t>施工进度计划表，同时提交相应的验收记录及质量检测报告。承包人编制进度款申请书时，应附经监理人、发包人签认的完成工作量报表，并向监理机构提交支付报告</w:t>
      </w:r>
      <w:r>
        <w:rPr>
          <w:rFonts w:hint="eastAsia" w:ascii="仿宋_GB2312" w:hAnsi="仿宋_GB2312" w:eastAsia="仿宋_GB2312" w:cs="仿宋_GB2312"/>
          <w:color w:val="auto"/>
          <w:sz w:val="32"/>
          <w:szCs w:val="32"/>
          <w:highlight w:val="none"/>
          <w:u w:val="none"/>
        </w:rPr>
        <w:t>。</w:t>
      </w:r>
    </w:p>
    <w:p w14:paraId="41BF101C">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lang w:val="en-US" w:eastAsia="zh-CN"/>
        </w:rPr>
        <w:t>12</w:t>
      </w:r>
      <w:r>
        <w:rPr>
          <w:rFonts w:hint="eastAsia" w:ascii="仿宋_GB2312" w:hAnsi="仿宋_GB2312" w:eastAsia="仿宋_GB2312" w:cs="仿宋_GB2312"/>
          <w:color w:val="auto"/>
          <w:sz w:val="32"/>
          <w:szCs w:val="32"/>
          <w:highlight w:val="none"/>
          <w:u w:val="none"/>
        </w:rPr>
        <w:t>.4.3 进度付款申请单的提交</w:t>
      </w:r>
    </w:p>
    <w:p w14:paraId="354990FC">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（1）单价合同进度付款申请单提交的约定：</w:t>
      </w:r>
      <w:r>
        <w:rPr>
          <w:rFonts w:hint="eastAsia" w:ascii="仿宋_GB2312" w:hAnsi="仿宋_GB2312" w:eastAsia="仿宋_GB2312" w:cs="仿宋_GB2312"/>
          <w:color w:val="auto"/>
          <w:sz w:val="32"/>
          <w:szCs w:val="32"/>
          <w:highlight w:val="none"/>
          <w:u w:val="none"/>
          <w:lang w:val="en-US" w:eastAsia="zh-CN"/>
        </w:rPr>
        <w:t>承包人完成本合同专用条款12.4.1条约定的形象进度后可向发包人提交</w:t>
      </w:r>
      <w:r>
        <w:rPr>
          <w:rFonts w:hint="eastAsia" w:ascii="仿宋_GB2312" w:hAnsi="仿宋_GB2312" w:eastAsia="仿宋_GB2312" w:cs="仿宋_GB2312"/>
          <w:color w:val="auto"/>
          <w:sz w:val="32"/>
          <w:szCs w:val="32"/>
          <w:highlight w:val="none"/>
          <w:u w:val="none"/>
        </w:rPr>
        <w:t>进度付款申请单。</w:t>
      </w:r>
    </w:p>
    <w:p w14:paraId="4EE97167">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（2）总价合同进度付款申请单提交的约定：</w:t>
      </w:r>
      <w:r>
        <w:rPr>
          <w:rFonts w:hint="eastAsia" w:ascii="仿宋_GB2312" w:hAnsi="仿宋_GB2312" w:eastAsia="仿宋_GB2312" w:cs="仿宋_GB2312"/>
          <w:color w:val="auto"/>
          <w:sz w:val="32"/>
          <w:szCs w:val="32"/>
          <w:highlight w:val="none"/>
          <w:u w:val="single"/>
        </w:rPr>
        <w:t xml:space="preserve">      /      </w:t>
      </w:r>
      <w:r>
        <w:rPr>
          <w:rFonts w:hint="eastAsia" w:ascii="仿宋_GB2312" w:hAnsi="仿宋_GB2312" w:eastAsia="仿宋_GB2312" w:cs="仿宋_GB2312"/>
          <w:color w:val="auto"/>
          <w:sz w:val="32"/>
          <w:szCs w:val="32"/>
          <w:highlight w:val="none"/>
        </w:rPr>
        <w:t>。</w:t>
      </w:r>
    </w:p>
    <w:p w14:paraId="26CE4955">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（3）其他价格形式合同进度付款申请单提交的约定：</w:t>
      </w:r>
      <w:r>
        <w:rPr>
          <w:rFonts w:hint="eastAsia" w:ascii="仿宋_GB2312" w:hAnsi="仿宋_GB2312" w:eastAsia="仿宋_GB2312" w:cs="仿宋_GB2312"/>
          <w:color w:val="auto"/>
          <w:sz w:val="32"/>
          <w:szCs w:val="32"/>
          <w:highlight w:val="none"/>
          <w:u w:val="single"/>
        </w:rPr>
        <w:t xml:space="preserve">  /  </w:t>
      </w:r>
      <w:r>
        <w:rPr>
          <w:rFonts w:hint="eastAsia" w:ascii="仿宋_GB2312" w:hAnsi="仿宋_GB2312" w:eastAsia="仿宋_GB2312" w:cs="仿宋_GB2312"/>
          <w:color w:val="auto"/>
          <w:sz w:val="32"/>
          <w:szCs w:val="32"/>
          <w:highlight w:val="none"/>
        </w:rPr>
        <w:t>。</w:t>
      </w:r>
    </w:p>
    <w:p w14:paraId="14EE1C76">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12</w:t>
      </w:r>
      <w:r>
        <w:rPr>
          <w:rFonts w:hint="eastAsia" w:ascii="仿宋_GB2312" w:hAnsi="仿宋_GB2312" w:eastAsia="仿宋_GB2312" w:cs="仿宋_GB2312"/>
          <w:color w:val="auto"/>
          <w:sz w:val="32"/>
          <w:szCs w:val="32"/>
          <w:highlight w:val="none"/>
        </w:rPr>
        <w:t>.4.4 进度款审核和支付</w:t>
      </w:r>
    </w:p>
    <w:p w14:paraId="1B8B8523">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rPr>
        <w:t>（1）监理人审查并报送发包人的期</w:t>
      </w:r>
      <w:r>
        <w:rPr>
          <w:rFonts w:hint="eastAsia" w:ascii="仿宋_GB2312" w:hAnsi="仿宋_GB2312" w:eastAsia="仿宋_GB2312" w:cs="仿宋_GB2312"/>
          <w:color w:val="auto"/>
          <w:sz w:val="32"/>
          <w:szCs w:val="32"/>
          <w:highlight w:val="none"/>
          <w:u w:val="none"/>
        </w:rPr>
        <w:t>限：总监理工程师收到承包人报送的付款申请和有关资料后，按发包人制定的相关程序在7个工作日内审核完毕。</w:t>
      </w:r>
    </w:p>
    <w:p w14:paraId="390DEAD7">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发包人完成审批并签发进度款支付证书的期限：发包人应在监理人审核确认并提交支付申请后10个工作日内审批完毕，承包人应充分考虑该项目支付需报批的时间和流程。项目中期支付结果不作为工程最终结算的依据。发包人逾期未完成审批且未提出异议的，不视为已签发进度款支付证书。</w:t>
      </w:r>
    </w:p>
    <w:p w14:paraId="1781CA9A">
      <w:pPr>
        <w:pageBreakBefore w:val="0"/>
        <w:widowControl w:val="0"/>
        <w:kinsoku/>
        <w:wordWrap/>
        <w:overflowPunct/>
        <w:topLinePunct w:val="0"/>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发包人支付进度款的期限：发包人在审核确定后并由承包人提出付款申请起20个工作日内，支付当期实际完成产值的80%，并根据合同约定扣回预付款</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lang w:val="en-US" w:eastAsia="zh-CN"/>
        </w:rPr>
        <w:t>如有，下同</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rPr>
        <w:t>，作为当期实付工程进度款；当实付工程进度款（含未扣回预付款在内</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rPr>
        <w:t>累计支付至签约合同价及经发包人审核的累计进度报表二者之低值的80%时暂停支付。本合同所有费用均以转账方式支付，每期支付前，承包人应向发包人提供本期应付费用请款函，待发包人审核同意后，承包人根据审定金额按发包人要求提</w:t>
      </w:r>
      <w:r>
        <w:rPr>
          <w:rFonts w:hint="eastAsia" w:ascii="仿宋_GB2312" w:hAnsi="仿宋_GB2312" w:eastAsia="仿宋_GB2312" w:cs="仿宋_GB2312"/>
          <w:color w:val="auto"/>
          <w:sz w:val="32"/>
          <w:szCs w:val="32"/>
          <w:highlight w:val="none"/>
          <w:u w:val="none"/>
          <w:lang w:val="en-US" w:eastAsia="zh-CN"/>
        </w:rPr>
        <w:t>交</w:t>
      </w:r>
      <w:r>
        <w:rPr>
          <w:rFonts w:hint="eastAsia" w:ascii="仿宋_GB2312" w:hAnsi="仿宋_GB2312" w:eastAsia="仿宋_GB2312" w:cs="仿宋_GB2312"/>
          <w:color w:val="auto"/>
          <w:sz w:val="32"/>
          <w:szCs w:val="32"/>
          <w:highlight w:val="none"/>
          <w:u w:val="none"/>
        </w:rPr>
        <w:t>合法有效的增值税发票。</w:t>
      </w:r>
    </w:p>
    <w:p w14:paraId="75A85081">
      <w:pPr>
        <w:pageBreakBefore w:val="0"/>
        <w:widowControl w:val="0"/>
        <w:kinsoku/>
        <w:wordWrap/>
        <w:overflowPunct/>
        <w:topLinePunct w:val="0"/>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如国家或地方政府有新政策有变化，双方按新政策协商执行。</w:t>
      </w:r>
    </w:p>
    <w:p w14:paraId="30A8E60E">
      <w:pPr>
        <w:pageBreakBefore w:val="0"/>
        <w:widowControl w:val="0"/>
        <w:kinsoku/>
        <w:wordWrap/>
        <w:overflowPunct/>
        <w:topLinePunct w:val="0"/>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农民工工资的支付应按国家、海南省及海口市现行的关于农民工工资支付的政策文件执行（如标准不一致，则按其中最高标准执行）</w:t>
      </w:r>
      <w:r>
        <w:rPr>
          <w:rFonts w:hint="eastAsia" w:ascii="仿宋_GB2312" w:hAnsi="仿宋_GB2312" w:eastAsia="仿宋_GB2312" w:cs="仿宋_GB2312"/>
          <w:color w:val="auto"/>
          <w:sz w:val="32"/>
          <w:szCs w:val="32"/>
          <w:highlight w:val="none"/>
          <w:u w:val="none"/>
          <w:lang w:eastAsia="zh-CN"/>
        </w:rPr>
        <w:t>。</w:t>
      </w:r>
    </w:p>
    <w:p w14:paraId="63A4F428">
      <w:pPr>
        <w:pageBreakBefore w:val="0"/>
        <w:kinsoku/>
        <w:wordWrap/>
        <w:overflowPunct/>
        <w:topLinePunct w:val="0"/>
        <w:bidi w:val="0"/>
        <w:adjustRightInd w:val="0"/>
        <w:snapToGrid w:val="0"/>
        <w:spacing w:line="560" w:lineRule="exact"/>
        <w:ind w:firstLine="800" w:firstLineChars="25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发包人逾期支付进度款的违约金的计算方式：</w:t>
      </w:r>
      <w:r>
        <w:rPr>
          <w:rFonts w:hint="eastAsia" w:ascii="仿宋_GB2312" w:hAnsi="仿宋_GB2312" w:eastAsia="仿宋_GB2312" w:cs="仿宋_GB2312"/>
          <w:color w:val="auto"/>
          <w:sz w:val="32"/>
          <w:szCs w:val="32"/>
          <w:highlight w:val="none"/>
          <w:u w:val="single"/>
        </w:rPr>
        <w:t xml:space="preserve"> / </w:t>
      </w:r>
      <w:r>
        <w:rPr>
          <w:rFonts w:hint="eastAsia" w:ascii="仿宋_GB2312" w:hAnsi="仿宋_GB2312" w:eastAsia="仿宋_GB2312" w:cs="仿宋_GB2312"/>
          <w:color w:val="auto"/>
          <w:sz w:val="32"/>
          <w:szCs w:val="32"/>
          <w:highlight w:val="none"/>
        </w:rPr>
        <w:t>。</w:t>
      </w:r>
    </w:p>
    <w:p w14:paraId="4D93C8EB">
      <w:pPr>
        <w:pageBreakBefore w:val="0"/>
        <w:kinsoku/>
        <w:wordWrap/>
        <w:overflowPunct/>
        <w:topLinePunct w:val="0"/>
        <w:bidi w:val="0"/>
        <w:adjustRightInd w:val="0"/>
        <w:snapToGrid w:val="0"/>
        <w:spacing w:line="560" w:lineRule="exact"/>
        <w:ind w:firstLine="800" w:firstLineChars="25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12</w:t>
      </w:r>
      <w:r>
        <w:rPr>
          <w:rFonts w:hint="eastAsia" w:ascii="仿宋_GB2312" w:hAnsi="仿宋_GB2312" w:eastAsia="仿宋_GB2312" w:cs="仿宋_GB2312"/>
          <w:color w:val="auto"/>
          <w:sz w:val="32"/>
          <w:szCs w:val="32"/>
          <w:highlight w:val="none"/>
        </w:rPr>
        <w:t>.4.6 支付分解表的编制</w:t>
      </w:r>
    </w:p>
    <w:p w14:paraId="27393C28">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2、总价合同支付分解表的编制与审批：</w:t>
      </w:r>
      <w:r>
        <w:rPr>
          <w:rFonts w:hint="eastAsia" w:ascii="仿宋_GB2312" w:hAnsi="仿宋_GB2312" w:eastAsia="仿宋_GB2312" w:cs="仿宋_GB2312"/>
          <w:color w:val="auto"/>
          <w:sz w:val="32"/>
          <w:szCs w:val="32"/>
          <w:highlight w:val="none"/>
          <w:u w:val="single"/>
        </w:rPr>
        <w:t xml:space="preserve"> / </w:t>
      </w:r>
      <w:r>
        <w:rPr>
          <w:rFonts w:hint="eastAsia" w:ascii="仿宋_GB2312" w:hAnsi="仿宋_GB2312" w:eastAsia="仿宋_GB2312" w:cs="仿宋_GB2312"/>
          <w:color w:val="auto"/>
          <w:sz w:val="32"/>
          <w:szCs w:val="32"/>
          <w:highlight w:val="none"/>
        </w:rPr>
        <w:t>。</w:t>
      </w:r>
    </w:p>
    <w:p w14:paraId="379416EE">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3、单价合同的总价项目支付分解表的编制与审批：</w:t>
      </w:r>
      <w:r>
        <w:rPr>
          <w:rFonts w:hint="eastAsia" w:ascii="仿宋_GB2312" w:hAnsi="仿宋_GB2312" w:eastAsia="仿宋_GB2312" w:cs="仿宋_GB2312"/>
          <w:color w:val="auto"/>
          <w:sz w:val="32"/>
          <w:szCs w:val="32"/>
          <w:highlight w:val="none"/>
          <w:u w:val="single"/>
        </w:rPr>
        <w:t xml:space="preserve"> / </w:t>
      </w:r>
      <w:r>
        <w:rPr>
          <w:rFonts w:hint="eastAsia" w:ascii="仿宋_GB2312" w:hAnsi="仿宋_GB2312" w:eastAsia="仿宋_GB2312" w:cs="仿宋_GB2312"/>
          <w:color w:val="auto"/>
          <w:sz w:val="32"/>
          <w:szCs w:val="32"/>
          <w:highlight w:val="none"/>
        </w:rPr>
        <w:t>。</w:t>
      </w:r>
      <w:bookmarkEnd w:id="2291"/>
      <w:bookmarkStart w:id="2562" w:name="_Toc351203645"/>
      <w:bookmarkStart w:id="2563" w:name="_Toc296891047"/>
      <w:bookmarkStart w:id="2564" w:name="_Toc297123564"/>
      <w:bookmarkStart w:id="2565" w:name="_Toc296503219"/>
      <w:bookmarkStart w:id="2566" w:name="_Toc304295593"/>
      <w:bookmarkStart w:id="2567" w:name="_Toc297120519"/>
      <w:bookmarkStart w:id="2568" w:name="_Toc296346720"/>
      <w:bookmarkStart w:id="2569" w:name="_Toc292559424"/>
      <w:bookmarkStart w:id="2570" w:name="_Toc292559929"/>
      <w:bookmarkStart w:id="2571" w:name="_Toc297216223"/>
      <w:bookmarkStart w:id="2572" w:name="_Toc300935015"/>
      <w:bookmarkStart w:id="2573" w:name="_Toc312678053"/>
      <w:bookmarkStart w:id="2574" w:name="_Toc297048405"/>
      <w:bookmarkStart w:id="2575" w:name="_Toc296347218"/>
      <w:bookmarkStart w:id="2576" w:name="_Toc296891259"/>
      <w:bookmarkStart w:id="2577" w:name="_Toc303539172"/>
      <w:bookmarkStart w:id="2578" w:name="_Toc296944558"/>
    </w:p>
    <w:p w14:paraId="2585CE53">
      <w:pPr>
        <w:pageBreakBefore w:val="0"/>
        <w:widowControl/>
        <w:kinsoku/>
        <w:wordWrap/>
        <w:overflowPunct/>
        <w:topLinePunct w:val="0"/>
        <w:bidi w:val="0"/>
        <w:adjustRightInd w:val="0"/>
        <w:snapToGrid w:val="0"/>
        <w:spacing w:line="560" w:lineRule="exact"/>
        <w:ind w:firstLine="640" w:firstLineChars="200"/>
        <w:jc w:val="both"/>
        <w:outlineLvl w:val="9"/>
        <w:rPr>
          <w:rFonts w:hint="eastAsia" w:ascii="黑体" w:hAnsi="黑体" w:eastAsia="黑体" w:cs="黑体"/>
          <w:b w:val="0"/>
          <w:bCs/>
          <w:color w:val="auto"/>
          <w:sz w:val="32"/>
          <w:szCs w:val="32"/>
          <w:highlight w:val="none"/>
        </w:rPr>
      </w:pPr>
      <w:bookmarkStart w:id="2579" w:name="_Toc5745"/>
      <w:bookmarkStart w:id="2580" w:name="_Toc21567"/>
      <w:bookmarkStart w:id="2581" w:name="_Toc29142"/>
      <w:bookmarkStart w:id="2582" w:name="_Toc15606"/>
      <w:bookmarkStart w:id="2583" w:name="_Toc9686"/>
      <w:bookmarkStart w:id="2584" w:name="_Toc6559"/>
      <w:bookmarkStart w:id="2585" w:name="_Toc2879"/>
      <w:bookmarkStart w:id="2586" w:name="_Toc30846"/>
      <w:bookmarkStart w:id="2587" w:name="_Toc17131"/>
      <w:bookmarkStart w:id="2588" w:name="_Toc7606"/>
      <w:r>
        <w:rPr>
          <w:rFonts w:hint="eastAsia" w:ascii="黑体" w:hAnsi="黑体" w:eastAsia="黑体" w:cs="黑体"/>
          <w:b w:val="0"/>
          <w:bCs/>
          <w:color w:val="auto"/>
          <w:sz w:val="32"/>
          <w:szCs w:val="32"/>
          <w:highlight w:val="none"/>
        </w:rPr>
        <w:t>1</w:t>
      </w:r>
      <w:r>
        <w:rPr>
          <w:rFonts w:hint="eastAsia" w:ascii="黑体" w:hAnsi="黑体" w:eastAsia="黑体" w:cs="黑体"/>
          <w:b w:val="0"/>
          <w:bCs/>
          <w:color w:val="auto"/>
          <w:sz w:val="32"/>
          <w:szCs w:val="32"/>
          <w:highlight w:val="none"/>
          <w:lang w:val="en-US" w:eastAsia="zh-CN"/>
        </w:rPr>
        <w:t>3</w:t>
      </w:r>
      <w:r>
        <w:rPr>
          <w:rFonts w:hint="eastAsia" w:ascii="黑体" w:hAnsi="黑体" w:eastAsia="黑体" w:cs="黑体"/>
          <w:b w:val="0"/>
          <w:bCs/>
          <w:color w:val="auto"/>
          <w:sz w:val="32"/>
          <w:szCs w:val="32"/>
          <w:highlight w:val="none"/>
        </w:rPr>
        <w:t>.验收和工程试</w:t>
      </w:r>
      <w:bookmarkEnd w:id="2562"/>
      <w:r>
        <w:rPr>
          <w:rFonts w:hint="eastAsia" w:ascii="黑体" w:hAnsi="黑体" w:eastAsia="黑体" w:cs="黑体"/>
          <w:b w:val="0"/>
          <w:bCs/>
          <w:color w:val="auto"/>
          <w:sz w:val="32"/>
          <w:szCs w:val="32"/>
          <w:highlight w:val="none"/>
        </w:rPr>
        <w:t>车</w:t>
      </w:r>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p>
    <w:p w14:paraId="4C82A9D2">
      <w:pPr>
        <w:pageBreakBefore w:val="0"/>
        <w:kinsoku/>
        <w:wordWrap/>
        <w:overflowPunct/>
        <w:topLinePunct w:val="0"/>
        <w:bidi w:val="0"/>
        <w:adjustRightInd w:val="0"/>
        <w:snapToGrid w:val="0"/>
        <w:spacing w:line="560" w:lineRule="exact"/>
        <w:ind w:firstLine="640" w:firstLineChars="200"/>
        <w:jc w:val="both"/>
        <w:outlineLvl w:val="9"/>
        <w:rPr>
          <w:rFonts w:hint="eastAsia" w:ascii="仿宋_GB2312" w:hAnsi="仿宋_GB2312" w:eastAsia="仿宋_GB2312" w:cs="仿宋_GB2312"/>
          <w:color w:val="auto"/>
          <w:sz w:val="32"/>
          <w:szCs w:val="32"/>
          <w:highlight w:val="none"/>
        </w:rPr>
      </w:pPr>
      <w:bookmarkStart w:id="2589" w:name="_Toc5898"/>
      <w:bookmarkStart w:id="2590" w:name="_Toc27569"/>
      <w:bookmarkStart w:id="2591" w:name="_Toc24646"/>
      <w:bookmarkStart w:id="2592" w:name="_Toc31745"/>
      <w:bookmarkStart w:id="2593" w:name="_Toc3099"/>
      <w:bookmarkStart w:id="2594" w:name="_Toc30285"/>
      <w:bookmarkStart w:id="2595" w:name="_Toc10781"/>
      <w:bookmarkStart w:id="2596" w:name="_Toc25268"/>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.1 分部分项工程验收</w:t>
      </w:r>
      <w:bookmarkEnd w:id="2589"/>
      <w:bookmarkEnd w:id="2590"/>
      <w:bookmarkEnd w:id="2591"/>
      <w:bookmarkEnd w:id="2592"/>
      <w:bookmarkEnd w:id="2593"/>
      <w:bookmarkEnd w:id="2594"/>
      <w:bookmarkEnd w:id="2595"/>
      <w:bookmarkEnd w:id="2596"/>
    </w:p>
    <w:p w14:paraId="43820CE8">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.1.2监理人不能按时进行验收时，应提前</w:t>
      </w:r>
      <w:r>
        <w:rPr>
          <w:rFonts w:hint="eastAsia" w:ascii="仿宋_GB2312" w:hAnsi="仿宋_GB2312" w:eastAsia="仿宋_GB2312" w:cs="仿宋_GB2312"/>
          <w:color w:val="auto"/>
          <w:sz w:val="32"/>
          <w:szCs w:val="32"/>
          <w:highlight w:val="none"/>
          <w:u w:val="single"/>
        </w:rPr>
        <w:t xml:space="preserve"> / </w:t>
      </w:r>
      <w:r>
        <w:rPr>
          <w:rFonts w:hint="eastAsia" w:ascii="仿宋_GB2312" w:hAnsi="仿宋_GB2312" w:eastAsia="仿宋_GB2312" w:cs="仿宋_GB2312"/>
          <w:color w:val="auto"/>
          <w:sz w:val="32"/>
          <w:szCs w:val="32"/>
          <w:highlight w:val="none"/>
        </w:rPr>
        <w:t>小时提交书面延期要求。</w:t>
      </w:r>
    </w:p>
    <w:p w14:paraId="00F552BF">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b/>
          <w:color w:val="auto"/>
          <w:sz w:val="32"/>
          <w:szCs w:val="32"/>
          <w:highlight w:val="none"/>
        </w:rPr>
      </w:pPr>
      <w:r>
        <w:rPr>
          <w:rFonts w:hint="eastAsia" w:ascii="仿宋_GB2312" w:hAnsi="仿宋_GB2312" w:eastAsia="仿宋_GB2312" w:cs="仿宋_GB2312"/>
          <w:color w:val="auto"/>
          <w:sz w:val="32"/>
          <w:szCs w:val="32"/>
          <w:highlight w:val="none"/>
        </w:rPr>
        <w:t>关于延期最长不得超过：</w:t>
      </w:r>
      <w:r>
        <w:rPr>
          <w:rFonts w:hint="eastAsia" w:ascii="仿宋_GB2312" w:hAnsi="仿宋_GB2312" w:eastAsia="仿宋_GB2312" w:cs="仿宋_GB2312"/>
          <w:color w:val="auto"/>
          <w:sz w:val="32"/>
          <w:szCs w:val="32"/>
          <w:highlight w:val="none"/>
          <w:u w:val="single"/>
        </w:rPr>
        <w:t xml:space="preserve"> / </w:t>
      </w:r>
      <w:r>
        <w:rPr>
          <w:rFonts w:hint="eastAsia" w:ascii="仿宋_GB2312" w:hAnsi="仿宋_GB2312" w:eastAsia="仿宋_GB2312" w:cs="仿宋_GB2312"/>
          <w:color w:val="auto"/>
          <w:sz w:val="32"/>
          <w:szCs w:val="32"/>
          <w:highlight w:val="none"/>
        </w:rPr>
        <w:t>小时。</w:t>
      </w:r>
      <w:bookmarkStart w:id="2597" w:name="_Toc296891051"/>
      <w:bookmarkStart w:id="2598" w:name="_Toc296347222"/>
      <w:bookmarkStart w:id="2599" w:name="_Toc296891263"/>
      <w:bookmarkStart w:id="2600" w:name="_Toc300935016"/>
      <w:bookmarkStart w:id="2601" w:name="_Toc304295596"/>
      <w:bookmarkStart w:id="2602" w:name="_Toc296346724"/>
      <w:bookmarkStart w:id="2603" w:name="_Toc297216224"/>
      <w:bookmarkStart w:id="2604" w:name="_Toc297120523"/>
      <w:bookmarkStart w:id="2605" w:name="_Toc296944562"/>
      <w:bookmarkStart w:id="2606" w:name="_Toc292559933"/>
      <w:bookmarkStart w:id="2607" w:name="_Toc303539173"/>
      <w:bookmarkStart w:id="2608" w:name="_Toc297123565"/>
      <w:bookmarkStart w:id="2609" w:name="_Toc292559428"/>
      <w:bookmarkStart w:id="2610" w:name="_Toc296503223"/>
      <w:bookmarkStart w:id="2611" w:name="_Toc312678056"/>
      <w:bookmarkStart w:id="2612" w:name="_Toc297048409"/>
      <w:bookmarkStart w:id="2613" w:name="_Toc267251476"/>
      <w:bookmarkStart w:id="2614" w:name="_Toc267251473"/>
      <w:bookmarkStart w:id="2615" w:name="_Toc267251470"/>
      <w:bookmarkStart w:id="2616" w:name="_Toc267251474"/>
      <w:bookmarkStart w:id="2617" w:name="_Toc267251472"/>
      <w:bookmarkStart w:id="2618" w:name="_Toc267251475"/>
      <w:bookmarkStart w:id="2619" w:name="_Toc267251471"/>
    </w:p>
    <w:p w14:paraId="6DD24A54">
      <w:pPr>
        <w:pageBreakBefore w:val="0"/>
        <w:kinsoku/>
        <w:wordWrap/>
        <w:overflowPunct/>
        <w:topLinePunct w:val="0"/>
        <w:bidi w:val="0"/>
        <w:adjustRightInd w:val="0"/>
        <w:snapToGrid w:val="0"/>
        <w:spacing w:line="560" w:lineRule="exact"/>
        <w:ind w:firstLine="640" w:firstLineChars="200"/>
        <w:jc w:val="both"/>
        <w:outlineLvl w:val="9"/>
        <w:rPr>
          <w:rFonts w:hint="eastAsia" w:ascii="仿宋_GB2312" w:hAnsi="仿宋_GB2312" w:eastAsia="仿宋_GB2312" w:cs="仿宋_GB2312"/>
          <w:color w:val="auto"/>
          <w:sz w:val="32"/>
          <w:szCs w:val="32"/>
          <w:highlight w:val="none"/>
        </w:rPr>
      </w:pPr>
      <w:bookmarkStart w:id="2620" w:name="_Toc8383"/>
      <w:bookmarkStart w:id="2621" w:name="_Toc16113"/>
      <w:bookmarkStart w:id="2622" w:name="_Toc22508"/>
      <w:bookmarkStart w:id="2623" w:name="_Toc12287"/>
      <w:bookmarkStart w:id="2624" w:name="_Toc5215"/>
      <w:bookmarkStart w:id="2625" w:name="_Toc14945"/>
      <w:bookmarkStart w:id="2626" w:name="_Toc7634"/>
      <w:bookmarkStart w:id="2627" w:name="_Toc21502"/>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.2 竣工验收</w:t>
      </w:r>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20"/>
      <w:bookmarkEnd w:id="2621"/>
      <w:bookmarkEnd w:id="2622"/>
      <w:bookmarkEnd w:id="2623"/>
      <w:bookmarkEnd w:id="2624"/>
      <w:bookmarkEnd w:id="2625"/>
      <w:bookmarkEnd w:id="2626"/>
      <w:bookmarkEnd w:id="2627"/>
      <w:bookmarkStart w:id="2628" w:name="_Toc280868704"/>
      <w:bookmarkStart w:id="2629" w:name="_Toc280868705"/>
      <w:bookmarkStart w:id="2630" w:name="_Toc280868706"/>
      <w:bookmarkStart w:id="2631" w:name="_Toc280868707"/>
      <w:bookmarkStart w:id="2632" w:name="_Toc280868708"/>
      <w:bookmarkStart w:id="2633" w:name="_Toc280868709"/>
    </w:p>
    <w:p w14:paraId="0D0EB532">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.2.2竣工验收程序</w:t>
      </w:r>
      <w:bookmarkEnd w:id="2628"/>
    </w:p>
    <w:p w14:paraId="76D8A2F3">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kern w:val="0"/>
          <w:sz w:val="32"/>
          <w:szCs w:val="32"/>
          <w:highlight w:val="none"/>
        </w:rPr>
        <w:t>关于竣工验收程序的约定：</w:t>
      </w:r>
      <w:r>
        <w:rPr>
          <w:rFonts w:hint="eastAsia" w:ascii="仿宋_GB2312" w:hAnsi="仿宋_GB2312" w:eastAsia="仿宋_GB2312" w:cs="仿宋_GB2312"/>
          <w:color w:val="auto"/>
          <w:sz w:val="32"/>
          <w:szCs w:val="32"/>
          <w:highlight w:val="none"/>
          <w:u w:val="none"/>
        </w:rPr>
        <w:t>（1）承包人向监理人报送竣工验收申请报告，监理人应在收到竣工验收申请报告后14天内完成审查并报送发包人。监理人审查后认为尚不具备验收条件的，应通知承包人在竣工验收前承包人还需完成的工作内容，承包人应在完成监理人通知的全部工作内容后，再次提交竣工验收申请报告。</w:t>
      </w:r>
    </w:p>
    <w:p w14:paraId="024CB383">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（2）监理人审查后认为已具备竣工验收条件的，应将竣工验收申请报告提交发包人，发包人应在收到经监理人审核的竣工验收申请报告后28天内审批完毕并组织监理人、承包人、设计人等相关单位完成竣工验收。</w:t>
      </w:r>
    </w:p>
    <w:p w14:paraId="7A8CACFD">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（3）竣工验收合格的，发包人应在</w:t>
      </w:r>
      <w:r>
        <w:rPr>
          <w:rFonts w:hint="eastAsia" w:ascii="仿宋_GB2312" w:hAnsi="仿宋_GB2312" w:eastAsia="仿宋_GB2312" w:cs="仿宋_GB2312"/>
          <w:color w:val="auto"/>
          <w:sz w:val="32"/>
          <w:szCs w:val="32"/>
          <w:highlight w:val="none"/>
          <w:u w:val="none"/>
          <w:lang w:val="en-US" w:eastAsia="zh-CN"/>
        </w:rPr>
        <w:t>竣工</w:t>
      </w:r>
      <w:r>
        <w:rPr>
          <w:rFonts w:hint="eastAsia" w:ascii="仿宋_GB2312" w:hAnsi="仿宋_GB2312" w:eastAsia="仿宋_GB2312" w:cs="仿宋_GB2312"/>
          <w:color w:val="auto"/>
          <w:sz w:val="32"/>
          <w:szCs w:val="32"/>
          <w:highlight w:val="none"/>
          <w:u w:val="none"/>
        </w:rPr>
        <w:t>验收合格后14天内向承包人签发工程接收证书。发包人无正当理由逾期不颁发工程接收证书的，自验收合格后第15天起视为已颁发工程接收证书。</w:t>
      </w:r>
    </w:p>
    <w:p w14:paraId="1740970D">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4）竣工验收不合格的，监理人应按照验收意见发出指示，要求承包人对不合格工程返工、修复或采取其他补救措施，由此增加的费用和（或）延误的工期由承包人承担。承包人在完成不合格工程的返工、修复或采取其他补救措施后，应重新提交竣工验收申请报告，并按本项约定的程序重新进行验收。</w:t>
      </w:r>
    </w:p>
    <w:p w14:paraId="6BE3BA1A">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（5）工程未经验收或验收不合格，发包人擅自使用的，应在转移占有工程后7天内向承包人颁发工程接收证书；发包人无正当理由逾期不颁发工程接收证书的，自转移占有后第15天起视为已颁发工程接收证书。</w:t>
      </w:r>
    </w:p>
    <w:p w14:paraId="5A07FE0A">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u w:val="none"/>
        </w:rPr>
        <w:t>（6）工程竣工验收前，竣工资料须通过相关部门的专项验收。工程竣工验收后28日内，由承包人负责整理和提交符合有关施工资料要求的竣工图纸</w:t>
      </w:r>
      <w:r>
        <w:rPr>
          <w:rFonts w:hint="eastAsia" w:ascii="仿宋_GB2312" w:hAnsi="仿宋_GB2312" w:eastAsia="仿宋_GB2312" w:cs="仿宋_GB2312"/>
          <w:color w:val="auto"/>
          <w:sz w:val="32"/>
          <w:szCs w:val="32"/>
          <w:highlight w:val="none"/>
          <w:u w:val="none"/>
          <w:lang w:eastAsia="zh-CN"/>
        </w:rPr>
        <w:t>及其他相关</w:t>
      </w:r>
      <w:r>
        <w:rPr>
          <w:rFonts w:hint="eastAsia" w:ascii="仿宋_GB2312" w:hAnsi="仿宋_GB2312" w:eastAsia="仿宋_GB2312" w:cs="仿宋_GB2312"/>
          <w:color w:val="auto"/>
          <w:sz w:val="32"/>
          <w:szCs w:val="32"/>
          <w:highlight w:val="none"/>
          <w:u w:val="none"/>
        </w:rPr>
        <w:t>完整的竣工验收资料</w:t>
      </w:r>
      <w:r>
        <w:rPr>
          <w:rFonts w:hint="eastAsia" w:ascii="仿宋_GB2312" w:hAnsi="仿宋_GB2312" w:eastAsia="仿宋_GB2312" w:cs="仿宋_GB2312"/>
          <w:color w:val="auto"/>
          <w:sz w:val="32"/>
          <w:szCs w:val="32"/>
          <w:highlight w:val="none"/>
          <w:u w:val="none"/>
          <w:lang w:val="en-US" w:eastAsia="zh-CN"/>
        </w:rPr>
        <w:t>四</w:t>
      </w:r>
      <w:r>
        <w:rPr>
          <w:rFonts w:hint="eastAsia" w:ascii="仿宋_GB2312" w:hAnsi="仿宋_GB2312" w:eastAsia="仿宋_GB2312" w:cs="仿宋_GB2312"/>
          <w:color w:val="auto"/>
          <w:sz w:val="32"/>
          <w:szCs w:val="32"/>
          <w:highlight w:val="none"/>
          <w:u w:val="none"/>
        </w:rPr>
        <w:t>份。并经监理工程师等各验收方签字确认并加盖公章报发包人确认，承包人提供的所有资料内容必须真实、准确、与工程实际符合且必须满足工程备案要求。竣工结算审计结束后28日内，完成所有资料向接管部门的移交工作；若因承包人提供的竣工资料延误或所报材料不符合要求影响正常工程竣工验收，导致发包人的工程不能按期交付或投入使用，无论哪项拖延，均视为承包人违约，承包人按每拖延一天0.02万元向发包人支付违约金，并且发包人保留进一步向承包人索赔补偿不足部分的权利。发包人留存两套竣工资料原件（包括竣工图等）</w:t>
      </w:r>
      <w:r>
        <w:rPr>
          <w:rFonts w:hint="eastAsia" w:ascii="仿宋_GB2312" w:hAnsi="仿宋_GB2312" w:eastAsia="仿宋_GB2312" w:cs="仿宋_GB2312"/>
          <w:color w:val="auto"/>
          <w:sz w:val="32"/>
          <w:szCs w:val="32"/>
          <w:highlight w:val="none"/>
        </w:rPr>
        <w:t>。</w:t>
      </w:r>
    </w:p>
    <w:p w14:paraId="1DA392D1">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kern w:val="0"/>
          <w:sz w:val="32"/>
          <w:szCs w:val="32"/>
          <w:highlight w:val="none"/>
        </w:rPr>
        <w:t>发包人不按照本项约定组织竣工验收、颁发工程接收证书的违约金的计算方法：</w:t>
      </w:r>
      <w:r>
        <w:rPr>
          <w:rFonts w:hint="eastAsia" w:ascii="仿宋_GB2312" w:hAnsi="仿宋_GB2312" w:eastAsia="仿宋_GB2312" w:cs="仿宋_GB2312"/>
          <w:color w:val="auto"/>
          <w:sz w:val="32"/>
          <w:szCs w:val="32"/>
          <w:highlight w:val="none"/>
          <w:u w:val="none"/>
        </w:rPr>
        <w:t>隐蔽工程、关键工序及中间验收部位须经监理、发包人验收合格并签字后，承包人方可进行下道工序施工，否则承包人</w:t>
      </w:r>
      <w:r>
        <w:rPr>
          <w:rFonts w:hint="eastAsia" w:ascii="仿宋_GB2312" w:hAnsi="仿宋_GB2312" w:eastAsia="仿宋_GB2312" w:cs="仿宋_GB2312"/>
          <w:color w:val="auto"/>
          <w:sz w:val="32"/>
          <w:szCs w:val="32"/>
          <w:highlight w:val="none"/>
          <w:u w:val="none"/>
          <w:lang w:val="en-US" w:eastAsia="zh-CN"/>
        </w:rPr>
        <w:t>应向</w:t>
      </w:r>
      <w:r>
        <w:rPr>
          <w:rFonts w:hint="eastAsia" w:ascii="仿宋_GB2312" w:hAnsi="仿宋_GB2312" w:eastAsia="仿宋_GB2312" w:cs="仿宋_GB2312"/>
          <w:color w:val="auto"/>
          <w:sz w:val="32"/>
          <w:szCs w:val="32"/>
          <w:highlight w:val="none"/>
          <w:u w:val="none"/>
        </w:rPr>
        <w:t>发包人</w:t>
      </w:r>
      <w:r>
        <w:rPr>
          <w:rFonts w:hint="eastAsia" w:ascii="仿宋_GB2312" w:hAnsi="仿宋_GB2312" w:eastAsia="仿宋_GB2312" w:cs="仿宋_GB2312"/>
          <w:color w:val="auto"/>
          <w:sz w:val="32"/>
          <w:szCs w:val="32"/>
          <w:highlight w:val="none"/>
          <w:u w:val="none"/>
          <w:lang w:val="en-US" w:eastAsia="zh-CN"/>
        </w:rPr>
        <w:t>支付</w:t>
      </w:r>
      <w:r>
        <w:rPr>
          <w:rFonts w:hint="eastAsia" w:ascii="仿宋_GB2312" w:hAnsi="仿宋_GB2312" w:eastAsia="仿宋_GB2312" w:cs="仿宋_GB2312"/>
          <w:color w:val="auto"/>
          <w:sz w:val="32"/>
          <w:szCs w:val="32"/>
          <w:highlight w:val="none"/>
          <w:u w:val="none"/>
        </w:rPr>
        <w:t>0.5万元/次</w:t>
      </w:r>
      <w:r>
        <w:rPr>
          <w:rFonts w:hint="eastAsia" w:ascii="仿宋_GB2312" w:hAnsi="仿宋_GB2312" w:eastAsia="仿宋_GB2312" w:cs="仿宋_GB2312"/>
          <w:color w:val="auto"/>
          <w:sz w:val="32"/>
          <w:szCs w:val="32"/>
          <w:highlight w:val="none"/>
          <w:u w:val="none"/>
          <w:lang w:val="en-US" w:eastAsia="zh-CN"/>
        </w:rPr>
        <w:t>的</w:t>
      </w:r>
      <w:r>
        <w:rPr>
          <w:rFonts w:hint="eastAsia" w:ascii="仿宋_GB2312" w:hAnsi="仿宋_GB2312" w:eastAsia="仿宋_GB2312" w:cs="仿宋_GB2312"/>
          <w:color w:val="auto"/>
          <w:sz w:val="32"/>
          <w:szCs w:val="32"/>
          <w:highlight w:val="none"/>
          <w:u w:val="none"/>
        </w:rPr>
        <w:t>违约金。同时，监理有权指令承包人返工或采取必要手段检测，不论检测复查的结果是否符合规范、标准要求，返工费用及复查费用均由承包人承担，因此造成的工期损失，亦由承包人承担</w:t>
      </w:r>
      <w:r>
        <w:rPr>
          <w:rFonts w:hint="eastAsia" w:ascii="仿宋_GB2312" w:hAnsi="仿宋_GB2312" w:eastAsia="仿宋_GB2312" w:cs="仿宋_GB2312"/>
          <w:color w:val="auto"/>
          <w:sz w:val="32"/>
          <w:szCs w:val="32"/>
          <w:highlight w:val="none"/>
        </w:rPr>
        <w:t>。</w:t>
      </w:r>
      <w:bookmarkEnd w:id="2629"/>
    </w:p>
    <w:p w14:paraId="1C5B2B6B">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.2.5移交、接收全部与部分工程</w:t>
      </w:r>
      <w:bookmarkEnd w:id="2630"/>
    </w:p>
    <w:p w14:paraId="256A9E0F">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承包人向发包人移交工程的期限：</w:t>
      </w:r>
      <w:r>
        <w:rPr>
          <w:rFonts w:hint="eastAsia" w:ascii="仿宋_GB2312" w:hAnsi="仿宋_GB2312" w:eastAsia="仿宋_GB2312" w:cs="仿宋_GB2312"/>
          <w:color w:val="auto"/>
          <w:sz w:val="32"/>
          <w:szCs w:val="32"/>
          <w:highlight w:val="none"/>
          <w:u w:val="none"/>
        </w:rPr>
        <w:t>颁发工程接收证书后7日内</w:t>
      </w:r>
      <w:r>
        <w:rPr>
          <w:rFonts w:hint="eastAsia" w:ascii="仿宋_GB2312" w:hAnsi="仿宋_GB2312" w:eastAsia="仿宋_GB2312" w:cs="仿宋_GB2312"/>
          <w:color w:val="auto"/>
          <w:sz w:val="32"/>
          <w:szCs w:val="32"/>
          <w:highlight w:val="none"/>
        </w:rPr>
        <w:t>。</w:t>
      </w:r>
    </w:p>
    <w:p w14:paraId="298DAA62">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kern w:val="0"/>
          <w:sz w:val="32"/>
          <w:szCs w:val="32"/>
          <w:highlight w:val="none"/>
        </w:rPr>
        <w:t>发包人未按本合同约定接收全部或部分工程的，违约金的计算方法为：</w:t>
      </w:r>
      <w:r>
        <w:rPr>
          <w:rFonts w:hint="eastAsia" w:ascii="仿宋_GB2312" w:hAnsi="仿宋_GB2312" w:eastAsia="仿宋_GB2312" w:cs="仿宋_GB2312"/>
          <w:color w:val="auto"/>
          <w:sz w:val="32"/>
          <w:szCs w:val="32"/>
          <w:highlight w:val="none"/>
          <w:u w:val="none"/>
        </w:rPr>
        <w:t>/</w:t>
      </w:r>
      <w:r>
        <w:rPr>
          <w:rFonts w:hint="eastAsia" w:ascii="仿宋_GB2312" w:hAnsi="仿宋_GB2312" w:eastAsia="仿宋_GB2312" w:cs="仿宋_GB2312"/>
          <w:color w:val="auto"/>
          <w:sz w:val="32"/>
          <w:szCs w:val="32"/>
          <w:highlight w:val="none"/>
        </w:rPr>
        <w:t>。</w:t>
      </w:r>
      <w:bookmarkEnd w:id="2631"/>
    </w:p>
    <w:p w14:paraId="434F2041">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承包人未按时移交工程的，违约金的计算方法为：</w:t>
      </w:r>
      <w:r>
        <w:rPr>
          <w:rFonts w:hint="eastAsia" w:ascii="仿宋_GB2312" w:hAnsi="仿宋_GB2312" w:eastAsia="仿宋_GB2312" w:cs="仿宋_GB2312"/>
          <w:color w:val="auto"/>
          <w:sz w:val="32"/>
          <w:szCs w:val="32"/>
          <w:highlight w:val="none"/>
          <w:u w:val="none"/>
        </w:rPr>
        <w:t>每天向发包人支付1.5万元的工期违约金</w:t>
      </w:r>
      <w:r>
        <w:rPr>
          <w:rFonts w:hint="eastAsia" w:ascii="仿宋_GB2312" w:hAnsi="仿宋_GB2312" w:eastAsia="仿宋_GB2312" w:cs="仿宋_GB2312"/>
          <w:color w:val="auto"/>
          <w:sz w:val="32"/>
          <w:szCs w:val="32"/>
          <w:highlight w:val="none"/>
        </w:rPr>
        <w:t>。</w:t>
      </w:r>
    </w:p>
    <w:p w14:paraId="54D15905">
      <w:pPr>
        <w:pageBreakBefore w:val="0"/>
        <w:kinsoku/>
        <w:wordWrap/>
        <w:overflowPunct/>
        <w:topLinePunct w:val="0"/>
        <w:bidi w:val="0"/>
        <w:adjustRightInd w:val="0"/>
        <w:snapToGrid w:val="0"/>
        <w:spacing w:line="560" w:lineRule="exact"/>
        <w:ind w:firstLine="640" w:firstLineChars="200"/>
        <w:jc w:val="both"/>
        <w:outlineLvl w:val="9"/>
        <w:rPr>
          <w:rFonts w:hint="eastAsia" w:ascii="仿宋_GB2312" w:hAnsi="仿宋_GB2312" w:eastAsia="仿宋_GB2312" w:cs="仿宋_GB2312"/>
          <w:color w:val="auto"/>
          <w:sz w:val="32"/>
          <w:szCs w:val="32"/>
          <w:highlight w:val="none"/>
        </w:rPr>
      </w:pPr>
      <w:bookmarkStart w:id="2634" w:name="_Toc19425"/>
      <w:bookmarkStart w:id="2635" w:name="_Toc19750"/>
      <w:bookmarkStart w:id="2636" w:name="_Toc14276"/>
      <w:bookmarkStart w:id="2637" w:name="_Toc5626"/>
      <w:bookmarkStart w:id="2638" w:name="_Toc3572"/>
      <w:bookmarkStart w:id="2639" w:name="_Toc20255"/>
      <w:bookmarkStart w:id="2640" w:name="_Toc31272"/>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.3 工程试车</w:t>
      </w:r>
      <w:bookmarkEnd w:id="2632"/>
      <w:bookmarkEnd w:id="2634"/>
      <w:bookmarkEnd w:id="2635"/>
      <w:bookmarkEnd w:id="2636"/>
      <w:bookmarkEnd w:id="2637"/>
      <w:bookmarkEnd w:id="2638"/>
      <w:bookmarkEnd w:id="2639"/>
      <w:bookmarkEnd w:id="2640"/>
    </w:p>
    <w:p w14:paraId="3A396372">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w:t>
      </w:r>
      <w:r>
        <w:rPr>
          <w:rFonts w:hint="eastAsia" w:ascii="仿宋_GB2312" w:hAnsi="仿宋_GB2312" w:eastAsia="仿宋_GB2312" w:cs="仿宋_GB2312"/>
          <w:color w:val="auto"/>
          <w:kern w:val="0"/>
          <w:sz w:val="32"/>
          <w:szCs w:val="32"/>
          <w:highlight w:val="none"/>
          <w:lang w:val="en-US" w:eastAsia="zh-CN"/>
        </w:rPr>
        <w:t>3</w:t>
      </w:r>
      <w:r>
        <w:rPr>
          <w:rFonts w:hint="eastAsia" w:ascii="仿宋_GB2312" w:hAnsi="仿宋_GB2312" w:eastAsia="仿宋_GB2312" w:cs="仿宋_GB2312"/>
          <w:color w:val="auto"/>
          <w:kern w:val="0"/>
          <w:sz w:val="32"/>
          <w:szCs w:val="32"/>
          <w:highlight w:val="none"/>
        </w:rPr>
        <w:t>.3.1 试车程序</w:t>
      </w:r>
    </w:p>
    <w:p w14:paraId="4EAE9D5E">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工程试车内容：</w:t>
      </w:r>
      <w:r>
        <w:rPr>
          <w:rFonts w:hint="eastAsia" w:ascii="仿宋_GB2312" w:hAnsi="仿宋_GB2312" w:eastAsia="仿宋_GB2312" w:cs="仿宋_GB2312"/>
          <w:color w:val="auto"/>
          <w:sz w:val="32"/>
          <w:szCs w:val="32"/>
          <w:highlight w:val="none"/>
          <w:u w:val="none"/>
        </w:rPr>
        <w:t>工程需要试车的，试车内容应与承包人承包范围相一致，所有试车费用由承包人承担</w:t>
      </w:r>
      <w:r>
        <w:rPr>
          <w:rFonts w:hint="eastAsia" w:ascii="仿宋_GB2312" w:hAnsi="仿宋_GB2312" w:eastAsia="仿宋_GB2312" w:cs="仿宋_GB2312"/>
          <w:color w:val="auto"/>
          <w:sz w:val="32"/>
          <w:szCs w:val="32"/>
          <w:highlight w:val="none"/>
        </w:rPr>
        <w:t>。</w:t>
      </w:r>
    </w:p>
    <w:p w14:paraId="125226CF">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（1）单机无负荷试车费用由</w:t>
      </w:r>
      <w:r>
        <w:rPr>
          <w:rFonts w:hint="eastAsia" w:ascii="仿宋_GB2312" w:hAnsi="仿宋_GB2312" w:eastAsia="仿宋_GB2312" w:cs="仿宋_GB2312"/>
          <w:color w:val="auto"/>
          <w:sz w:val="32"/>
          <w:szCs w:val="32"/>
          <w:highlight w:val="none"/>
          <w:u w:val="none"/>
        </w:rPr>
        <w:t>承包人</w:t>
      </w:r>
      <w:r>
        <w:rPr>
          <w:rFonts w:hint="eastAsia" w:ascii="仿宋_GB2312" w:hAnsi="仿宋_GB2312" w:eastAsia="仿宋_GB2312" w:cs="仿宋_GB2312"/>
          <w:color w:val="auto"/>
          <w:kern w:val="0"/>
          <w:sz w:val="32"/>
          <w:szCs w:val="32"/>
          <w:highlight w:val="none"/>
        </w:rPr>
        <w:t>承担；</w:t>
      </w:r>
    </w:p>
    <w:p w14:paraId="071848A8">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（2）无负荷联动试车费用由</w:t>
      </w:r>
      <w:r>
        <w:rPr>
          <w:rFonts w:hint="eastAsia" w:ascii="仿宋_GB2312" w:hAnsi="仿宋_GB2312" w:eastAsia="仿宋_GB2312" w:cs="仿宋_GB2312"/>
          <w:color w:val="auto"/>
          <w:sz w:val="32"/>
          <w:szCs w:val="32"/>
          <w:highlight w:val="none"/>
          <w:u w:val="none"/>
        </w:rPr>
        <w:t>承包人</w:t>
      </w:r>
      <w:r>
        <w:rPr>
          <w:rFonts w:hint="eastAsia" w:ascii="仿宋_GB2312" w:hAnsi="仿宋_GB2312" w:eastAsia="仿宋_GB2312" w:cs="仿宋_GB2312"/>
          <w:color w:val="auto"/>
          <w:kern w:val="0"/>
          <w:sz w:val="32"/>
          <w:szCs w:val="32"/>
          <w:highlight w:val="none"/>
        </w:rPr>
        <w:t>承担。</w:t>
      </w:r>
    </w:p>
    <w:p w14:paraId="56C15DA1">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w:t>
      </w:r>
      <w:r>
        <w:rPr>
          <w:rFonts w:hint="eastAsia" w:ascii="仿宋_GB2312" w:hAnsi="仿宋_GB2312" w:eastAsia="仿宋_GB2312" w:cs="仿宋_GB2312"/>
          <w:color w:val="auto"/>
          <w:kern w:val="0"/>
          <w:sz w:val="32"/>
          <w:szCs w:val="32"/>
          <w:highlight w:val="none"/>
          <w:lang w:val="en-US" w:eastAsia="zh-CN"/>
        </w:rPr>
        <w:t>3</w:t>
      </w:r>
      <w:r>
        <w:rPr>
          <w:rFonts w:hint="eastAsia" w:ascii="仿宋_GB2312" w:hAnsi="仿宋_GB2312" w:eastAsia="仿宋_GB2312" w:cs="仿宋_GB2312"/>
          <w:color w:val="auto"/>
          <w:kern w:val="0"/>
          <w:sz w:val="32"/>
          <w:szCs w:val="32"/>
          <w:highlight w:val="none"/>
        </w:rPr>
        <w:t>.3.3 投料试车</w:t>
      </w:r>
    </w:p>
    <w:p w14:paraId="0F85BFEE">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关于投料试车相关事项的约定：</w:t>
      </w:r>
      <w:r>
        <w:rPr>
          <w:rFonts w:hint="eastAsia" w:ascii="仿宋_GB2312" w:hAnsi="仿宋_GB2312" w:eastAsia="仿宋_GB2312" w:cs="仿宋_GB2312"/>
          <w:color w:val="auto"/>
          <w:sz w:val="32"/>
          <w:szCs w:val="32"/>
          <w:highlight w:val="none"/>
          <w:u w:val="single"/>
        </w:rPr>
        <w:t>/</w:t>
      </w:r>
      <w:r>
        <w:rPr>
          <w:rFonts w:hint="eastAsia" w:ascii="仿宋_GB2312" w:hAnsi="仿宋_GB2312" w:eastAsia="仿宋_GB2312" w:cs="仿宋_GB2312"/>
          <w:color w:val="auto"/>
          <w:sz w:val="32"/>
          <w:szCs w:val="32"/>
          <w:highlight w:val="none"/>
        </w:rPr>
        <w:t>。</w:t>
      </w:r>
    </w:p>
    <w:p w14:paraId="01A55D8D">
      <w:pPr>
        <w:pageBreakBefore w:val="0"/>
        <w:kinsoku/>
        <w:wordWrap/>
        <w:overflowPunct/>
        <w:topLinePunct w:val="0"/>
        <w:bidi w:val="0"/>
        <w:adjustRightInd w:val="0"/>
        <w:snapToGrid w:val="0"/>
        <w:spacing w:line="560" w:lineRule="exact"/>
        <w:ind w:firstLine="640" w:firstLineChars="200"/>
        <w:jc w:val="both"/>
        <w:outlineLvl w:val="9"/>
        <w:rPr>
          <w:rFonts w:hint="eastAsia" w:ascii="仿宋_GB2312" w:hAnsi="仿宋_GB2312" w:eastAsia="仿宋_GB2312" w:cs="仿宋_GB2312"/>
          <w:color w:val="auto"/>
          <w:sz w:val="32"/>
          <w:szCs w:val="32"/>
          <w:highlight w:val="none"/>
        </w:rPr>
      </w:pPr>
      <w:bookmarkStart w:id="2641" w:name="_Toc7844"/>
      <w:bookmarkStart w:id="2642" w:name="_Toc19082"/>
      <w:bookmarkStart w:id="2643" w:name="_Toc28161"/>
      <w:bookmarkStart w:id="2644" w:name="_Toc21190"/>
      <w:bookmarkStart w:id="2645" w:name="_Toc4040"/>
      <w:bookmarkStart w:id="2646" w:name="_Toc26663"/>
      <w:bookmarkStart w:id="2647" w:name="_Toc5519"/>
      <w:bookmarkStart w:id="2648" w:name="_Toc26119"/>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.6 竣工退场</w:t>
      </w:r>
      <w:bookmarkEnd w:id="2641"/>
      <w:bookmarkEnd w:id="2642"/>
      <w:bookmarkEnd w:id="2643"/>
      <w:bookmarkEnd w:id="2644"/>
      <w:bookmarkEnd w:id="2645"/>
      <w:bookmarkEnd w:id="2646"/>
      <w:bookmarkEnd w:id="2647"/>
      <w:bookmarkEnd w:id="2648"/>
    </w:p>
    <w:p w14:paraId="0F8E0508">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w:t>
      </w:r>
      <w:r>
        <w:rPr>
          <w:rFonts w:hint="eastAsia" w:ascii="仿宋_GB2312" w:hAnsi="仿宋_GB2312" w:eastAsia="仿宋_GB2312" w:cs="仿宋_GB2312"/>
          <w:color w:val="auto"/>
          <w:kern w:val="0"/>
          <w:sz w:val="32"/>
          <w:szCs w:val="32"/>
          <w:highlight w:val="none"/>
          <w:lang w:val="en-US" w:eastAsia="zh-CN"/>
        </w:rPr>
        <w:t>3</w:t>
      </w:r>
      <w:r>
        <w:rPr>
          <w:rFonts w:hint="eastAsia" w:ascii="仿宋_GB2312" w:hAnsi="仿宋_GB2312" w:eastAsia="仿宋_GB2312" w:cs="仿宋_GB2312"/>
          <w:color w:val="auto"/>
          <w:kern w:val="0"/>
          <w:sz w:val="32"/>
          <w:szCs w:val="32"/>
          <w:highlight w:val="none"/>
        </w:rPr>
        <w:t>.6.1 竣工退场</w:t>
      </w:r>
    </w:p>
    <w:p w14:paraId="6CDE3000">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single"/>
        </w:rPr>
      </w:pPr>
      <w:r>
        <w:rPr>
          <w:rFonts w:hint="eastAsia" w:ascii="仿宋_GB2312" w:hAnsi="仿宋_GB2312" w:eastAsia="仿宋_GB2312" w:cs="仿宋_GB2312"/>
          <w:color w:val="auto"/>
          <w:kern w:val="0"/>
          <w:sz w:val="32"/>
          <w:szCs w:val="32"/>
          <w:highlight w:val="none"/>
        </w:rPr>
        <w:t>承包人完成竣工退场的期限</w:t>
      </w:r>
      <w:r>
        <w:rPr>
          <w:rFonts w:hint="eastAsia" w:ascii="仿宋_GB2312" w:hAnsi="仿宋_GB2312" w:eastAsia="仿宋_GB2312" w:cs="仿宋_GB2312"/>
          <w:color w:val="auto"/>
          <w:kern w:val="0"/>
          <w:sz w:val="32"/>
          <w:szCs w:val="32"/>
          <w:highlight w:val="none"/>
          <w:u w:val="none"/>
        </w:rPr>
        <w:t>：</w:t>
      </w:r>
      <w:r>
        <w:rPr>
          <w:rFonts w:hint="eastAsia" w:ascii="仿宋_GB2312" w:hAnsi="仿宋_GB2312" w:eastAsia="仿宋_GB2312" w:cs="仿宋_GB2312"/>
          <w:color w:val="auto"/>
          <w:sz w:val="32"/>
          <w:szCs w:val="32"/>
          <w:highlight w:val="none"/>
          <w:u w:val="none"/>
        </w:rPr>
        <w:t>颁发工程接收证书后30天内。</w:t>
      </w:r>
      <w:bookmarkStart w:id="2649" w:name="_Toc351203646"/>
    </w:p>
    <w:p w14:paraId="18484BDF">
      <w:pPr>
        <w:pageBreakBefore w:val="0"/>
        <w:widowControl/>
        <w:kinsoku/>
        <w:wordWrap/>
        <w:overflowPunct/>
        <w:topLinePunct w:val="0"/>
        <w:bidi w:val="0"/>
        <w:adjustRightInd w:val="0"/>
        <w:snapToGrid w:val="0"/>
        <w:spacing w:line="560" w:lineRule="exact"/>
        <w:ind w:firstLine="640" w:firstLineChars="200"/>
        <w:jc w:val="both"/>
        <w:outlineLvl w:val="9"/>
        <w:rPr>
          <w:rFonts w:hint="eastAsia" w:ascii="黑体" w:hAnsi="黑体" w:eastAsia="黑体" w:cs="黑体"/>
          <w:b w:val="0"/>
          <w:bCs/>
          <w:color w:val="auto"/>
          <w:sz w:val="32"/>
          <w:szCs w:val="32"/>
          <w:highlight w:val="none"/>
        </w:rPr>
      </w:pPr>
      <w:bookmarkStart w:id="2650" w:name="_Toc32255"/>
      <w:bookmarkStart w:id="2651" w:name="_Toc10008"/>
      <w:bookmarkStart w:id="2652" w:name="_Toc25281"/>
      <w:bookmarkStart w:id="2653" w:name="_Toc7587"/>
      <w:bookmarkStart w:id="2654" w:name="_Toc18233"/>
      <w:bookmarkStart w:id="2655" w:name="_Toc18333"/>
      <w:bookmarkStart w:id="2656" w:name="_Toc8"/>
      <w:bookmarkStart w:id="2657" w:name="_Toc14577"/>
      <w:bookmarkStart w:id="2658" w:name="_Toc23106"/>
      <w:bookmarkStart w:id="2659" w:name="_Toc1646"/>
      <w:r>
        <w:rPr>
          <w:rFonts w:hint="eastAsia" w:ascii="黑体" w:hAnsi="黑体" w:eastAsia="黑体" w:cs="黑体"/>
          <w:b w:val="0"/>
          <w:bCs/>
          <w:color w:val="auto"/>
          <w:sz w:val="32"/>
          <w:szCs w:val="32"/>
          <w:highlight w:val="none"/>
        </w:rPr>
        <w:t>1</w:t>
      </w:r>
      <w:r>
        <w:rPr>
          <w:rFonts w:hint="eastAsia" w:ascii="黑体" w:hAnsi="黑体" w:eastAsia="黑体" w:cs="黑体"/>
          <w:b w:val="0"/>
          <w:bCs/>
          <w:color w:val="auto"/>
          <w:sz w:val="32"/>
          <w:szCs w:val="32"/>
          <w:highlight w:val="none"/>
          <w:lang w:val="en-US" w:eastAsia="zh-CN"/>
        </w:rPr>
        <w:t>4</w:t>
      </w:r>
      <w:r>
        <w:rPr>
          <w:rFonts w:hint="eastAsia" w:ascii="黑体" w:hAnsi="黑体" w:eastAsia="黑体" w:cs="黑体"/>
          <w:b w:val="0"/>
          <w:bCs/>
          <w:color w:val="auto"/>
          <w:sz w:val="32"/>
          <w:szCs w:val="32"/>
          <w:highlight w:val="none"/>
        </w:rPr>
        <w:t>.竣工结</w:t>
      </w:r>
      <w:bookmarkEnd w:id="2649"/>
      <w:r>
        <w:rPr>
          <w:rFonts w:hint="eastAsia" w:ascii="黑体" w:hAnsi="黑体" w:eastAsia="黑体" w:cs="黑体"/>
          <w:b w:val="0"/>
          <w:bCs/>
          <w:color w:val="auto"/>
          <w:sz w:val="32"/>
          <w:szCs w:val="32"/>
          <w:highlight w:val="none"/>
        </w:rPr>
        <w:t>算</w:t>
      </w:r>
      <w:bookmarkEnd w:id="2650"/>
      <w:bookmarkEnd w:id="2651"/>
      <w:bookmarkEnd w:id="2652"/>
      <w:bookmarkEnd w:id="2653"/>
      <w:bookmarkEnd w:id="2654"/>
      <w:bookmarkEnd w:id="2655"/>
      <w:bookmarkEnd w:id="2656"/>
      <w:bookmarkEnd w:id="2657"/>
      <w:bookmarkEnd w:id="2658"/>
      <w:bookmarkEnd w:id="2659"/>
    </w:p>
    <w:p w14:paraId="408B8E69">
      <w:pPr>
        <w:pageBreakBefore w:val="0"/>
        <w:kinsoku/>
        <w:wordWrap/>
        <w:overflowPunct/>
        <w:topLinePunct w:val="0"/>
        <w:bidi w:val="0"/>
        <w:adjustRightInd w:val="0"/>
        <w:snapToGrid w:val="0"/>
        <w:spacing w:line="560" w:lineRule="exact"/>
        <w:ind w:firstLine="640" w:firstLineChars="200"/>
        <w:jc w:val="both"/>
        <w:outlineLvl w:val="9"/>
        <w:rPr>
          <w:rFonts w:hint="eastAsia" w:ascii="仿宋_GB2312" w:hAnsi="仿宋_GB2312" w:eastAsia="仿宋_GB2312" w:cs="仿宋_GB2312"/>
          <w:color w:val="auto"/>
          <w:sz w:val="32"/>
          <w:szCs w:val="32"/>
          <w:highlight w:val="none"/>
        </w:rPr>
      </w:pPr>
      <w:bookmarkStart w:id="2660" w:name="_Toc30448"/>
      <w:bookmarkStart w:id="2661" w:name="_Toc3089"/>
      <w:bookmarkStart w:id="2662" w:name="_Toc10676"/>
      <w:bookmarkStart w:id="2663" w:name="_Toc22844"/>
      <w:bookmarkStart w:id="2664" w:name="_Toc10402"/>
      <w:bookmarkStart w:id="2665" w:name="_Toc9439"/>
      <w:bookmarkStart w:id="2666" w:name="_Toc1796"/>
      <w:bookmarkStart w:id="2667" w:name="_Toc11698"/>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rPr>
        <w:t>.1 竣工结算申请</w:t>
      </w:r>
      <w:bookmarkEnd w:id="2660"/>
      <w:bookmarkEnd w:id="2661"/>
      <w:bookmarkEnd w:id="2662"/>
      <w:bookmarkEnd w:id="2663"/>
      <w:bookmarkEnd w:id="2664"/>
      <w:bookmarkEnd w:id="2665"/>
      <w:bookmarkEnd w:id="2666"/>
      <w:bookmarkEnd w:id="2667"/>
    </w:p>
    <w:p w14:paraId="60AB1A4A">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承包人提交竣工结算申请单的期限：</w:t>
      </w:r>
      <w:r>
        <w:rPr>
          <w:rFonts w:hint="eastAsia" w:ascii="仿宋_GB2312" w:hAnsi="仿宋_GB2312" w:eastAsia="仿宋_GB2312" w:cs="仿宋_GB2312"/>
          <w:color w:val="auto"/>
          <w:sz w:val="32"/>
          <w:szCs w:val="32"/>
          <w:highlight w:val="none"/>
          <w:u w:val="none"/>
        </w:rPr>
        <w:t>自竣工验收合格之日60天内上报结算，如 60 天内承包人不能按时上报竣工结算的，每迟报一天向发包人支付违约金0.5万元。自竣工之日起六个月承包人仍未上报结算的，由发包人将自行委托第三方咨询机构进行编制结算，由此产生的费用由承包人承担，从工程款进行抵扣，同时须在工程结算中予以体现。承包人收到第三方咨询机构出具工程结算报告后15天内未提出异议的，视为认同第三方咨询机构出具工程结算报告，并作为结算支付工程款的依据</w:t>
      </w:r>
      <w:r>
        <w:rPr>
          <w:rFonts w:hint="eastAsia" w:ascii="仿宋_GB2312" w:hAnsi="仿宋_GB2312" w:eastAsia="仿宋_GB2312" w:cs="仿宋_GB2312"/>
          <w:color w:val="auto"/>
          <w:sz w:val="32"/>
          <w:szCs w:val="32"/>
          <w:highlight w:val="none"/>
        </w:rPr>
        <w:t>。</w:t>
      </w:r>
    </w:p>
    <w:p w14:paraId="09B3E11E">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如承包人的竣工结算报价超过最终审定价</w:t>
      </w:r>
      <w:r>
        <w:rPr>
          <w:rFonts w:hint="eastAsia" w:ascii="仿宋_GB2312" w:hAnsi="仿宋_GB2312" w:eastAsia="仿宋_GB2312" w:cs="仿宋_GB2312"/>
          <w:color w:val="auto"/>
          <w:sz w:val="32"/>
          <w:szCs w:val="32"/>
          <w:highlight w:val="none"/>
          <w:u w:val="none"/>
          <w:lang w:val="en-US" w:eastAsia="zh-CN"/>
        </w:rPr>
        <w:t>5</w:t>
      </w:r>
      <w:r>
        <w:rPr>
          <w:rFonts w:hint="eastAsia" w:ascii="仿宋_GB2312" w:hAnsi="仿宋_GB2312" w:eastAsia="仿宋_GB2312" w:cs="仿宋_GB2312"/>
          <w:color w:val="auto"/>
          <w:sz w:val="32"/>
          <w:szCs w:val="32"/>
          <w:highlight w:val="none"/>
          <w:u w:val="none"/>
        </w:rPr>
        <w:t>%</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rPr>
        <w:t>则需支付违约金，违约金费用为：（承包人结算报价–最终审定价*1</w:t>
      </w:r>
      <w:r>
        <w:rPr>
          <w:rFonts w:hint="eastAsia" w:ascii="仿宋_GB2312" w:hAnsi="仿宋_GB2312" w:eastAsia="仿宋_GB2312" w:cs="仿宋_GB2312"/>
          <w:color w:val="auto"/>
          <w:sz w:val="32"/>
          <w:szCs w:val="32"/>
          <w:highlight w:val="none"/>
          <w:u w:val="none"/>
          <w:lang w:val="en-US" w:eastAsia="zh-CN"/>
        </w:rPr>
        <w:t>05</w:t>
      </w:r>
      <w:r>
        <w:rPr>
          <w:rFonts w:hint="eastAsia" w:ascii="仿宋_GB2312" w:hAnsi="仿宋_GB2312" w:eastAsia="仿宋_GB2312" w:cs="仿宋_GB2312"/>
          <w:color w:val="auto"/>
          <w:sz w:val="32"/>
          <w:szCs w:val="32"/>
          <w:highlight w:val="none"/>
          <w:u w:val="none"/>
        </w:rPr>
        <w:t>%）*5%，该笔违约金在发包人对承包人竣工结算后的付款中扣除。</w:t>
      </w:r>
    </w:p>
    <w:p w14:paraId="7D55BFCC">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竣工结算申请单应包括的内容：</w:t>
      </w:r>
      <w:r>
        <w:rPr>
          <w:rFonts w:hint="eastAsia" w:ascii="仿宋_GB2312" w:hAnsi="仿宋_GB2312" w:eastAsia="仿宋_GB2312" w:cs="仿宋_GB2312"/>
          <w:color w:val="auto"/>
          <w:sz w:val="32"/>
          <w:szCs w:val="32"/>
          <w:highlight w:val="none"/>
          <w:u w:val="none"/>
        </w:rPr>
        <w:t>由发包人和承包人商定</w:t>
      </w:r>
      <w:r>
        <w:rPr>
          <w:rFonts w:hint="eastAsia" w:ascii="仿宋_GB2312" w:hAnsi="仿宋_GB2312" w:eastAsia="仿宋_GB2312" w:cs="仿宋_GB2312"/>
          <w:color w:val="auto"/>
          <w:sz w:val="32"/>
          <w:szCs w:val="32"/>
          <w:highlight w:val="none"/>
        </w:rPr>
        <w:t>。</w:t>
      </w:r>
    </w:p>
    <w:p w14:paraId="6061C80D">
      <w:pPr>
        <w:pageBreakBefore w:val="0"/>
        <w:kinsoku/>
        <w:wordWrap/>
        <w:overflowPunct/>
        <w:topLinePunct w:val="0"/>
        <w:bidi w:val="0"/>
        <w:adjustRightInd w:val="0"/>
        <w:snapToGrid w:val="0"/>
        <w:spacing w:line="560" w:lineRule="exact"/>
        <w:ind w:firstLine="640" w:firstLineChars="200"/>
        <w:jc w:val="both"/>
        <w:outlineLvl w:val="9"/>
        <w:rPr>
          <w:rFonts w:hint="eastAsia" w:ascii="仿宋_GB2312" w:hAnsi="仿宋_GB2312" w:eastAsia="仿宋_GB2312" w:cs="仿宋_GB2312"/>
          <w:color w:val="auto"/>
          <w:sz w:val="32"/>
          <w:szCs w:val="32"/>
          <w:highlight w:val="none"/>
        </w:rPr>
      </w:pPr>
      <w:bookmarkStart w:id="2668" w:name="_Toc21530"/>
      <w:bookmarkStart w:id="2669" w:name="_Toc7394"/>
      <w:bookmarkStart w:id="2670" w:name="_Toc46"/>
      <w:bookmarkStart w:id="2671" w:name="_Toc10481"/>
      <w:bookmarkStart w:id="2672" w:name="_Toc22576"/>
      <w:bookmarkStart w:id="2673" w:name="_Toc26641"/>
      <w:bookmarkStart w:id="2674" w:name="_Toc27990"/>
      <w:bookmarkStart w:id="2675" w:name="_Toc22384"/>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rPr>
        <w:t>.2 竣工结算审核</w:t>
      </w:r>
      <w:bookmarkEnd w:id="2668"/>
      <w:bookmarkEnd w:id="2669"/>
      <w:bookmarkEnd w:id="2670"/>
      <w:bookmarkEnd w:id="2671"/>
      <w:bookmarkEnd w:id="2672"/>
      <w:bookmarkEnd w:id="2673"/>
      <w:bookmarkEnd w:id="2674"/>
      <w:bookmarkEnd w:id="2675"/>
    </w:p>
    <w:p w14:paraId="43D8C799">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发包人审批竣工付款申请单的期限</w:t>
      </w:r>
      <w:bookmarkStart w:id="2676" w:name="_Hlk62925963"/>
      <w:r>
        <w:rPr>
          <w:rFonts w:hint="eastAsia" w:ascii="仿宋_GB2312" w:hAnsi="仿宋_GB2312" w:eastAsia="仿宋_GB2312" w:cs="仿宋_GB2312"/>
          <w:color w:val="auto"/>
          <w:sz w:val="32"/>
          <w:szCs w:val="32"/>
          <w:highlight w:val="none"/>
        </w:rPr>
        <w:t>：</w:t>
      </w:r>
      <w:bookmarkEnd w:id="2676"/>
      <w:r>
        <w:rPr>
          <w:rFonts w:hint="eastAsia" w:ascii="仿宋_GB2312" w:hAnsi="仿宋_GB2312" w:eastAsia="仿宋_GB2312" w:cs="仿宋_GB2312"/>
          <w:color w:val="auto"/>
          <w:sz w:val="32"/>
          <w:szCs w:val="32"/>
          <w:highlight w:val="none"/>
          <w:u w:val="none"/>
        </w:rPr>
        <w:t>工程竣工验收备案并交付且经发包人结算审核及审计机构核定（如有）确认后30个工作日内，支付至合同结算总价的97%，当次付款前应同时开具合同结算总价3%质量保证金发票。如工程质量保证金采用银行保函形式，工程竣工验收交付、完成结算审核且承包人向发包人提交合同结算总价3%的银行保函，30个工作日内发包人按合同结算总价向承包人支付剩余工程款。</w:t>
      </w:r>
    </w:p>
    <w:p w14:paraId="77205F35">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发包人完成竣工付款的期限：</w:t>
      </w:r>
      <w:r>
        <w:rPr>
          <w:rFonts w:hint="eastAsia" w:ascii="仿宋_GB2312" w:hAnsi="仿宋_GB2312" w:eastAsia="仿宋_GB2312" w:cs="仿宋_GB2312"/>
          <w:color w:val="auto"/>
          <w:sz w:val="32"/>
          <w:szCs w:val="32"/>
          <w:highlight w:val="none"/>
          <w:u w:val="single"/>
        </w:rPr>
        <w:t>/</w:t>
      </w:r>
      <w:r>
        <w:rPr>
          <w:rFonts w:hint="eastAsia" w:ascii="仿宋_GB2312" w:hAnsi="仿宋_GB2312" w:eastAsia="仿宋_GB2312" w:cs="仿宋_GB2312"/>
          <w:color w:val="auto"/>
          <w:sz w:val="32"/>
          <w:szCs w:val="32"/>
          <w:highlight w:val="none"/>
        </w:rPr>
        <w:t>。</w:t>
      </w:r>
    </w:p>
    <w:p w14:paraId="33337C32">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关于竣工付款证书异议部分复核的方式和程序：</w:t>
      </w:r>
      <w:r>
        <w:rPr>
          <w:rFonts w:hint="eastAsia" w:ascii="仿宋_GB2312" w:hAnsi="仿宋_GB2312" w:eastAsia="仿宋_GB2312" w:cs="仿宋_GB2312"/>
          <w:color w:val="auto"/>
          <w:sz w:val="32"/>
          <w:szCs w:val="32"/>
          <w:highlight w:val="none"/>
          <w:u w:val="single"/>
        </w:rPr>
        <w:t xml:space="preserve"> / </w:t>
      </w:r>
      <w:r>
        <w:rPr>
          <w:rFonts w:hint="eastAsia" w:ascii="仿宋_GB2312" w:hAnsi="仿宋_GB2312" w:eastAsia="仿宋_GB2312" w:cs="仿宋_GB2312"/>
          <w:color w:val="auto"/>
          <w:sz w:val="32"/>
          <w:szCs w:val="32"/>
          <w:highlight w:val="none"/>
        </w:rPr>
        <w:t>。</w:t>
      </w:r>
    </w:p>
    <w:p w14:paraId="49939058">
      <w:pPr>
        <w:pageBreakBefore w:val="0"/>
        <w:kinsoku/>
        <w:wordWrap/>
        <w:overflowPunct/>
        <w:topLinePunct w:val="0"/>
        <w:bidi w:val="0"/>
        <w:adjustRightInd w:val="0"/>
        <w:snapToGrid w:val="0"/>
        <w:spacing w:line="560" w:lineRule="exact"/>
        <w:ind w:firstLine="640" w:firstLineChars="200"/>
        <w:jc w:val="both"/>
        <w:outlineLvl w:val="9"/>
        <w:rPr>
          <w:rFonts w:hint="eastAsia" w:ascii="仿宋_GB2312" w:hAnsi="仿宋_GB2312" w:eastAsia="仿宋_GB2312" w:cs="仿宋_GB2312"/>
          <w:color w:val="auto"/>
          <w:sz w:val="32"/>
          <w:szCs w:val="32"/>
          <w:highlight w:val="none"/>
        </w:rPr>
      </w:pPr>
      <w:bookmarkStart w:id="2677" w:name="_Toc476"/>
      <w:bookmarkStart w:id="2678" w:name="_Toc31167"/>
      <w:bookmarkStart w:id="2679" w:name="_Toc29729"/>
      <w:bookmarkStart w:id="2680" w:name="_Toc13675"/>
      <w:bookmarkStart w:id="2681" w:name="_Toc19097"/>
      <w:bookmarkStart w:id="2682" w:name="_Toc5123"/>
      <w:bookmarkStart w:id="2683" w:name="_Toc109"/>
      <w:bookmarkStart w:id="2684" w:name="_Toc3010"/>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rPr>
        <w:t xml:space="preserve"> 最终结清</w:t>
      </w:r>
      <w:bookmarkEnd w:id="2677"/>
      <w:bookmarkEnd w:id="2678"/>
      <w:bookmarkEnd w:id="2679"/>
      <w:bookmarkEnd w:id="2680"/>
      <w:bookmarkEnd w:id="2681"/>
      <w:bookmarkEnd w:id="2682"/>
      <w:bookmarkEnd w:id="2683"/>
      <w:bookmarkEnd w:id="2684"/>
    </w:p>
    <w:p w14:paraId="0BEF1ADA">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w:t>
      </w:r>
      <w:r>
        <w:rPr>
          <w:rFonts w:hint="eastAsia" w:ascii="仿宋_GB2312" w:hAnsi="仿宋_GB2312" w:eastAsia="仿宋_GB2312" w:cs="仿宋_GB2312"/>
          <w:color w:val="auto"/>
          <w:kern w:val="0"/>
          <w:sz w:val="32"/>
          <w:szCs w:val="32"/>
          <w:highlight w:val="none"/>
          <w:lang w:val="en-US" w:eastAsia="zh-CN"/>
        </w:rPr>
        <w:t>4</w:t>
      </w:r>
      <w:r>
        <w:rPr>
          <w:rFonts w:hint="eastAsia" w:ascii="仿宋_GB2312" w:hAnsi="仿宋_GB2312" w:eastAsia="仿宋_GB2312" w:cs="仿宋_GB2312"/>
          <w:color w:val="auto"/>
          <w:kern w:val="0"/>
          <w:sz w:val="32"/>
          <w:szCs w:val="32"/>
          <w:highlight w:val="none"/>
        </w:rPr>
        <w:t>.</w:t>
      </w:r>
      <w:r>
        <w:rPr>
          <w:rFonts w:hint="eastAsia" w:ascii="仿宋_GB2312" w:hAnsi="仿宋_GB2312" w:eastAsia="仿宋_GB2312" w:cs="仿宋_GB2312"/>
          <w:color w:val="auto"/>
          <w:kern w:val="0"/>
          <w:sz w:val="32"/>
          <w:szCs w:val="32"/>
          <w:highlight w:val="none"/>
          <w:lang w:val="en-US" w:eastAsia="zh-CN"/>
        </w:rPr>
        <w:t>4</w:t>
      </w:r>
      <w:r>
        <w:rPr>
          <w:rFonts w:hint="eastAsia" w:ascii="仿宋_GB2312" w:hAnsi="仿宋_GB2312" w:eastAsia="仿宋_GB2312" w:cs="仿宋_GB2312"/>
          <w:color w:val="auto"/>
          <w:kern w:val="0"/>
          <w:sz w:val="32"/>
          <w:szCs w:val="32"/>
          <w:highlight w:val="none"/>
        </w:rPr>
        <w:t>.1 最终结清申请单</w:t>
      </w:r>
    </w:p>
    <w:p w14:paraId="69A876C7">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rPr>
        <w:t>承包人提交最终结清申请单</w:t>
      </w:r>
      <w:r>
        <w:rPr>
          <w:rFonts w:hint="eastAsia" w:ascii="仿宋_GB2312" w:hAnsi="仿宋_GB2312" w:eastAsia="仿宋_GB2312" w:cs="仿宋_GB2312"/>
          <w:color w:val="auto"/>
          <w:kern w:val="0"/>
          <w:sz w:val="32"/>
          <w:szCs w:val="32"/>
          <w:highlight w:val="none"/>
          <w:u w:val="none"/>
        </w:rPr>
        <w:t>的份数：</w:t>
      </w:r>
      <w:r>
        <w:rPr>
          <w:rFonts w:hint="eastAsia" w:ascii="仿宋_GB2312" w:hAnsi="仿宋_GB2312" w:eastAsia="仿宋_GB2312" w:cs="仿宋_GB2312"/>
          <w:color w:val="auto"/>
          <w:sz w:val="32"/>
          <w:szCs w:val="32"/>
          <w:highlight w:val="none"/>
          <w:u w:val="none"/>
        </w:rPr>
        <w:t>由发包人和承包人商定。</w:t>
      </w:r>
    </w:p>
    <w:p w14:paraId="2E3712D3">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kern w:val="0"/>
          <w:sz w:val="32"/>
          <w:szCs w:val="32"/>
          <w:highlight w:val="none"/>
          <w:u w:val="none"/>
        </w:rPr>
        <w:t>承包人提交最终结算申请单的期限：</w:t>
      </w:r>
      <w:r>
        <w:rPr>
          <w:rFonts w:hint="eastAsia" w:ascii="仿宋_GB2312" w:hAnsi="仿宋_GB2312" w:eastAsia="仿宋_GB2312" w:cs="仿宋_GB2312"/>
          <w:color w:val="auto"/>
          <w:sz w:val="32"/>
          <w:szCs w:val="32"/>
          <w:highlight w:val="none"/>
          <w:u w:val="none"/>
        </w:rPr>
        <w:t>由发包人和承包人商定。</w:t>
      </w:r>
    </w:p>
    <w:p w14:paraId="19202EF3">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rPr>
        <w:t>.2 最终结清证书和支付</w:t>
      </w:r>
    </w:p>
    <w:p w14:paraId="1E58D182">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（1）发包人完成最终结清申请单的审批并颁发最终结清证书的期限：</w:t>
      </w:r>
      <w:r>
        <w:rPr>
          <w:rFonts w:hint="eastAsia" w:ascii="仿宋_GB2312" w:hAnsi="仿宋_GB2312" w:eastAsia="仿宋_GB2312" w:cs="仿宋_GB2312"/>
          <w:color w:val="auto"/>
          <w:sz w:val="32"/>
          <w:szCs w:val="32"/>
          <w:highlight w:val="none"/>
          <w:u w:val="single"/>
        </w:rPr>
        <w:t xml:space="preserve"> / </w:t>
      </w:r>
      <w:r>
        <w:rPr>
          <w:rFonts w:hint="eastAsia" w:ascii="仿宋_GB2312" w:hAnsi="仿宋_GB2312" w:eastAsia="仿宋_GB2312" w:cs="仿宋_GB2312"/>
          <w:color w:val="auto"/>
          <w:sz w:val="32"/>
          <w:szCs w:val="32"/>
          <w:highlight w:val="none"/>
        </w:rPr>
        <w:t>。</w:t>
      </w:r>
    </w:p>
    <w:p w14:paraId="593D0AA2">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（2）发包人完成支付的期限：</w:t>
      </w:r>
      <w:r>
        <w:rPr>
          <w:rFonts w:hint="eastAsia" w:ascii="仿宋_GB2312" w:hAnsi="仿宋_GB2312" w:eastAsia="仿宋_GB2312" w:cs="仿宋_GB2312"/>
          <w:color w:val="auto"/>
          <w:sz w:val="32"/>
          <w:szCs w:val="32"/>
          <w:highlight w:val="none"/>
          <w:u w:val="single"/>
        </w:rPr>
        <w:t xml:space="preserve"> / </w:t>
      </w:r>
      <w:r>
        <w:rPr>
          <w:rFonts w:hint="eastAsia" w:ascii="仿宋_GB2312" w:hAnsi="仿宋_GB2312" w:eastAsia="仿宋_GB2312" w:cs="仿宋_GB2312"/>
          <w:color w:val="auto"/>
          <w:sz w:val="32"/>
          <w:szCs w:val="32"/>
          <w:highlight w:val="none"/>
        </w:rPr>
        <w:t>。</w:t>
      </w:r>
      <w:bookmarkEnd w:id="2613"/>
      <w:bookmarkEnd w:id="2614"/>
      <w:bookmarkEnd w:id="2615"/>
      <w:bookmarkEnd w:id="2616"/>
      <w:bookmarkEnd w:id="2617"/>
      <w:bookmarkEnd w:id="2618"/>
      <w:bookmarkEnd w:id="2619"/>
      <w:bookmarkEnd w:id="2633"/>
      <w:bookmarkStart w:id="2685" w:name="_Toc351203647"/>
      <w:bookmarkStart w:id="2686" w:name="_Toc267251483"/>
      <w:bookmarkStart w:id="2687" w:name="_Toc267251484"/>
      <w:bookmarkStart w:id="2688" w:name="_Toc267251482"/>
      <w:bookmarkStart w:id="2689" w:name="_Toc267251485"/>
      <w:bookmarkStart w:id="2690" w:name="_Toc267251489"/>
      <w:bookmarkStart w:id="2691" w:name="_Toc267251486"/>
      <w:bookmarkStart w:id="2692" w:name="_Toc267251488"/>
      <w:bookmarkStart w:id="2693" w:name="_Toc267251490"/>
      <w:bookmarkStart w:id="2694" w:name="_Toc267251493"/>
      <w:bookmarkStart w:id="2695" w:name="_Toc267251496"/>
      <w:bookmarkStart w:id="2696" w:name="_Toc267251502"/>
      <w:bookmarkStart w:id="2697" w:name="_Toc267251501"/>
      <w:bookmarkStart w:id="2698" w:name="_Toc267251498"/>
      <w:bookmarkStart w:id="2699" w:name="_Toc267251503"/>
      <w:bookmarkStart w:id="2700" w:name="_Toc267251499"/>
      <w:bookmarkStart w:id="2701" w:name="_Toc267251491"/>
      <w:bookmarkStart w:id="2702" w:name="_Toc267251495"/>
      <w:bookmarkStart w:id="2703" w:name="_Toc267251494"/>
      <w:bookmarkStart w:id="2704" w:name="_Toc267251497"/>
      <w:bookmarkStart w:id="2705" w:name="_Toc267251492"/>
      <w:bookmarkStart w:id="2706" w:name="_Toc267251506"/>
      <w:bookmarkStart w:id="2707" w:name="_Toc267251504"/>
      <w:bookmarkStart w:id="2708" w:name="_Toc267251507"/>
      <w:bookmarkStart w:id="2709" w:name="_Toc267251508"/>
      <w:bookmarkStart w:id="2710" w:name="_Toc267251511"/>
      <w:bookmarkStart w:id="2711" w:name="_Toc267251513"/>
      <w:bookmarkStart w:id="2712" w:name="_Toc267251509"/>
      <w:bookmarkStart w:id="2713" w:name="_Toc267251514"/>
      <w:bookmarkStart w:id="2714" w:name="_Toc267251510"/>
      <w:bookmarkStart w:id="2715" w:name="_Toc267251515"/>
    </w:p>
    <w:p w14:paraId="7729A66F">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rPr>
        <w:t>发包人向承包人实际支付的本项目竣工结算金额为</w:t>
      </w:r>
      <w:r>
        <w:rPr>
          <w:rFonts w:hint="eastAsia" w:ascii="仿宋_GB2312" w:hAnsi="仿宋_GB2312" w:eastAsia="仿宋_GB2312" w:cs="仿宋_GB2312"/>
          <w:color w:val="auto"/>
          <w:sz w:val="32"/>
          <w:szCs w:val="32"/>
          <w:highlight w:val="none"/>
          <w:u w:val="none"/>
        </w:rPr>
        <w:t>：按合同约定计算的本项目竣工结算总价扣减本合同约定的从工程款中扣除的承包人违约金、处罚金、赔偿金、发包人代付的农民工工资及分包工程款项等款项（如有）后的金额。承包人应向发包人开具与本项目竣工结算总价等额的增值税发票（含已扣减的承包人违约金、处罚金、赔偿金、发包人代付的农民工工资及分包工程款项等款项（如有）金额）。</w:t>
      </w:r>
    </w:p>
    <w:p w14:paraId="7321583A">
      <w:pPr>
        <w:pageBreakBefore w:val="0"/>
        <w:widowControl/>
        <w:kinsoku/>
        <w:wordWrap/>
        <w:overflowPunct/>
        <w:topLinePunct w:val="0"/>
        <w:bidi w:val="0"/>
        <w:adjustRightInd w:val="0"/>
        <w:snapToGrid w:val="0"/>
        <w:spacing w:line="560" w:lineRule="exact"/>
        <w:ind w:firstLine="640" w:firstLineChars="200"/>
        <w:jc w:val="both"/>
        <w:outlineLvl w:val="9"/>
        <w:rPr>
          <w:rFonts w:hint="eastAsia" w:ascii="黑体" w:hAnsi="黑体" w:eastAsia="黑体" w:cs="黑体"/>
          <w:b w:val="0"/>
          <w:bCs/>
          <w:color w:val="auto"/>
          <w:sz w:val="32"/>
          <w:szCs w:val="32"/>
          <w:highlight w:val="none"/>
          <w:u w:val="none"/>
        </w:rPr>
      </w:pPr>
      <w:bookmarkStart w:id="2716" w:name="_Toc22179"/>
      <w:bookmarkStart w:id="2717" w:name="_Toc27728"/>
      <w:bookmarkStart w:id="2718" w:name="_Toc685"/>
      <w:bookmarkStart w:id="2719" w:name="_Toc2493"/>
      <w:bookmarkStart w:id="2720" w:name="_Toc569"/>
      <w:bookmarkStart w:id="2721" w:name="_Toc30438"/>
      <w:bookmarkStart w:id="2722" w:name="_Toc13996"/>
      <w:bookmarkStart w:id="2723" w:name="_Toc28150"/>
      <w:bookmarkStart w:id="2724" w:name="_Toc10129"/>
      <w:bookmarkStart w:id="2725" w:name="_Toc28116"/>
      <w:r>
        <w:rPr>
          <w:rFonts w:hint="eastAsia" w:ascii="黑体" w:hAnsi="黑体" w:eastAsia="黑体" w:cs="黑体"/>
          <w:b w:val="0"/>
          <w:bCs/>
          <w:color w:val="auto"/>
          <w:sz w:val="32"/>
          <w:szCs w:val="32"/>
          <w:highlight w:val="none"/>
          <w:u w:val="none"/>
        </w:rPr>
        <w:t>1</w:t>
      </w:r>
      <w:r>
        <w:rPr>
          <w:rFonts w:hint="eastAsia" w:ascii="黑体" w:hAnsi="黑体" w:eastAsia="黑体" w:cs="黑体"/>
          <w:b w:val="0"/>
          <w:bCs/>
          <w:color w:val="auto"/>
          <w:sz w:val="32"/>
          <w:szCs w:val="32"/>
          <w:highlight w:val="none"/>
          <w:u w:val="none"/>
          <w:lang w:val="en-US" w:eastAsia="zh-CN"/>
        </w:rPr>
        <w:t>5</w:t>
      </w:r>
      <w:r>
        <w:rPr>
          <w:rFonts w:hint="eastAsia" w:ascii="黑体" w:hAnsi="黑体" w:eastAsia="黑体" w:cs="黑体"/>
          <w:b w:val="0"/>
          <w:bCs/>
          <w:color w:val="auto"/>
          <w:sz w:val="32"/>
          <w:szCs w:val="32"/>
          <w:highlight w:val="none"/>
          <w:u w:val="none"/>
        </w:rPr>
        <w:t>. 缺陷责任期与保</w:t>
      </w:r>
      <w:bookmarkEnd w:id="2685"/>
      <w:r>
        <w:rPr>
          <w:rFonts w:hint="eastAsia" w:ascii="黑体" w:hAnsi="黑体" w:eastAsia="黑体" w:cs="黑体"/>
          <w:b w:val="0"/>
          <w:bCs/>
          <w:color w:val="auto"/>
          <w:sz w:val="32"/>
          <w:szCs w:val="32"/>
          <w:highlight w:val="none"/>
          <w:u w:val="none"/>
        </w:rPr>
        <w:t>修</w:t>
      </w:r>
      <w:bookmarkEnd w:id="2716"/>
      <w:bookmarkEnd w:id="2717"/>
      <w:bookmarkEnd w:id="2718"/>
      <w:bookmarkEnd w:id="2719"/>
      <w:bookmarkEnd w:id="2720"/>
      <w:bookmarkEnd w:id="2721"/>
      <w:bookmarkEnd w:id="2722"/>
      <w:bookmarkEnd w:id="2723"/>
      <w:bookmarkEnd w:id="2724"/>
      <w:bookmarkEnd w:id="2725"/>
    </w:p>
    <w:p w14:paraId="4D0909C9">
      <w:pPr>
        <w:pageBreakBefore w:val="0"/>
        <w:kinsoku/>
        <w:wordWrap/>
        <w:overflowPunct/>
        <w:topLinePunct w:val="0"/>
        <w:bidi w:val="0"/>
        <w:adjustRightInd w:val="0"/>
        <w:snapToGrid w:val="0"/>
        <w:spacing w:line="560" w:lineRule="exact"/>
        <w:ind w:firstLine="640" w:firstLineChars="200"/>
        <w:jc w:val="both"/>
        <w:outlineLvl w:val="9"/>
        <w:rPr>
          <w:rFonts w:hint="eastAsia" w:ascii="仿宋_GB2312" w:hAnsi="仿宋_GB2312" w:eastAsia="仿宋_GB2312" w:cs="仿宋_GB2312"/>
          <w:color w:val="auto"/>
          <w:sz w:val="32"/>
          <w:szCs w:val="32"/>
          <w:highlight w:val="none"/>
          <w:u w:val="none"/>
        </w:rPr>
      </w:pPr>
      <w:bookmarkStart w:id="2726" w:name="_Toc27909"/>
      <w:bookmarkStart w:id="2727" w:name="_Toc11187"/>
      <w:bookmarkStart w:id="2728" w:name="_Toc21875"/>
      <w:bookmarkStart w:id="2729" w:name="_Toc5431"/>
      <w:bookmarkStart w:id="2730" w:name="_Toc25778"/>
      <w:bookmarkStart w:id="2731" w:name="_Toc3929"/>
      <w:bookmarkStart w:id="2732" w:name="_Toc20206"/>
      <w:bookmarkStart w:id="2733" w:name="_Toc1678"/>
      <w:r>
        <w:rPr>
          <w:rFonts w:hint="eastAsia" w:ascii="仿宋_GB2312" w:hAnsi="仿宋_GB2312" w:eastAsia="仿宋_GB2312" w:cs="仿宋_GB2312"/>
          <w:color w:val="auto"/>
          <w:sz w:val="32"/>
          <w:szCs w:val="32"/>
          <w:highlight w:val="none"/>
          <w:u w:val="none"/>
        </w:rPr>
        <w:t>1</w:t>
      </w:r>
      <w:r>
        <w:rPr>
          <w:rFonts w:hint="eastAsia" w:ascii="仿宋_GB2312" w:hAnsi="仿宋_GB2312" w:eastAsia="仿宋_GB2312" w:cs="仿宋_GB2312"/>
          <w:color w:val="auto"/>
          <w:sz w:val="32"/>
          <w:szCs w:val="32"/>
          <w:highlight w:val="none"/>
          <w:u w:val="none"/>
          <w:lang w:val="en-US" w:eastAsia="zh-CN"/>
        </w:rPr>
        <w:t>5</w:t>
      </w:r>
      <w:r>
        <w:rPr>
          <w:rFonts w:hint="eastAsia" w:ascii="仿宋_GB2312" w:hAnsi="仿宋_GB2312" w:eastAsia="仿宋_GB2312" w:cs="仿宋_GB2312"/>
          <w:color w:val="auto"/>
          <w:sz w:val="32"/>
          <w:szCs w:val="32"/>
          <w:highlight w:val="none"/>
          <w:u w:val="none"/>
        </w:rPr>
        <w:t>.</w:t>
      </w:r>
      <w:r>
        <w:rPr>
          <w:rFonts w:hint="eastAsia" w:ascii="仿宋_GB2312" w:hAnsi="仿宋_GB2312" w:eastAsia="仿宋_GB2312" w:cs="仿宋_GB2312"/>
          <w:color w:val="auto"/>
          <w:sz w:val="32"/>
          <w:szCs w:val="32"/>
          <w:highlight w:val="none"/>
          <w:u w:val="none"/>
          <w:lang w:val="en-US" w:eastAsia="zh-CN"/>
        </w:rPr>
        <w:t>2</w:t>
      </w:r>
      <w:r>
        <w:rPr>
          <w:rFonts w:hint="eastAsia" w:ascii="仿宋_GB2312" w:hAnsi="仿宋_GB2312" w:eastAsia="仿宋_GB2312" w:cs="仿宋_GB2312"/>
          <w:color w:val="auto"/>
          <w:sz w:val="32"/>
          <w:szCs w:val="32"/>
          <w:highlight w:val="none"/>
          <w:u w:val="none"/>
        </w:rPr>
        <w:t>缺陷责任</w:t>
      </w:r>
      <w:bookmarkEnd w:id="2686"/>
      <w:r>
        <w:rPr>
          <w:rFonts w:hint="eastAsia" w:ascii="仿宋_GB2312" w:hAnsi="仿宋_GB2312" w:eastAsia="仿宋_GB2312" w:cs="仿宋_GB2312"/>
          <w:color w:val="auto"/>
          <w:sz w:val="32"/>
          <w:szCs w:val="32"/>
          <w:highlight w:val="none"/>
          <w:u w:val="none"/>
        </w:rPr>
        <w:t>期</w:t>
      </w:r>
      <w:bookmarkEnd w:id="2726"/>
      <w:bookmarkEnd w:id="2727"/>
      <w:bookmarkEnd w:id="2728"/>
      <w:bookmarkEnd w:id="2729"/>
      <w:bookmarkEnd w:id="2730"/>
      <w:bookmarkEnd w:id="2731"/>
      <w:bookmarkEnd w:id="2732"/>
      <w:bookmarkEnd w:id="2733"/>
    </w:p>
    <w:p w14:paraId="3268A111">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缺陷责任期的具体期限：</w:t>
      </w:r>
      <w:r>
        <w:rPr>
          <w:rFonts w:hint="eastAsia" w:ascii="仿宋_GB2312" w:hAnsi="仿宋_GB2312" w:eastAsia="仿宋_GB2312" w:cs="仿宋_GB2312"/>
          <w:color w:val="000000"/>
          <w:sz w:val="32"/>
          <w:szCs w:val="32"/>
          <w:highlight w:val="none"/>
          <w:u w:val="none"/>
        </w:rPr>
        <w:t>缺陷责任期为</w:t>
      </w:r>
      <w:r>
        <w:rPr>
          <w:rFonts w:hint="eastAsia" w:ascii="仿宋_GB2312" w:hAnsi="仿宋_GB2312" w:eastAsia="仿宋_GB2312" w:cs="仿宋_GB2312"/>
          <w:color w:val="000000"/>
          <w:sz w:val="32"/>
          <w:szCs w:val="32"/>
          <w:highlight w:val="none"/>
          <w:u w:val="none"/>
          <w:lang w:val="en-US" w:eastAsia="zh-CN"/>
        </w:rPr>
        <w:t>730日历天</w:t>
      </w:r>
      <w:r>
        <w:rPr>
          <w:rFonts w:hint="eastAsia" w:ascii="仿宋_GB2312" w:hAnsi="仿宋_GB2312" w:eastAsia="仿宋_GB2312" w:cs="仿宋_GB2312"/>
          <w:color w:val="000000"/>
          <w:sz w:val="32"/>
          <w:szCs w:val="32"/>
          <w:highlight w:val="none"/>
          <w:u w:val="none"/>
        </w:rPr>
        <w:t>，自工程竣工验收合格之日起计。</w:t>
      </w:r>
    </w:p>
    <w:p w14:paraId="084E1923">
      <w:pPr>
        <w:pageBreakBefore w:val="0"/>
        <w:kinsoku/>
        <w:wordWrap/>
        <w:overflowPunct/>
        <w:topLinePunct w:val="0"/>
        <w:bidi w:val="0"/>
        <w:adjustRightInd w:val="0"/>
        <w:snapToGrid w:val="0"/>
        <w:spacing w:line="560" w:lineRule="exact"/>
        <w:ind w:firstLine="640" w:firstLineChars="200"/>
        <w:jc w:val="both"/>
        <w:outlineLvl w:val="9"/>
        <w:rPr>
          <w:rFonts w:hint="eastAsia" w:ascii="仿宋_GB2312" w:hAnsi="仿宋_GB2312" w:eastAsia="仿宋_GB2312" w:cs="仿宋_GB2312"/>
          <w:color w:val="auto"/>
          <w:sz w:val="32"/>
          <w:szCs w:val="32"/>
          <w:highlight w:val="none"/>
          <w:u w:val="none"/>
        </w:rPr>
      </w:pPr>
      <w:bookmarkStart w:id="2734" w:name="_Toc16114"/>
      <w:bookmarkStart w:id="2735" w:name="_Toc25984"/>
      <w:bookmarkStart w:id="2736" w:name="_Toc18005"/>
      <w:bookmarkStart w:id="2737" w:name="_Toc32125"/>
      <w:bookmarkStart w:id="2738" w:name="_Toc961"/>
      <w:bookmarkStart w:id="2739" w:name="_Toc19234"/>
      <w:bookmarkStart w:id="2740" w:name="_Toc1257"/>
      <w:bookmarkStart w:id="2741" w:name="_Toc18562"/>
      <w:r>
        <w:rPr>
          <w:rFonts w:hint="eastAsia" w:ascii="仿宋_GB2312" w:hAnsi="仿宋_GB2312" w:eastAsia="仿宋_GB2312" w:cs="仿宋_GB2312"/>
          <w:color w:val="auto"/>
          <w:sz w:val="32"/>
          <w:szCs w:val="32"/>
          <w:highlight w:val="none"/>
          <w:u w:val="none"/>
        </w:rPr>
        <w:t>1</w:t>
      </w:r>
      <w:r>
        <w:rPr>
          <w:rFonts w:hint="eastAsia" w:ascii="仿宋_GB2312" w:hAnsi="仿宋_GB2312" w:eastAsia="仿宋_GB2312" w:cs="仿宋_GB2312"/>
          <w:color w:val="auto"/>
          <w:sz w:val="32"/>
          <w:szCs w:val="32"/>
          <w:highlight w:val="none"/>
          <w:u w:val="none"/>
          <w:lang w:val="en-US" w:eastAsia="zh-CN"/>
        </w:rPr>
        <w:t>5</w:t>
      </w:r>
      <w:r>
        <w:rPr>
          <w:rFonts w:hint="eastAsia" w:ascii="仿宋_GB2312" w:hAnsi="仿宋_GB2312" w:eastAsia="仿宋_GB2312" w:cs="仿宋_GB2312"/>
          <w:color w:val="auto"/>
          <w:sz w:val="32"/>
          <w:szCs w:val="32"/>
          <w:highlight w:val="none"/>
          <w:u w:val="none"/>
        </w:rPr>
        <w:t>.</w:t>
      </w:r>
      <w:r>
        <w:rPr>
          <w:rFonts w:hint="eastAsia" w:ascii="仿宋_GB2312" w:hAnsi="仿宋_GB2312" w:eastAsia="仿宋_GB2312" w:cs="仿宋_GB2312"/>
          <w:color w:val="auto"/>
          <w:sz w:val="32"/>
          <w:szCs w:val="32"/>
          <w:highlight w:val="none"/>
          <w:u w:val="none"/>
          <w:lang w:val="en-US" w:eastAsia="zh-CN"/>
        </w:rPr>
        <w:t>3</w:t>
      </w:r>
      <w:r>
        <w:rPr>
          <w:rFonts w:hint="eastAsia" w:ascii="仿宋_GB2312" w:hAnsi="仿宋_GB2312" w:eastAsia="仿宋_GB2312" w:cs="仿宋_GB2312"/>
          <w:color w:val="auto"/>
          <w:sz w:val="32"/>
          <w:szCs w:val="32"/>
          <w:highlight w:val="none"/>
          <w:u w:val="none"/>
        </w:rPr>
        <w:t xml:space="preserve"> 质量保证金</w:t>
      </w:r>
      <w:bookmarkEnd w:id="2734"/>
      <w:bookmarkEnd w:id="2735"/>
      <w:bookmarkEnd w:id="2736"/>
      <w:bookmarkEnd w:id="2737"/>
      <w:bookmarkEnd w:id="2738"/>
      <w:bookmarkEnd w:id="2739"/>
      <w:bookmarkEnd w:id="2740"/>
      <w:bookmarkEnd w:id="2741"/>
    </w:p>
    <w:p w14:paraId="1EB86D69">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关于是否扣留质量保证金的约定：是。</w:t>
      </w:r>
    </w:p>
    <w:p w14:paraId="30BA2B56">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在工程项目竣工前，承包人按专用合同条款第3.7条提供履约担保的，发包人不得同时预留工程质量保证金。</w:t>
      </w:r>
    </w:p>
    <w:p w14:paraId="7A18177D">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.1 承包人提供质量保证金的方式</w:t>
      </w:r>
    </w:p>
    <w:p w14:paraId="333FA1BA">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质量保证金采用以下第</w:t>
      </w:r>
      <w:permStart w:id="87" w:edGrp="everyone"/>
      <w:r>
        <w:rPr>
          <w:rFonts w:hint="eastAsia" w:ascii="仿宋_GB2312" w:hAnsi="仿宋_GB2312" w:eastAsia="仿宋_GB2312" w:cs="仿宋_GB2312"/>
          <w:color w:val="auto"/>
          <w:sz w:val="32"/>
          <w:szCs w:val="32"/>
          <w:highlight w:val="none"/>
          <w:u w:val="single"/>
          <w:lang w:val="en-US" w:eastAsia="zh-CN"/>
        </w:rPr>
        <w:t xml:space="preserve">  2  </w:t>
      </w:r>
      <w:permEnd w:id="87"/>
      <w:r>
        <w:rPr>
          <w:rFonts w:hint="eastAsia" w:ascii="仿宋_GB2312" w:hAnsi="仿宋_GB2312" w:eastAsia="仿宋_GB2312" w:cs="仿宋_GB2312"/>
          <w:color w:val="auto"/>
          <w:sz w:val="32"/>
          <w:szCs w:val="32"/>
          <w:highlight w:val="none"/>
        </w:rPr>
        <w:t>种方式：</w:t>
      </w:r>
    </w:p>
    <w:p w14:paraId="5A1DFC18">
      <w:pPr>
        <w:pageBreakBefore w:val="0"/>
        <w:kinsoku/>
        <w:wordWrap/>
        <w:overflowPunct/>
        <w:topLinePunct w:val="0"/>
        <w:autoSpaceDE w:val="0"/>
        <w:autoSpaceDN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rPr>
        <w:t>（1）质量保</w:t>
      </w:r>
      <w:r>
        <w:rPr>
          <w:rFonts w:hint="eastAsia" w:ascii="仿宋_GB2312" w:hAnsi="仿宋_GB2312" w:eastAsia="仿宋_GB2312" w:cs="仿宋_GB2312"/>
          <w:color w:val="auto"/>
          <w:kern w:val="0"/>
          <w:sz w:val="32"/>
          <w:szCs w:val="32"/>
          <w:highlight w:val="none"/>
          <w:u w:val="none"/>
        </w:rPr>
        <w:t>证金保函，保证金额为：</w:t>
      </w:r>
      <w:r>
        <w:rPr>
          <w:rFonts w:hint="eastAsia" w:ascii="仿宋_GB2312" w:hAnsi="仿宋_GB2312" w:eastAsia="仿宋_GB2312" w:cs="仿宋_GB2312"/>
          <w:color w:val="auto"/>
          <w:sz w:val="32"/>
          <w:szCs w:val="32"/>
          <w:highlight w:val="none"/>
          <w:u w:val="none"/>
          <w:lang w:val="en-US" w:eastAsia="zh-CN"/>
        </w:rPr>
        <w:t>合同</w:t>
      </w:r>
      <w:r>
        <w:rPr>
          <w:rFonts w:hint="eastAsia" w:ascii="仿宋_GB2312" w:hAnsi="仿宋_GB2312" w:eastAsia="仿宋_GB2312" w:cs="仿宋_GB2312"/>
          <w:color w:val="auto"/>
          <w:sz w:val="32"/>
          <w:szCs w:val="32"/>
          <w:highlight w:val="none"/>
          <w:u w:val="none"/>
        </w:rPr>
        <w:t>结算</w:t>
      </w:r>
      <w:r>
        <w:rPr>
          <w:rFonts w:hint="eastAsia" w:ascii="仿宋_GB2312" w:hAnsi="仿宋_GB2312" w:eastAsia="仿宋_GB2312" w:cs="仿宋_GB2312"/>
          <w:color w:val="auto"/>
          <w:sz w:val="32"/>
          <w:szCs w:val="32"/>
          <w:highlight w:val="none"/>
          <w:u w:val="none"/>
          <w:lang w:val="en-US" w:eastAsia="zh-CN"/>
        </w:rPr>
        <w:t>总</w:t>
      </w:r>
      <w:r>
        <w:rPr>
          <w:rFonts w:hint="eastAsia" w:ascii="仿宋_GB2312" w:hAnsi="仿宋_GB2312" w:eastAsia="仿宋_GB2312" w:cs="仿宋_GB2312"/>
          <w:color w:val="auto"/>
          <w:sz w:val="32"/>
          <w:szCs w:val="32"/>
          <w:highlight w:val="none"/>
          <w:u w:val="none"/>
        </w:rPr>
        <w:t>价</w:t>
      </w:r>
      <w:r>
        <w:rPr>
          <w:rFonts w:hint="eastAsia" w:ascii="仿宋_GB2312" w:hAnsi="仿宋_GB2312" w:eastAsia="仿宋_GB2312" w:cs="仿宋_GB2312"/>
          <w:color w:val="auto"/>
          <w:kern w:val="0"/>
          <w:sz w:val="32"/>
          <w:szCs w:val="32"/>
          <w:highlight w:val="none"/>
          <w:u w:val="none"/>
          <w:lang w:val="en-US" w:eastAsia="zh-CN"/>
        </w:rPr>
        <w:t>3%</w:t>
      </w:r>
      <w:r>
        <w:rPr>
          <w:rFonts w:hint="eastAsia" w:ascii="仿宋_GB2312" w:hAnsi="仿宋_GB2312" w:eastAsia="仿宋_GB2312" w:cs="仿宋_GB2312"/>
          <w:color w:val="auto"/>
          <w:kern w:val="0"/>
          <w:sz w:val="32"/>
          <w:szCs w:val="32"/>
          <w:highlight w:val="none"/>
          <w:u w:val="none"/>
        </w:rPr>
        <w:t xml:space="preserve">； </w:t>
      </w:r>
    </w:p>
    <w:p w14:paraId="0ACE47F8">
      <w:pPr>
        <w:pageBreakBefore w:val="0"/>
        <w:kinsoku/>
        <w:wordWrap/>
        <w:overflowPunct/>
        <w:topLinePunct w:val="0"/>
        <w:autoSpaceDE w:val="0"/>
        <w:autoSpaceDN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u w:val="none"/>
        </w:rPr>
        <w:t>（2）</w:t>
      </w:r>
      <w:r>
        <w:rPr>
          <w:rFonts w:hint="eastAsia" w:ascii="仿宋_GB2312" w:hAnsi="仿宋_GB2312" w:eastAsia="仿宋_GB2312" w:cs="仿宋_GB2312"/>
          <w:color w:val="auto"/>
          <w:sz w:val="32"/>
          <w:szCs w:val="32"/>
          <w:highlight w:val="none"/>
          <w:u w:val="none"/>
          <w:lang w:val="en-US" w:eastAsia="zh-CN"/>
        </w:rPr>
        <w:t>合同</w:t>
      </w:r>
      <w:r>
        <w:rPr>
          <w:rFonts w:hint="eastAsia" w:ascii="仿宋_GB2312" w:hAnsi="仿宋_GB2312" w:eastAsia="仿宋_GB2312" w:cs="仿宋_GB2312"/>
          <w:color w:val="auto"/>
          <w:sz w:val="32"/>
          <w:szCs w:val="32"/>
          <w:highlight w:val="none"/>
          <w:u w:val="none"/>
        </w:rPr>
        <w:t>结算</w:t>
      </w:r>
      <w:r>
        <w:rPr>
          <w:rFonts w:hint="eastAsia" w:ascii="仿宋_GB2312" w:hAnsi="仿宋_GB2312" w:eastAsia="仿宋_GB2312" w:cs="仿宋_GB2312"/>
          <w:color w:val="auto"/>
          <w:sz w:val="32"/>
          <w:szCs w:val="32"/>
          <w:highlight w:val="none"/>
          <w:u w:val="none"/>
          <w:lang w:val="en-US" w:eastAsia="zh-CN"/>
        </w:rPr>
        <w:t>总</w:t>
      </w:r>
      <w:r>
        <w:rPr>
          <w:rFonts w:hint="eastAsia" w:ascii="仿宋_GB2312" w:hAnsi="仿宋_GB2312" w:eastAsia="仿宋_GB2312" w:cs="仿宋_GB2312"/>
          <w:color w:val="auto"/>
          <w:sz w:val="32"/>
          <w:szCs w:val="32"/>
          <w:highlight w:val="none"/>
          <w:u w:val="none"/>
        </w:rPr>
        <w:t>价</w:t>
      </w:r>
      <w:r>
        <w:rPr>
          <w:rFonts w:hint="eastAsia" w:ascii="仿宋_GB2312" w:hAnsi="仿宋_GB2312" w:eastAsia="仿宋_GB2312" w:cs="仿宋_GB2312"/>
          <w:color w:val="auto"/>
          <w:kern w:val="0"/>
          <w:sz w:val="32"/>
          <w:szCs w:val="32"/>
          <w:highlight w:val="none"/>
          <w:u w:val="none"/>
        </w:rPr>
        <w:t>3%的</w:t>
      </w:r>
      <w:r>
        <w:rPr>
          <w:rFonts w:hint="eastAsia" w:ascii="仿宋_GB2312" w:hAnsi="仿宋_GB2312" w:eastAsia="仿宋_GB2312" w:cs="仿宋_GB2312"/>
          <w:color w:val="auto"/>
          <w:kern w:val="0"/>
          <w:sz w:val="32"/>
          <w:szCs w:val="32"/>
          <w:highlight w:val="none"/>
        </w:rPr>
        <w:t>工程款；</w:t>
      </w:r>
    </w:p>
    <w:p w14:paraId="1E02C9FE">
      <w:pPr>
        <w:pageBreakBefore w:val="0"/>
        <w:kinsoku/>
        <w:wordWrap/>
        <w:overflowPunct/>
        <w:topLinePunct w:val="0"/>
        <w:autoSpaceDE w:val="0"/>
        <w:autoSpaceDN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（3）其他方式</w:t>
      </w:r>
      <w:r>
        <w:rPr>
          <w:rFonts w:hint="eastAsia" w:ascii="仿宋_GB2312" w:hAnsi="仿宋_GB2312" w:eastAsia="仿宋_GB2312" w:cs="仿宋_GB2312"/>
          <w:color w:val="auto"/>
          <w:kern w:val="0"/>
          <w:sz w:val="32"/>
          <w:szCs w:val="32"/>
          <w:highlight w:val="none"/>
          <w:lang w:eastAsia="zh-CN"/>
        </w:rPr>
        <w:t>：</w:t>
      </w:r>
      <w:permStart w:id="88" w:edGrp="everyone"/>
      <w:r>
        <w:rPr>
          <w:rFonts w:hint="eastAsia" w:ascii="仿宋_GB2312" w:hAnsi="仿宋_GB2312" w:eastAsia="仿宋_GB2312" w:cs="仿宋_GB2312"/>
          <w:color w:val="auto"/>
          <w:kern w:val="0"/>
          <w:sz w:val="32"/>
          <w:szCs w:val="32"/>
          <w:highlight w:val="none"/>
          <w:u w:val="single"/>
          <w:lang w:val="en-US" w:eastAsia="zh-CN"/>
        </w:rPr>
        <w:t xml:space="preserve">  </w:t>
      </w:r>
      <w:permEnd w:id="88"/>
      <w:r>
        <w:rPr>
          <w:rFonts w:hint="eastAsia" w:ascii="仿宋_GB2312" w:hAnsi="仿宋_GB2312" w:eastAsia="仿宋_GB2312" w:cs="仿宋_GB2312"/>
          <w:color w:val="auto"/>
          <w:kern w:val="0"/>
          <w:sz w:val="32"/>
          <w:szCs w:val="32"/>
          <w:highlight w:val="none"/>
        </w:rPr>
        <w:t>。</w:t>
      </w:r>
    </w:p>
    <w:p w14:paraId="69743977">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 xml:space="preserve">.2 质量保证金的扣留 </w:t>
      </w:r>
    </w:p>
    <w:p w14:paraId="3246A633">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质量保证金的扣留采取以下第</w:t>
      </w:r>
      <w:permStart w:id="89" w:edGrp="everyone"/>
      <w:r>
        <w:rPr>
          <w:rFonts w:hint="eastAsia" w:ascii="仿宋_GB2312" w:hAnsi="仿宋_GB2312" w:eastAsia="仿宋_GB2312" w:cs="仿宋_GB2312"/>
          <w:color w:val="auto"/>
          <w:sz w:val="32"/>
          <w:szCs w:val="32"/>
          <w:highlight w:val="none"/>
          <w:u w:val="single"/>
          <w:lang w:val="en-US" w:eastAsia="zh-CN"/>
        </w:rPr>
        <w:t xml:space="preserve">  2  </w:t>
      </w:r>
      <w:permEnd w:id="89"/>
      <w:r>
        <w:rPr>
          <w:rFonts w:hint="eastAsia" w:ascii="仿宋_GB2312" w:hAnsi="仿宋_GB2312" w:eastAsia="仿宋_GB2312" w:cs="仿宋_GB2312"/>
          <w:color w:val="auto"/>
          <w:sz w:val="32"/>
          <w:szCs w:val="32"/>
          <w:highlight w:val="none"/>
        </w:rPr>
        <w:t>种方式：</w:t>
      </w:r>
    </w:p>
    <w:p w14:paraId="037347BB">
      <w:pPr>
        <w:pageBreakBefore w:val="0"/>
        <w:kinsoku/>
        <w:wordWrap/>
        <w:overflowPunct/>
        <w:topLinePunct w:val="0"/>
        <w:autoSpaceDE w:val="0"/>
        <w:autoSpaceDN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（1）在支付工程进度款时逐次扣留，在此情形下，质量保证金的计算基数不包括预付款的支付、扣回以及价格调整的金额；</w:t>
      </w:r>
    </w:p>
    <w:p w14:paraId="21CBDD37">
      <w:pPr>
        <w:pageBreakBefore w:val="0"/>
        <w:kinsoku/>
        <w:wordWrap/>
        <w:overflowPunct/>
        <w:topLinePunct w:val="0"/>
        <w:autoSpaceDE w:val="0"/>
        <w:autoSpaceDN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（2）工程竣工结算时一次性扣留质量保证金；</w:t>
      </w:r>
    </w:p>
    <w:p w14:paraId="788C0B7B">
      <w:pPr>
        <w:pageBreakBefore w:val="0"/>
        <w:kinsoku/>
        <w:wordWrap/>
        <w:overflowPunct/>
        <w:topLinePunct w:val="0"/>
        <w:autoSpaceDE w:val="0"/>
        <w:autoSpaceDN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rPr>
        <w:t>（3）其他扣留方式</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sz w:val="32"/>
          <w:szCs w:val="32"/>
          <w:highlight w:val="none"/>
          <w:u w:val="none"/>
        </w:rPr>
        <w:t>承包人在项目完成工程竣工验收后5日以内向发包</w:t>
      </w:r>
      <w:r>
        <w:rPr>
          <w:rFonts w:hint="eastAsia" w:ascii="仿宋_GB2312" w:hAnsi="仿宋_GB2312" w:eastAsia="仿宋_GB2312" w:cs="仿宋_GB2312"/>
          <w:color w:val="auto"/>
          <w:sz w:val="32"/>
          <w:szCs w:val="32"/>
          <w:highlight w:val="none"/>
          <w:u w:val="none"/>
          <w:lang w:eastAsia="zh-CN"/>
        </w:rPr>
        <w:t>人提</w:t>
      </w:r>
      <w:r>
        <w:rPr>
          <w:rFonts w:hint="eastAsia" w:ascii="仿宋_GB2312" w:hAnsi="仿宋_GB2312" w:eastAsia="仿宋_GB2312" w:cs="仿宋_GB2312"/>
          <w:color w:val="auto"/>
          <w:sz w:val="32"/>
          <w:szCs w:val="32"/>
          <w:highlight w:val="none"/>
          <w:u w:val="none"/>
        </w:rPr>
        <w:t>交质量保证金或银行保函。</w:t>
      </w:r>
    </w:p>
    <w:p w14:paraId="32757B7E">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rPr>
        <w:t>关于质量保证金的补充约定：</w:t>
      </w:r>
      <w:r>
        <w:rPr>
          <w:rFonts w:hint="eastAsia" w:ascii="仿宋_GB2312" w:hAnsi="仿宋_GB2312" w:eastAsia="仿宋_GB2312" w:cs="仿宋_GB2312"/>
          <w:color w:val="auto"/>
          <w:sz w:val="32"/>
          <w:szCs w:val="32"/>
          <w:highlight w:val="none"/>
          <w:u w:val="none"/>
        </w:rPr>
        <w:t>如承包人未在项目完成工程竣工验收后 5 日以内向发包</w:t>
      </w:r>
      <w:r>
        <w:rPr>
          <w:rFonts w:hint="eastAsia" w:ascii="仿宋_GB2312" w:hAnsi="仿宋_GB2312" w:eastAsia="仿宋_GB2312" w:cs="仿宋_GB2312"/>
          <w:color w:val="auto"/>
          <w:sz w:val="32"/>
          <w:szCs w:val="32"/>
          <w:highlight w:val="none"/>
          <w:u w:val="none"/>
          <w:lang w:eastAsia="zh-CN"/>
        </w:rPr>
        <w:t>人提</w:t>
      </w:r>
      <w:r>
        <w:rPr>
          <w:rFonts w:hint="eastAsia" w:ascii="仿宋_GB2312" w:hAnsi="仿宋_GB2312" w:eastAsia="仿宋_GB2312" w:cs="仿宋_GB2312"/>
          <w:color w:val="auto"/>
          <w:sz w:val="32"/>
          <w:szCs w:val="32"/>
          <w:highlight w:val="none"/>
          <w:u w:val="none"/>
        </w:rPr>
        <w:t>交质量保证金银行保函的，发包人有权在先行扣除质量保证金后再支付剩余工程款项 。</w:t>
      </w:r>
    </w:p>
    <w:p w14:paraId="24B86E2C">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缺陷责任期满，发包人在扣留应由承包人承担的维修等费用后无息返还质量保证金余额</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lang w:val="en-US" w:eastAsia="zh-CN"/>
        </w:rPr>
        <w:t>或质量保证金银行保函</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rPr>
        <w:t>。</w:t>
      </w:r>
    </w:p>
    <w:bookmarkEnd w:id="2687"/>
    <w:bookmarkEnd w:id="2688"/>
    <w:p w14:paraId="60DC511D">
      <w:pPr>
        <w:pageBreakBefore w:val="0"/>
        <w:kinsoku/>
        <w:wordWrap/>
        <w:overflowPunct/>
        <w:topLinePunct w:val="0"/>
        <w:bidi w:val="0"/>
        <w:adjustRightInd w:val="0"/>
        <w:snapToGrid w:val="0"/>
        <w:spacing w:line="560" w:lineRule="exact"/>
        <w:ind w:firstLine="640" w:firstLineChars="200"/>
        <w:jc w:val="both"/>
        <w:outlineLvl w:val="9"/>
        <w:rPr>
          <w:rFonts w:hint="eastAsia" w:ascii="仿宋_GB2312" w:hAnsi="仿宋_GB2312" w:eastAsia="仿宋_GB2312" w:cs="仿宋_GB2312"/>
          <w:color w:val="auto"/>
          <w:sz w:val="32"/>
          <w:szCs w:val="32"/>
          <w:highlight w:val="none"/>
        </w:rPr>
      </w:pPr>
      <w:bookmarkStart w:id="2742" w:name="_Toc15479"/>
      <w:bookmarkStart w:id="2743" w:name="_Toc19779"/>
      <w:bookmarkStart w:id="2744" w:name="_Toc14711"/>
      <w:bookmarkStart w:id="2745" w:name="_Toc3326"/>
      <w:bookmarkStart w:id="2746" w:name="_Toc17673"/>
      <w:bookmarkStart w:id="2747" w:name="_Toc28145"/>
      <w:bookmarkStart w:id="2748" w:name="_Toc1091"/>
      <w:bookmarkStart w:id="2749" w:name="_Toc17133"/>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rPr>
        <w:t>保修</w:t>
      </w:r>
      <w:bookmarkEnd w:id="2689"/>
      <w:bookmarkEnd w:id="2742"/>
      <w:bookmarkEnd w:id="2743"/>
      <w:bookmarkEnd w:id="2744"/>
      <w:bookmarkEnd w:id="2745"/>
      <w:bookmarkEnd w:id="2746"/>
      <w:bookmarkEnd w:id="2747"/>
      <w:bookmarkEnd w:id="2748"/>
      <w:bookmarkEnd w:id="2749"/>
    </w:p>
    <w:p w14:paraId="4B12DFF8">
      <w:pPr>
        <w:pageBreakBefore w:val="0"/>
        <w:kinsoku/>
        <w:wordWrap/>
        <w:overflowPunct/>
        <w:topLinePunct w:val="0"/>
        <w:bidi w:val="0"/>
        <w:adjustRightInd w:val="0"/>
        <w:snapToGrid w:val="0"/>
        <w:spacing w:line="560" w:lineRule="exact"/>
        <w:ind w:firstLine="624" w:firstLineChars="195"/>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rPr>
        <w:t>.1 保修责任</w:t>
      </w:r>
    </w:p>
    <w:p w14:paraId="060894F1">
      <w:pPr>
        <w:pageBreakBefore w:val="0"/>
        <w:kinsoku/>
        <w:wordWrap/>
        <w:overflowPunct/>
        <w:topLinePunct w:val="0"/>
        <w:bidi w:val="0"/>
        <w:adjustRightInd w:val="0"/>
        <w:snapToGrid w:val="0"/>
        <w:spacing w:line="560" w:lineRule="exact"/>
        <w:ind w:firstLine="624" w:firstLineChars="195"/>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sz w:val="32"/>
          <w:szCs w:val="32"/>
          <w:highlight w:val="none"/>
        </w:rPr>
        <w:t>工程保修期为：</w:t>
      </w:r>
      <w:r>
        <w:rPr>
          <w:rFonts w:hint="eastAsia" w:ascii="仿宋_GB2312" w:hAnsi="仿宋_GB2312" w:eastAsia="仿宋_GB2312" w:cs="仿宋_GB2312"/>
          <w:kern w:val="0"/>
          <w:sz w:val="32"/>
          <w:szCs w:val="32"/>
          <w:u w:val="none"/>
          <w:lang w:val="en-US" w:eastAsia="zh-CN"/>
        </w:rPr>
        <w:t>按</w:t>
      </w:r>
      <w:r>
        <w:rPr>
          <w:rFonts w:hint="eastAsia" w:ascii="仿宋_GB2312" w:hAnsi="仿宋_GB2312" w:eastAsia="仿宋_GB2312" w:cs="仿宋_GB2312"/>
          <w:kern w:val="0"/>
          <w:sz w:val="32"/>
          <w:szCs w:val="32"/>
          <w:u w:val="none"/>
        </w:rPr>
        <w:t>《中华人民共和国建筑法</w:t>
      </w:r>
      <w:r>
        <w:rPr>
          <w:rFonts w:hint="eastAsia" w:ascii="仿宋_GB2312" w:hAnsi="仿宋_GB2312" w:eastAsia="仿宋_GB2312" w:cs="仿宋_GB2312"/>
          <w:kern w:val="0"/>
          <w:sz w:val="32"/>
          <w:szCs w:val="32"/>
          <w:u w:val="none"/>
          <w:lang w:eastAsia="zh-CN"/>
        </w:rPr>
        <w:t>》《</w:t>
      </w:r>
      <w:r>
        <w:rPr>
          <w:rFonts w:hint="eastAsia" w:ascii="仿宋_GB2312" w:hAnsi="仿宋_GB2312" w:eastAsia="仿宋_GB2312" w:cs="仿宋_GB2312"/>
          <w:kern w:val="0"/>
          <w:sz w:val="32"/>
          <w:szCs w:val="32"/>
          <w:u w:val="none"/>
        </w:rPr>
        <w:t>建设工程质量管理条例》等法律法规</w:t>
      </w:r>
      <w:r>
        <w:rPr>
          <w:rFonts w:hint="eastAsia" w:ascii="仿宋_GB2312" w:hAnsi="仿宋_GB2312" w:eastAsia="仿宋_GB2312" w:cs="仿宋_GB2312"/>
          <w:kern w:val="0"/>
          <w:sz w:val="32"/>
          <w:szCs w:val="32"/>
          <w:u w:val="none"/>
          <w:lang w:val="en-US" w:eastAsia="zh-CN"/>
        </w:rPr>
        <w:t>及本合同附件9的约定</w:t>
      </w:r>
      <w:r>
        <w:rPr>
          <w:rFonts w:hint="eastAsia" w:ascii="仿宋_GB2312" w:hAnsi="仿宋_GB2312" w:eastAsia="仿宋_GB2312" w:cs="仿宋_GB2312"/>
          <w:kern w:val="0"/>
          <w:sz w:val="32"/>
          <w:szCs w:val="32"/>
          <w:u w:val="none"/>
        </w:rPr>
        <w:t xml:space="preserve">执行 </w:t>
      </w:r>
      <w:r>
        <w:rPr>
          <w:rFonts w:hint="eastAsia" w:ascii="仿宋_GB2312" w:hAnsi="仿宋_GB2312" w:eastAsia="仿宋_GB2312" w:cs="仿宋_GB2312"/>
          <w:color w:val="auto"/>
          <w:kern w:val="0"/>
          <w:sz w:val="32"/>
          <w:szCs w:val="32"/>
          <w:highlight w:val="none"/>
        </w:rPr>
        <w:t>。</w:t>
      </w:r>
    </w:p>
    <w:p w14:paraId="5ED22551">
      <w:pPr>
        <w:pageBreakBefore w:val="0"/>
        <w:kinsoku/>
        <w:wordWrap/>
        <w:overflowPunct/>
        <w:topLinePunct w:val="0"/>
        <w:bidi w:val="0"/>
        <w:adjustRightInd w:val="0"/>
        <w:snapToGrid w:val="0"/>
        <w:spacing w:line="560" w:lineRule="exact"/>
        <w:ind w:firstLine="624" w:firstLineChars="195"/>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 xml:space="preserve"> 修复通知</w:t>
      </w:r>
    </w:p>
    <w:p w14:paraId="03E51802">
      <w:pPr>
        <w:pageBreakBefore w:val="0"/>
        <w:kinsoku/>
        <w:wordWrap/>
        <w:overflowPunct/>
        <w:topLinePunct w:val="0"/>
        <w:bidi w:val="0"/>
        <w:adjustRightInd w:val="0"/>
        <w:snapToGrid w:val="0"/>
        <w:spacing w:line="560" w:lineRule="exact"/>
        <w:ind w:firstLine="624" w:firstLineChars="195"/>
        <w:jc w:val="both"/>
        <w:rPr>
          <w:rFonts w:hint="eastAsia" w:ascii="仿宋_GB2312" w:hAnsi="仿宋_GB2312" w:eastAsia="仿宋_GB2312" w:cs="仿宋_GB2312"/>
          <w:color w:val="auto"/>
          <w:kern w:val="0"/>
          <w:sz w:val="32"/>
          <w:szCs w:val="32"/>
          <w:highlight w:val="none"/>
          <w:u w:val="single"/>
        </w:rPr>
      </w:pPr>
      <w:r>
        <w:rPr>
          <w:rFonts w:hint="eastAsia" w:ascii="仿宋_GB2312" w:hAnsi="仿宋_GB2312" w:eastAsia="仿宋_GB2312" w:cs="仿宋_GB2312"/>
          <w:color w:val="auto"/>
          <w:kern w:val="0"/>
          <w:sz w:val="32"/>
          <w:szCs w:val="32"/>
          <w:highlight w:val="none"/>
        </w:rPr>
        <w:t>承包人收到保修通知并到达工程现场的合理时间：</w:t>
      </w:r>
      <w:r>
        <w:rPr>
          <w:rFonts w:hint="eastAsia" w:ascii="仿宋_GB2312" w:hAnsi="仿宋_GB2312" w:eastAsia="仿宋_GB2312" w:cs="仿宋_GB2312"/>
          <w:color w:val="auto"/>
          <w:kern w:val="0"/>
          <w:sz w:val="32"/>
          <w:szCs w:val="32"/>
          <w:highlight w:val="none"/>
          <w:u w:val="none"/>
        </w:rPr>
        <w:t>应在48小时内到达现场，若承包人未按约定时间到达，发包人有权另行委托第三方进行保修，费用从承包人质保金中支付。质量保证金余额不足的，承包人应在接到发包人支付通知后7日内补足，否则，承包人应每延误一日按照欠付金额的千分之五承担违约金。</w:t>
      </w:r>
      <w:bookmarkEnd w:id="2690"/>
      <w:bookmarkEnd w:id="2691"/>
      <w:bookmarkEnd w:id="2692"/>
      <w:bookmarkEnd w:id="2693"/>
      <w:bookmarkStart w:id="2750" w:name="_Toc351203648"/>
      <w:bookmarkStart w:id="2751" w:name="_Toc280868717"/>
      <w:bookmarkStart w:id="2752" w:name="_Toc280868718"/>
    </w:p>
    <w:p w14:paraId="34A7AC84">
      <w:pPr>
        <w:pageBreakBefore w:val="0"/>
        <w:widowControl/>
        <w:kinsoku/>
        <w:wordWrap/>
        <w:overflowPunct/>
        <w:topLinePunct w:val="0"/>
        <w:bidi w:val="0"/>
        <w:adjustRightInd w:val="0"/>
        <w:snapToGrid w:val="0"/>
        <w:spacing w:line="560" w:lineRule="exact"/>
        <w:ind w:firstLine="640" w:firstLineChars="200"/>
        <w:jc w:val="both"/>
        <w:outlineLvl w:val="9"/>
        <w:rPr>
          <w:rFonts w:hint="eastAsia" w:ascii="黑体" w:hAnsi="黑体" w:eastAsia="黑体" w:cs="黑体"/>
          <w:b w:val="0"/>
          <w:bCs/>
          <w:color w:val="auto"/>
          <w:sz w:val="32"/>
          <w:szCs w:val="32"/>
          <w:highlight w:val="none"/>
        </w:rPr>
      </w:pPr>
      <w:bookmarkStart w:id="2753" w:name="_Toc601"/>
      <w:bookmarkStart w:id="2754" w:name="_Toc13861"/>
      <w:bookmarkStart w:id="2755" w:name="_Toc29172"/>
      <w:bookmarkStart w:id="2756" w:name="_Toc6526"/>
      <w:bookmarkStart w:id="2757" w:name="_Toc25502"/>
      <w:bookmarkStart w:id="2758" w:name="_Toc25566"/>
      <w:bookmarkStart w:id="2759" w:name="_Toc900"/>
      <w:bookmarkStart w:id="2760" w:name="_Toc32535"/>
      <w:bookmarkStart w:id="2761" w:name="_Toc11066"/>
      <w:bookmarkStart w:id="2762" w:name="_Toc7218"/>
      <w:r>
        <w:rPr>
          <w:rFonts w:hint="eastAsia" w:ascii="黑体" w:hAnsi="黑体" w:eastAsia="黑体" w:cs="黑体"/>
          <w:b w:val="0"/>
          <w:bCs/>
          <w:color w:val="auto"/>
          <w:sz w:val="32"/>
          <w:szCs w:val="32"/>
          <w:highlight w:val="none"/>
        </w:rPr>
        <w:t>1</w:t>
      </w:r>
      <w:r>
        <w:rPr>
          <w:rFonts w:hint="eastAsia" w:ascii="黑体" w:hAnsi="黑体" w:eastAsia="黑体" w:cs="黑体"/>
          <w:b w:val="0"/>
          <w:bCs/>
          <w:color w:val="auto"/>
          <w:sz w:val="32"/>
          <w:szCs w:val="32"/>
          <w:highlight w:val="none"/>
          <w:lang w:val="en-US" w:eastAsia="zh-CN"/>
        </w:rPr>
        <w:t>6</w:t>
      </w:r>
      <w:r>
        <w:rPr>
          <w:rFonts w:hint="eastAsia" w:ascii="黑体" w:hAnsi="黑体" w:eastAsia="黑体" w:cs="黑体"/>
          <w:b w:val="0"/>
          <w:bCs/>
          <w:color w:val="auto"/>
          <w:sz w:val="32"/>
          <w:szCs w:val="32"/>
          <w:highlight w:val="none"/>
        </w:rPr>
        <w:t>. 违</w:t>
      </w:r>
      <w:bookmarkEnd w:id="2750"/>
      <w:r>
        <w:rPr>
          <w:rFonts w:hint="eastAsia" w:ascii="黑体" w:hAnsi="黑体" w:eastAsia="黑体" w:cs="黑体"/>
          <w:b w:val="0"/>
          <w:bCs/>
          <w:color w:val="auto"/>
          <w:sz w:val="32"/>
          <w:szCs w:val="32"/>
          <w:highlight w:val="none"/>
        </w:rPr>
        <w:t>约</w:t>
      </w:r>
      <w:bookmarkEnd w:id="2753"/>
      <w:bookmarkEnd w:id="2754"/>
      <w:bookmarkEnd w:id="2755"/>
      <w:bookmarkEnd w:id="2756"/>
      <w:bookmarkEnd w:id="2757"/>
      <w:bookmarkEnd w:id="2758"/>
      <w:bookmarkEnd w:id="2759"/>
      <w:bookmarkEnd w:id="2760"/>
      <w:bookmarkEnd w:id="2761"/>
      <w:bookmarkEnd w:id="2762"/>
    </w:p>
    <w:p w14:paraId="524DCF80">
      <w:pPr>
        <w:pageBreakBefore w:val="0"/>
        <w:kinsoku/>
        <w:wordWrap/>
        <w:overflowPunct/>
        <w:topLinePunct w:val="0"/>
        <w:bidi w:val="0"/>
        <w:adjustRightInd w:val="0"/>
        <w:snapToGrid w:val="0"/>
        <w:spacing w:line="560" w:lineRule="exact"/>
        <w:ind w:firstLine="640" w:firstLineChars="200"/>
        <w:jc w:val="both"/>
        <w:outlineLvl w:val="9"/>
        <w:rPr>
          <w:rFonts w:hint="eastAsia" w:ascii="仿宋_GB2312" w:hAnsi="仿宋_GB2312" w:eastAsia="仿宋_GB2312" w:cs="仿宋_GB2312"/>
          <w:color w:val="auto"/>
          <w:sz w:val="32"/>
          <w:szCs w:val="32"/>
          <w:highlight w:val="none"/>
        </w:rPr>
      </w:pPr>
      <w:bookmarkStart w:id="2763" w:name="_Toc31279"/>
      <w:bookmarkStart w:id="2764" w:name="_Toc28906"/>
      <w:bookmarkStart w:id="2765" w:name="_Toc15573"/>
      <w:bookmarkStart w:id="2766" w:name="_Toc25199"/>
      <w:bookmarkStart w:id="2767" w:name="_Toc26525"/>
      <w:bookmarkStart w:id="2768" w:name="_Toc11494"/>
      <w:bookmarkStart w:id="2769" w:name="_Toc5583"/>
      <w:bookmarkStart w:id="2770" w:name="_Toc24816"/>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rPr>
        <w:t>.1 发包人违约</w:t>
      </w:r>
      <w:bookmarkEnd w:id="2763"/>
      <w:bookmarkEnd w:id="2764"/>
      <w:bookmarkEnd w:id="2765"/>
      <w:bookmarkEnd w:id="2766"/>
      <w:bookmarkEnd w:id="2767"/>
      <w:bookmarkEnd w:id="2768"/>
      <w:bookmarkEnd w:id="2769"/>
      <w:bookmarkEnd w:id="2770"/>
    </w:p>
    <w:p w14:paraId="2E5E216E">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rPr>
        <w:t>.1.1发包人违约的情形</w:t>
      </w:r>
    </w:p>
    <w:p w14:paraId="72213840">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发包人违约的其他情形：</w:t>
      </w:r>
      <w:r>
        <w:rPr>
          <w:rFonts w:hint="eastAsia" w:ascii="仿宋_GB2312" w:hAnsi="仿宋_GB2312" w:eastAsia="仿宋_GB2312" w:cs="仿宋_GB2312"/>
          <w:color w:val="auto"/>
          <w:kern w:val="0"/>
          <w:sz w:val="32"/>
          <w:szCs w:val="32"/>
          <w:highlight w:val="none"/>
          <w:u w:val="single"/>
        </w:rPr>
        <w:t xml:space="preserve"> / </w:t>
      </w:r>
      <w:r>
        <w:rPr>
          <w:rFonts w:hint="eastAsia" w:ascii="仿宋_GB2312" w:hAnsi="仿宋_GB2312" w:eastAsia="仿宋_GB2312" w:cs="仿宋_GB2312"/>
          <w:color w:val="auto"/>
          <w:kern w:val="0"/>
          <w:sz w:val="32"/>
          <w:szCs w:val="32"/>
          <w:highlight w:val="none"/>
        </w:rPr>
        <w:t>。</w:t>
      </w:r>
    </w:p>
    <w:p w14:paraId="01C75E32">
      <w:pPr>
        <w:pageBreakBefore w:val="0"/>
        <w:kinsoku/>
        <w:wordWrap/>
        <w:overflowPunct/>
        <w:topLinePunct w:val="0"/>
        <w:bidi w:val="0"/>
        <w:adjustRightInd w:val="0"/>
        <w:snapToGrid w:val="0"/>
        <w:spacing w:line="560" w:lineRule="exact"/>
        <w:ind w:left="0" w:hanging="1600" w:hangingChars="5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 xml:space="preserve">    1</w:t>
      </w:r>
      <w:r>
        <w:rPr>
          <w:rFonts w:hint="eastAsia" w:ascii="仿宋_GB2312" w:hAnsi="仿宋_GB2312" w:eastAsia="仿宋_GB2312" w:cs="仿宋_GB2312"/>
          <w:color w:val="auto"/>
          <w:kern w:val="0"/>
          <w:sz w:val="32"/>
          <w:szCs w:val="32"/>
          <w:highlight w:val="none"/>
          <w:lang w:val="en-US" w:eastAsia="zh-CN"/>
        </w:rPr>
        <w:t>6</w:t>
      </w:r>
      <w:r>
        <w:rPr>
          <w:rFonts w:hint="eastAsia" w:ascii="仿宋_GB2312" w:hAnsi="仿宋_GB2312" w:eastAsia="仿宋_GB2312" w:cs="仿宋_GB2312"/>
          <w:color w:val="auto"/>
          <w:kern w:val="0"/>
          <w:sz w:val="32"/>
          <w:szCs w:val="32"/>
          <w:highlight w:val="none"/>
        </w:rPr>
        <w:t>.1.2 发包人违约的责任</w:t>
      </w:r>
    </w:p>
    <w:p w14:paraId="4F1DC829">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发包人违约责任的承担方式和计算方法：</w:t>
      </w:r>
    </w:p>
    <w:p w14:paraId="58A402F2">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single"/>
        </w:rPr>
      </w:pPr>
      <w:r>
        <w:rPr>
          <w:rFonts w:hint="eastAsia" w:ascii="仿宋_GB2312" w:hAnsi="仿宋_GB2312" w:eastAsia="仿宋_GB2312" w:cs="仿宋_GB2312"/>
          <w:color w:val="auto"/>
          <w:kern w:val="0"/>
          <w:sz w:val="32"/>
          <w:szCs w:val="32"/>
          <w:highlight w:val="none"/>
        </w:rPr>
        <w:t>（1）因发包人原因未能在计划开工日期前7天内下达开工通知的违约责任：</w:t>
      </w:r>
      <w:r>
        <w:rPr>
          <w:rFonts w:hint="eastAsia" w:ascii="仿宋_GB2312" w:hAnsi="仿宋_GB2312" w:eastAsia="仿宋_GB2312" w:cs="仿宋_GB2312"/>
          <w:color w:val="auto"/>
          <w:kern w:val="0"/>
          <w:sz w:val="32"/>
          <w:szCs w:val="32"/>
          <w:highlight w:val="none"/>
          <w:u w:val="single"/>
        </w:rPr>
        <w:t xml:space="preserve">/ </w:t>
      </w:r>
      <w:r>
        <w:rPr>
          <w:rFonts w:hint="eastAsia" w:ascii="仿宋_GB2312" w:hAnsi="仿宋_GB2312" w:eastAsia="仿宋_GB2312" w:cs="仿宋_GB2312"/>
          <w:color w:val="auto"/>
          <w:kern w:val="0"/>
          <w:sz w:val="32"/>
          <w:szCs w:val="32"/>
          <w:highlight w:val="none"/>
        </w:rPr>
        <w:t>。</w:t>
      </w:r>
    </w:p>
    <w:p w14:paraId="55951600">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（2）因发包人原因未能按合同约定支付合同价款的违约责任：</w:t>
      </w:r>
      <w:r>
        <w:rPr>
          <w:rFonts w:hint="eastAsia" w:ascii="仿宋_GB2312" w:hAnsi="仿宋_GB2312" w:eastAsia="仿宋_GB2312" w:cs="仿宋_GB2312"/>
          <w:color w:val="auto"/>
          <w:kern w:val="0"/>
          <w:sz w:val="32"/>
          <w:szCs w:val="32"/>
          <w:highlight w:val="none"/>
          <w:u w:val="single"/>
        </w:rPr>
        <w:t xml:space="preserve"> / </w:t>
      </w:r>
      <w:r>
        <w:rPr>
          <w:rFonts w:hint="eastAsia" w:ascii="仿宋_GB2312" w:hAnsi="仿宋_GB2312" w:eastAsia="仿宋_GB2312" w:cs="仿宋_GB2312"/>
          <w:color w:val="auto"/>
          <w:kern w:val="0"/>
          <w:sz w:val="32"/>
          <w:szCs w:val="32"/>
          <w:highlight w:val="none"/>
        </w:rPr>
        <w:t>。</w:t>
      </w:r>
    </w:p>
    <w:p w14:paraId="018DBFD8">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（3）发包人违反第10.1款〔变更的范围〕第（2）项约定，自行实施被取消的工作或转由他人实施的违约责任：</w:t>
      </w:r>
      <w:r>
        <w:rPr>
          <w:rFonts w:hint="eastAsia" w:ascii="仿宋_GB2312" w:hAnsi="仿宋_GB2312" w:eastAsia="仿宋_GB2312" w:cs="仿宋_GB2312"/>
          <w:color w:val="auto"/>
          <w:kern w:val="0"/>
          <w:sz w:val="32"/>
          <w:szCs w:val="32"/>
          <w:highlight w:val="none"/>
          <w:u w:val="single"/>
        </w:rPr>
        <w:t xml:space="preserve"> / </w:t>
      </w:r>
      <w:r>
        <w:rPr>
          <w:rFonts w:hint="eastAsia" w:ascii="仿宋_GB2312" w:hAnsi="仿宋_GB2312" w:eastAsia="仿宋_GB2312" w:cs="仿宋_GB2312"/>
          <w:color w:val="auto"/>
          <w:kern w:val="0"/>
          <w:sz w:val="32"/>
          <w:szCs w:val="32"/>
          <w:highlight w:val="none"/>
        </w:rPr>
        <w:t>。</w:t>
      </w:r>
    </w:p>
    <w:p w14:paraId="0352837E">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（4）发包人提供的材料、工程设备的规格、数量或质量不符合合同约定，或因发包人原因导致交货日期延误或交货地点变更等情况的违约责任：</w:t>
      </w:r>
      <w:r>
        <w:rPr>
          <w:rFonts w:hint="eastAsia" w:ascii="仿宋_GB2312" w:hAnsi="仿宋_GB2312" w:eastAsia="仿宋_GB2312" w:cs="仿宋_GB2312"/>
          <w:color w:val="auto"/>
          <w:kern w:val="0"/>
          <w:sz w:val="32"/>
          <w:szCs w:val="32"/>
          <w:highlight w:val="none"/>
          <w:u w:val="single"/>
        </w:rPr>
        <w:t xml:space="preserve">/ </w:t>
      </w:r>
      <w:r>
        <w:rPr>
          <w:rFonts w:hint="eastAsia" w:ascii="仿宋_GB2312" w:hAnsi="仿宋_GB2312" w:eastAsia="仿宋_GB2312" w:cs="仿宋_GB2312"/>
          <w:color w:val="auto"/>
          <w:kern w:val="0"/>
          <w:sz w:val="32"/>
          <w:szCs w:val="32"/>
          <w:highlight w:val="none"/>
        </w:rPr>
        <w:t>。</w:t>
      </w:r>
    </w:p>
    <w:p w14:paraId="6B03C595">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（5）因发包人违反合同约定造成暂停施工的违约责任：</w:t>
      </w:r>
      <w:r>
        <w:rPr>
          <w:rFonts w:hint="eastAsia" w:ascii="仿宋_GB2312" w:hAnsi="仿宋_GB2312" w:eastAsia="仿宋_GB2312" w:cs="仿宋_GB2312"/>
          <w:color w:val="auto"/>
          <w:kern w:val="0"/>
          <w:sz w:val="32"/>
          <w:szCs w:val="32"/>
          <w:highlight w:val="none"/>
          <w:u w:val="single"/>
        </w:rPr>
        <w:t>/</w:t>
      </w:r>
      <w:r>
        <w:rPr>
          <w:rFonts w:hint="eastAsia" w:ascii="仿宋_GB2312" w:hAnsi="仿宋_GB2312" w:eastAsia="仿宋_GB2312" w:cs="仿宋_GB2312"/>
          <w:color w:val="auto"/>
          <w:kern w:val="0"/>
          <w:sz w:val="32"/>
          <w:szCs w:val="32"/>
          <w:highlight w:val="none"/>
        </w:rPr>
        <w:t>。</w:t>
      </w:r>
    </w:p>
    <w:p w14:paraId="45F52A6A">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（6）发包人无正当理由没有在约定期限内发出复工指示，导致承包人无法复工的违约责任：</w:t>
      </w:r>
      <w:r>
        <w:rPr>
          <w:rFonts w:hint="eastAsia" w:ascii="仿宋_GB2312" w:hAnsi="仿宋_GB2312" w:eastAsia="仿宋_GB2312" w:cs="仿宋_GB2312"/>
          <w:color w:val="auto"/>
          <w:kern w:val="0"/>
          <w:sz w:val="32"/>
          <w:szCs w:val="32"/>
          <w:highlight w:val="none"/>
          <w:u w:val="single"/>
        </w:rPr>
        <w:t xml:space="preserve"> / </w:t>
      </w:r>
      <w:r>
        <w:rPr>
          <w:rFonts w:hint="eastAsia" w:ascii="仿宋_GB2312" w:hAnsi="仿宋_GB2312" w:eastAsia="仿宋_GB2312" w:cs="仿宋_GB2312"/>
          <w:color w:val="auto"/>
          <w:kern w:val="0"/>
          <w:sz w:val="32"/>
          <w:szCs w:val="32"/>
          <w:highlight w:val="none"/>
        </w:rPr>
        <w:t>。</w:t>
      </w:r>
    </w:p>
    <w:p w14:paraId="4179E8C0">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lang w:eastAsia="zh-CN"/>
        </w:rPr>
      </w:pPr>
      <w:r>
        <w:rPr>
          <w:rFonts w:hint="eastAsia" w:ascii="仿宋_GB2312" w:hAnsi="仿宋_GB2312" w:eastAsia="仿宋_GB2312" w:cs="仿宋_GB2312"/>
          <w:color w:val="auto"/>
          <w:kern w:val="0"/>
          <w:sz w:val="32"/>
          <w:szCs w:val="32"/>
          <w:highlight w:val="none"/>
        </w:rPr>
        <w:t>（7）其他：</w:t>
      </w:r>
      <w:r>
        <w:rPr>
          <w:rFonts w:hint="eastAsia" w:ascii="仿宋_GB2312" w:hAnsi="仿宋_GB2312" w:eastAsia="仿宋_GB2312" w:cs="仿宋_GB2312"/>
          <w:color w:val="auto"/>
          <w:kern w:val="0"/>
          <w:sz w:val="32"/>
          <w:szCs w:val="32"/>
          <w:highlight w:val="none"/>
          <w:u w:val="single"/>
        </w:rPr>
        <w:t>/</w:t>
      </w:r>
      <w:r>
        <w:rPr>
          <w:rFonts w:hint="eastAsia" w:ascii="仿宋_GB2312" w:hAnsi="仿宋_GB2312" w:eastAsia="仿宋_GB2312" w:cs="仿宋_GB2312"/>
          <w:color w:val="auto"/>
          <w:kern w:val="0"/>
          <w:sz w:val="32"/>
          <w:szCs w:val="32"/>
          <w:highlight w:val="none"/>
          <w:u w:val="none"/>
        </w:rPr>
        <w:t>。</w:t>
      </w:r>
    </w:p>
    <w:p w14:paraId="0AF0C1F5">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rPr>
        <w:t>.1.3 因发包人违约解除合同</w:t>
      </w:r>
    </w:p>
    <w:p w14:paraId="4E68BDD4">
      <w:pPr>
        <w:pageBreakBefore w:val="0"/>
        <w:kinsoku/>
        <w:wordWrap/>
        <w:overflowPunct/>
        <w:topLinePunct w:val="0"/>
        <w:autoSpaceDE w:val="0"/>
        <w:autoSpaceDN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承包人按16.1.1项〔发包人违约的情形〕约定暂停施工满</w:t>
      </w:r>
      <w:r>
        <w:rPr>
          <w:rFonts w:hint="eastAsia" w:ascii="仿宋_GB2312" w:hAnsi="仿宋_GB2312" w:eastAsia="仿宋_GB2312" w:cs="仿宋_GB2312"/>
          <w:color w:val="auto"/>
          <w:kern w:val="0"/>
          <w:sz w:val="32"/>
          <w:szCs w:val="32"/>
          <w:highlight w:val="none"/>
          <w:u w:val="single"/>
        </w:rPr>
        <w:t xml:space="preserve">  /  </w:t>
      </w:r>
      <w:r>
        <w:rPr>
          <w:rFonts w:hint="eastAsia" w:ascii="仿宋_GB2312" w:hAnsi="仿宋_GB2312" w:eastAsia="仿宋_GB2312" w:cs="仿宋_GB2312"/>
          <w:color w:val="auto"/>
          <w:kern w:val="0"/>
          <w:sz w:val="32"/>
          <w:szCs w:val="32"/>
          <w:highlight w:val="none"/>
        </w:rPr>
        <w:t>天后发包人仍不纠正其违约行为并致使合同目的不能实现的，承包人有权解除合同。</w:t>
      </w:r>
    </w:p>
    <w:p w14:paraId="3EB729BD">
      <w:pPr>
        <w:pageBreakBefore w:val="0"/>
        <w:kinsoku/>
        <w:wordWrap/>
        <w:overflowPunct/>
        <w:topLinePunct w:val="0"/>
        <w:bidi w:val="0"/>
        <w:adjustRightInd w:val="0"/>
        <w:snapToGrid w:val="0"/>
        <w:spacing w:line="560" w:lineRule="exact"/>
        <w:ind w:firstLine="640" w:firstLineChars="200"/>
        <w:jc w:val="both"/>
        <w:outlineLvl w:val="9"/>
        <w:rPr>
          <w:rFonts w:hint="eastAsia" w:ascii="仿宋_GB2312" w:hAnsi="仿宋_GB2312" w:eastAsia="仿宋_GB2312" w:cs="仿宋_GB2312"/>
          <w:color w:val="auto"/>
          <w:sz w:val="32"/>
          <w:szCs w:val="32"/>
          <w:highlight w:val="none"/>
        </w:rPr>
      </w:pPr>
      <w:bookmarkStart w:id="2771" w:name="_Toc17147"/>
      <w:bookmarkStart w:id="2772" w:name="_Toc27854"/>
      <w:bookmarkStart w:id="2773" w:name="_Toc10175"/>
      <w:bookmarkStart w:id="2774" w:name="_Toc13257"/>
      <w:bookmarkStart w:id="2775" w:name="_Toc18933"/>
      <w:bookmarkStart w:id="2776" w:name="_Toc21738"/>
      <w:bookmarkStart w:id="2777" w:name="_Toc10672"/>
      <w:bookmarkStart w:id="2778" w:name="_Toc19670"/>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rPr>
        <w:t>.2 承包人违约</w:t>
      </w:r>
      <w:bookmarkEnd w:id="2771"/>
      <w:bookmarkEnd w:id="2772"/>
      <w:bookmarkEnd w:id="2773"/>
      <w:bookmarkEnd w:id="2774"/>
      <w:bookmarkEnd w:id="2775"/>
      <w:bookmarkEnd w:id="2776"/>
      <w:bookmarkEnd w:id="2777"/>
      <w:bookmarkEnd w:id="2778"/>
    </w:p>
    <w:p w14:paraId="1FBC2A8C">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w:t>
      </w:r>
      <w:r>
        <w:rPr>
          <w:rFonts w:hint="eastAsia" w:ascii="仿宋_GB2312" w:hAnsi="仿宋_GB2312" w:eastAsia="仿宋_GB2312" w:cs="仿宋_GB2312"/>
          <w:color w:val="auto"/>
          <w:kern w:val="0"/>
          <w:sz w:val="32"/>
          <w:szCs w:val="32"/>
          <w:highlight w:val="none"/>
          <w:lang w:val="en-US" w:eastAsia="zh-CN"/>
        </w:rPr>
        <w:t>6</w:t>
      </w:r>
      <w:r>
        <w:rPr>
          <w:rFonts w:hint="eastAsia" w:ascii="仿宋_GB2312" w:hAnsi="仿宋_GB2312" w:eastAsia="仿宋_GB2312" w:cs="仿宋_GB2312"/>
          <w:color w:val="auto"/>
          <w:kern w:val="0"/>
          <w:sz w:val="32"/>
          <w:szCs w:val="32"/>
          <w:highlight w:val="none"/>
        </w:rPr>
        <w:t>.2.1 承包人违约的情形</w:t>
      </w:r>
    </w:p>
    <w:p w14:paraId="52E56D64">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rPr>
        <w:t>承包人违约的其他情</w:t>
      </w:r>
      <w:r>
        <w:rPr>
          <w:rFonts w:hint="eastAsia" w:ascii="仿宋_GB2312" w:hAnsi="仿宋_GB2312" w:eastAsia="仿宋_GB2312" w:cs="仿宋_GB2312"/>
          <w:color w:val="auto"/>
          <w:kern w:val="0"/>
          <w:sz w:val="32"/>
          <w:szCs w:val="32"/>
          <w:highlight w:val="none"/>
          <w:u w:val="none"/>
        </w:rPr>
        <w:t>形：包括但不限于：①书面警告。承包人未履行或未按时履行或未按质履行义务及监理工程师或发包人（含行政主管部门）的指示时，监理工程师或发包人有权向承包人发出书面警告，每次书面警告，承包人应当支付人民币0.2万元违约金给发包人。</w:t>
      </w:r>
    </w:p>
    <w:p w14:paraId="48CD4C86">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rPr>
        <w:t>②限期改正。监理工程师或发包人在日常工作检查中发现承包人有违约行为，有权向承包人发出违约通知，要求承包人必须在监理工程师或发包人限定的时间内履行义务。同时，承包人应当向发包人支付人民币0.5万元违约金。</w:t>
      </w:r>
    </w:p>
    <w:p w14:paraId="09C9F219">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rPr>
        <w:t>③一般违约责任。承包人违反本合同的约定须承担一般违约责任时，应每次向发包人支付签约合同金额0.1‰的违约金，且不得少于人民币1万元/次；若承包人再次发生性质相同的违约行为时，第2次应向发包人支付签约合同金额0.15‰的违约金，且不得少于人民币1.5万元/次，2次以上（不含本数）应每次向发包人支付签约合同金额0.2‰的违约金，且不得少于人民币2万元/次。</w:t>
      </w:r>
    </w:p>
    <w:p w14:paraId="12BC3D92">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rPr>
        <w:t>④严重违约责任。承包人违反本合同的约定须承担严重违约责任时，应每次向发包人支付签约合同金额0.5‰的违约金，且不得少于人民币5万元/次。</w:t>
      </w:r>
    </w:p>
    <w:p w14:paraId="556581DC">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rPr>
        <w:t>⑤部分解除合同。当承包人违反本合同的约定符合解除部分合同的条件时，发包人有权向承包人发出书面解除部分合同的通知，该通知在送达承包人时部分解除合同即生效。部分解除合同的法律后果依照第16.2.3条的相关约定执行。</w:t>
      </w:r>
    </w:p>
    <w:p w14:paraId="68FD1C6D">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rPr>
        <w:t>⑥解除合同。当承包人违反本合同的约定符合解除全部合同的条件时，发包人有权向承包人发出书面解除全部合同的通知，该通知在送达承包人时解除合同即生效。解除合同的法律后果依照第16.2.3条的相关约定执行。</w:t>
      </w:r>
    </w:p>
    <w:p w14:paraId="5FAD62C0">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rPr>
        <w:t>⑦赔偿损失。因承包人原因造成发包人经济损失的，承包人应向发包人赔偿全部损失，包括直接损失和间接损失。</w:t>
      </w:r>
    </w:p>
    <w:p w14:paraId="5336EF42">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rPr>
        <w:t>1</w:t>
      </w:r>
      <w:r>
        <w:rPr>
          <w:rFonts w:hint="eastAsia" w:ascii="仿宋_GB2312" w:hAnsi="仿宋_GB2312" w:eastAsia="仿宋_GB2312" w:cs="仿宋_GB2312"/>
          <w:color w:val="auto"/>
          <w:kern w:val="0"/>
          <w:sz w:val="32"/>
          <w:szCs w:val="32"/>
          <w:highlight w:val="none"/>
          <w:u w:val="none"/>
          <w:lang w:val="en-US" w:eastAsia="zh-CN"/>
        </w:rPr>
        <w:t>6</w:t>
      </w:r>
      <w:r>
        <w:rPr>
          <w:rFonts w:hint="eastAsia" w:ascii="仿宋_GB2312" w:hAnsi="仿宋_GB2312" w:eastAsia="仿宋_GB2312" w:cs="仿宋_GB2312"/>
          <w:color w:val="auto"/>
          <w:kern w:val="0"/>
          <w:sz w:val="32"/>
          <w:szCs w:val="32"/>
          <w:highlight w:val="none"/>
          <w:u w:val="none"/>
        </w:rPr>
        <w:t>.2.2承包人违约的责任</w:t>
      </w:r>
    </w:p>
    <w:p w14:paraId="59D68A59">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rPr>
        <w:t>承包人违约责任的承担方式和计算方法：</w:t>
      </w:r>
    </w:p>
    <w:p w14:paraId="290EC43B">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rPr>
        <w:t>（1）书面警告或限期整改责任合计两次构成一次一般违约责任；三次一般违约责任相当于一次严重违约责任；累计三次严重违约责任，发包人有权单方部分或全部解除合同。</w:t>
      </w:r>
    </w:p>
    <w:p w14:paraId="0C224959">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rPr>
        <w:t>（2）根据16.2.1各项的规定，承包人违约须向发包人支付违约金或赔偿金时，从其账户向发包人账户支付。</w:t>
      </w:r>
    </w:p>
    <w:p w14:paraId="1BB09A1D">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rPr>
        <w:t>（3）工期延误方面的违约责任</w:t>
      </w:r>
    </w:p>
    <w:p w14:paraId="7A2E62B5">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rPr>
        <w:t>①承包人违反合同约定延期开工的，每延迟开工1天，</w:t>
      </w:r>
      <w:r>
        <w:rPr>
          <w:rFonts w:hint="eastAsia" w:ascii="仿宋_GB2312" w:hAnsi="仿宋_GB2312" w:eastAsia="仿宋_GB2312" w:cs="仿宋_GB2312"/>
          <w:color w:val="auto"/>
          <w:kern w:val="0"/>
          <w:sz w:val="32"/>
          <w:szCs w:val="32"/>
          <w:highlight w:val="none"/>
          <w:u w:val="none"/>
          <w:lang w:val="en-US" w:eastAsia="zh-CN"/>
        </w:rPr>
        <w:t>承包人</w:t>
      </w:r>
      <w:r>
        <w:rPr>
          <w:rFonts w:hint="eastAsia" w:ascii="仿宋_GB2312" w:hAnsi="仿宋_GB2312" w:eastAsia="仿宋_GB2312" w:cs="仿宋_GB2312"/>
          <w:color w:val="auto"/>
          <w:kern w:val="0"/>
          <w:sz w:val="32"/>
          <w:szCs w:val="32"/>
          <w:highlight w:val="none"/>
          <w:u w:val="none"/>
        </w:rPr>
        <w:t>应</w:t>
      </w:r>
      <w:r>
        <w:rPr>
          <w:rFonts w:hint="eastAsia" w:ascii="仿宋_GB2312" w:hAnsi="仿宋_GB2312" w:eastAsia="仿宋_GB2312" w:cs="仿宋_GB2312"/>
          <w:color w:val="auto"/>
          <w:kern w:val="0"/>
          <w:sz w:val="32"/>
          <w:szCs w:val="32"/>
          <w:highlight w:val="none"/>
          <w:u w:val="none"/>
          <w:lang w:val="en-US" w:eastAsia="zh-CN"/>
        </w:rPr>
        <w:t>向</w:t>
      </w:r>
      <w:r>
        <w:rPr>
          <w:rFonts w:hint="eastAsia" w:ascii="仿宋_GB2312" w:hAnsi="仿宋_GB2312" w:eastAsia="仿宋_GB2312" w:cs="仿宋_GB2312"/>
          <w:color w:val="auto"/>
          <w:kern w:val="0"/>
          <w:sz w:val="32"/>
          <w:szCs w:val="32"/>
          <w:highlight w:val="none"/>
          <w:u w:val="none"/>
        </w:rPr>
        <w:t>发包人支付本工程合同价款的1‰的违约金；延迟开工超过10天的，发包人有权解除合同，将本工程另行发包，并不免除承包人的违约赔偿责任。</w:t>
      </w:r>
    </w:p>
    <w:p w14:paraId="37B682A2">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rPr>
        <w:t>②如因承包人原因导致主体结构完成至正负零、主体结构封顶等关键节点工期延误的，承包人向发包人缴纳人民币1万元/天/项。</w:t>
      </w:r>
    </w:p>
    <w:p w14:paraId="283564EB">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lang w:val="en-US" w:eastAsia="zh-CN"/>
        </w:rPr>
        <w:t>③</w:t>
      </w:r>
      <w:r>
        <w:rPr>
          <w:rFonts w:hint="eastAsia" w:ascii="仿宋_GB2312" w:hAnsi="仿宋_GB2312" w:eastAsia="仿宋_GB2312" w:cs="仿宋_GB2312"/>
          <w:color w:val="auto"/>
          <w:kern w:val="0"/>
          <w:sz w:val="32"/>
          <w:szCs w:val="32"/>
          <w:highlight w:val="none"/>
          <w:u w:val="none"/>
        </w:rPr>
        <w:t>承包人应积极配合发包人在规定时间内完成施工许可证的办理。因承包人原因不能在规定时间内完成施工许可证办理的，视为承包人违反合同约定延期开工，承包人应按本条第①款的约定向发包人承担违约及赔偿责任。</w:t>
      </w:r>
    </w:p>
    <w:p w14:paraId="286E20A0">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rPr>
        <w:t>（4）工程质量方面的违约责任</w:t>
      </w:r>
    </w:p>
    <w:p w14:paraId="53B3E90D">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rPr>
        <w:t>①发包人和监理人抽查承包人的工程材料时，发现所检查的材料不符合合同约定时，承包人除必须全部退货、返工，并赔偿由此造成的损失外，承包人应当按照该批次材料的价值，按照如下方式承担违约责任：</w:t>
      </w:r>
    </w:p>
    <w:p w14:paraId="72A37100">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rPr>
        <w:t>A.单宗或批次材料价值在10万元以上100万元以下（含100万元），承包人承担1次一般违约责任。</w:t>
      </w:r>
    </w:p>
    <w:p w14:paraId="352EB88F">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rPr>
        <w:t>B.单宗或批次材料价值</w:t>
      </w:r>
      <w:r>
        <w:rPr>
          <w:rFonts w:hint="eastAsia" w:ascii="仿宋_GB2312" w:hAnsi="仿宋_GB2312" w:eastAsia="仿宋_GB2312" w:cs="仿宋_GB2312"/>
          <w:color w:val="auto"/>
          <w:kern w:val="0"/>
          <w:sz w:val="32"/>
          <w:szCs w:val="32"/>
          <w:highlight w:val="none"/>
          <w:u w:val="none"/>
          <w:lang w:eastAsia="zh-CN"/>
        </w:rPr>
        <w:t>100万-200万</w:t>
      </w:r>
      <w:r>
        <w:rPr>
          <w:rFonts w:hint="eastAsia" w:ascii="仿宋_GB2312" w:hAnsi="仿宋_GB2312" w:eastAsia="仿宋_GB2312" w:cs="仿宋_GB2312"/>
          <w:color w:val="auto"/>
          <w:kern w:val="0"/>
          <w:sz w:val="32"/>
          <w:szCs w:val="32"/>
          <w:highlight w:val="none"/>
          <w:u w:val="none"/>
        </w:rPr>
        <w:t>元（含200万元），承包人承担1次严重违约责任。</w:t>
      </w:r>
    </w:p>
    <w:p w14:paraId="610ED179">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rPr>
        <w:t>C.单宗或批次材料价值在200万元以上的，发包人有权部分解除合同或解除合同，并要求承包人赔偿发包人由此遭受的实际损失。</w:t>
      </w:r>
    </w:p>
    <w:p w14:paraId="27C72BEB">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rPr>
        <w:t>D.对于单宗或批次材料价值不高于10万元的（含10万元），累计抽检不合格达5次，承包人承担1次一般违约责任。</w:t>
      </w:r>
    </w:p>
    <w:p w14:paraId="7037B9AC">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rPr>
        <w:t>②承包人对各工序必须报验核查质量控制点。如承包人申请报验后，经总监理工程师或发包人检查发现存在较大质量问题（如存在质量问题的部分超过检查部分工程的10%的），则该工序质量为不合格，承包人必须对不合格部分进行返工，返工后经检查合格才准进入下</w:t>
      </w:r>
      <w:r>
        <w:rPr>
          <w:rFonts w:hint="eastAsia" w:ascii="仿宋_GB2312" w:hAnsi="仿宋_GB2312" w:eastAsia="仿宋_GB2312" w:cs="仿宋_GB2312"/>
          <w:color w:val="auto"/>
          <w:kern w:val="0"/>
          <w:sz w:val="32"/>
          <w:szCs w:val="32"/>
          <w:highlight w:val="none"/>
          <w:u w:val="none"/>
          <w:lang w:eastAsia="zh-CN"/>
        </w:rPr>
        <w:t>一道</w:t>
      </w:r>
      <w:r>
        <w:rPr>
          <w:rFonts w:hint="eastAsia" w:ascii="仿宋_GB2312" w:hAnsi="仿宋_GB2312" w:eastAsia="仿宋_GB2312" w:cs="仿宋_GB2312"/>
          <w:color w:val="auto"/>
          <w:kern w:val="0"/>
          <w:sz w:val="32"/>
          <w:szCs w:val="32"/>
          <w:highlight w:val="none"/>
          <w:u w:val="none"/>
        </w:rPr>
        <w:t>工序，工期不予顺延。复检的结果，按每一分项工程计算，总计发现3次或连续发现2次质量控制点不合格的，承包人承担一般违约责任；总计发现3 次以上（不含本数）或连续发现2次以上（不含本数）质量控制点不合格的，承包人承担严重违约责任；承包人采取整改措施后效果仍不明显的，发包人有权部分解除合同，将该分项工程另行发包，并不免除承包人应承担的违约赔偿责任。</w:t>
      </w:r>
    </w:p>
    <w:p w14:paraId="3744A313">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rPr>
        <w:t>③工程保修期内发现质量不合格问题（该质量问题应界定为达不到要求的质量标准，属质量保修的问题除外），承包人必须在规定的期限返工并达到合同约定的质量等级，并按该不合格项目所属分项工程造价5%计算，向发包人支付违约金。</w:t>
      </w:r>
    </w:p>
    <w:p w14:paraId="11B00A01">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rPr>
        <w:t>④承包人在政府行政主管部门组织的质量安全检查中，被发现存在质量问题，承包人除</w:t>
      </w:r>
      <w:r>
        <w:rPr>
          <w:rFonts w:hint="eastAsia" w:ascii="仿宋_GB2312" w:hAnsi="仿宋_GB2312" w:eastAsia="仿宋_GB2312" w:cs="仿宋_GB2312"/>
          <w:color w:val="auto"/>
          <w:kern w:val="0"/>
          <w:sz w:val="32"/>
          <w:szCs w:val="32"/>
          <w:highlight w:val="none"/>
          <w:u w:val="none"/>
          <w:lang w:eastAsia="zh-CN"/>
        </w:rPr>
        <w:t>必须</w:t>
      </w:r>
      <w:r>
        <w:rPr>
          <w:rFonts w:hint="eastAsia" w:ascii="仿宋_GB2312" w:hAnsi="仿宋_GB2312" w:eastAsia="仿宋_GB2312" w:cs="仿宋_GB2312"/>
          <w:color w:val="auto"/>
          <w:kern w:val="0"/>
          <w:sz w:val="32"/>
          <w:szCs w:val="32"/>
          <w:highlight w:val="none"/>
          <w:u w:val="none"/>
        </w:rPr>
        <w:t>在规定的期限返工并达到合同约定的质量等级，且须承担一次严重违约责任，造成严重社会影响的，发包人有权解除合同，将本工程另行发包，并不免除承包人应承担的违约赔偿责任。</w:t>
      </w:r>
    </w:p>
    <w:p w14:paraId="6D12FEA6">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rPr>
        <w:t>⑤承包人在发包人、总监理工程师进行的日常质量安全检查中，承包人被发现存在擅自更改设计，不按图施工的，承包人应向发包人支付5万元/处的违约金。</w:t>
      </w:r>
    </w:p>
    <w:p w14:paraId="1BE309DA">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rPr>
        <w:t>⑥对于出现质量缺陷的部位未及时修补、未按规定对隐蔽工程、检验批进行验收即进入下一道工序，视为一般违约，承包人应向发包人支付违约金1万元/次。</w:t>
      </w:r>
    </w:p>
    <w:p w14:paraId="04FC33C3">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rPr>
        <w:t xml:space="preserve">⑦发现偷工减料或使用不符合要求材料的，承包人应向发包人支付违约金 </w:t>
      </w:r>
      <w:r>
        <w:rPr>
          <w:rFonts w:hint="eastAsia" w:ascii="仿宋_GB2312" w:hAnsi="仿宋_GB2312" w:eastAsia="仿宋_GB2312" w:cs="仿宋_GB2312"/>
          <w:color w:val="auto"/>
          <w:kern w:val="0"/>
          <w:sz w:val="32"/>
          <w:szCs w:val="32"/>
          <w:highlight w:val="none"/>
          <w:u w:val="none"/>
          <w:lang w:eastAsia="zh-CN"/>
        </w:rPr>
        <w:t>1万-5万</w:t>
      </w:r>
      <w:r>
        <w:rPr>
          <w:rFonts w:hint="eastAsia" w:ascii="仿宋_GB2312" w:hAnsi="仿宋_GB2312" w:eastAsia="仿宋_GB2312" w:cs="仿宋_GB2312"/>
          <w:color w:val="auto"/>
          <w:kern w:val="0"/>
          <w:sz w:val="32"/>
          <w:szCs w:val="32"/>
          <w:highlight w:val="none"/>
          <w:u w:val="none"/>
        </w:rPr>
        <w:t>元/次。</w:t>
      </w:r>
    </w:p>
    <w:p w14:paraId="3BEAB57A">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rPr>
        <w:t>⑧因违约行为引起的返工由承包人负全部责任，造成的损失由承包人承担赔偿责任；因违约行为导致无法通过验收且导致质量标准降低</w:t>
      </w:r>
      <w:r>
        <w:rPr>
          <w:rFonts w:hint="eastAsia" w:ascii="仿宋_GB2312" w:hAnsi="仿宋_GB2312" w:eastAsia="仿宋_GB2312" w:cs="仿宋_GB2312"/>
          <w:color w:val="auto"/>
          <w:kern w:val="0"/>
          <w:sz w:val="32"/>
          <w:szCs w:val="32"/>
          <w:highlight w:val="none"/>
          <w:u w:val="none"/>
          <w:lang w:eastAsia="zh-CN"/>
        </w:rPr>
        <w:t>，或者</w:t>
      </w:r>
      <w:r>
        <w:rPr>
          <w:rFonts w:hint="eastAsia" w:ascii="仿宋_GB2312" w:hAnsi="仿宋_GB2312" w:eastAsia="仿宋_GB2312" w:cs="仿宋_GB2312"/>
          <w:color w:val="auto"/>
          <w:kern w:val="0"/>
          <w:sz w:val="32"/>
          <w:szCs w:val="32"/>
          <w:highlight w:val="none"/>
          <w:u w:val="none"/>
        </w:rPr>
        <w:t>超出规划面积引起的罚款等损失由承包人承担，由此引起的项目延期交付使用造成的全部损失由承包人承担；对于不按图施工的，如果无法返工只能修改施工图时，图纸修改、审查等因此产生的全部费用由承包人承担，如因违约行为造成发包人损失的，承包人应赔偿发包人全部损失。</w:t>
      </w:r>
    </w:p>
    <w:p w14:paraId="67CFC09F">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rPr>
        <w:t>（5）安全生产方面的违约责任</w:t>
      </w:r>
    </w:p>
    <w:p w14:paraId="0DF69A69">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rPr>
        <w:t>①承包人在政府行政主管部门组织的安全检查中，被发现存在严重的安全隐患，被通报批评，或被新闻媒体曝光造成不良影响的，被通报或被曝光1次，承包人必须承担一次严重违约责任；造成严重社会影响或累计被通报或被曝光2 次及以上（含本数）的，发包人有权解除合同，将本工程另行发包，并不免除承包人应承担的违约赔偿责任。</w:t>
      </w:r>
    </w:p>
    <w:p w14:paraId="69774077">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lang w:val="en-US" w:eastAsia="zh-CN"/>
        </w:rPr>
        <w:t>③</w:t>
      </w:r>
      <w:r>
        <w:rPr>
          <w:rFonts w:hint="eastAsia" w:ascii="仿宋_GB2312" w:hAnsi="仿宋_GB2312" w:eastAsia="仿宋_GB2312" w:cs="仿宋_GB2312"/>
          <w:color w:val="auto"/>
          <w:kern w:val="0"/>
          <w:sz w:val="32"/>
          <w:szCs w:val="32"/>
          <w:highlight w:val="none"/>
          <w:u w:val="none"/>
        </w:rPr>
        <w:t>承包人因自身原因造成的安全事故、工程质量事故、环保事故的，除按国家规定由主管部门处罚外，承包人必须依照下列约定承担违约责任：</w:t>
      </w:r>
    </w:p>
    <w:p w14:paraId="3A587D3E">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rPr>
        <w:t>A.发生特别重大事故，每发生一次，承包人按合同总价1%，向发包人支付违约金，违约金的数额不得低于50万元；</w:t>
      </w:r>
    </w:p>
    <w:p w14:paraId="027AFE99">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rPr>
        <w:t>B.发生重大事故，每发生一次，承包人按合同总价0.4%，向发包人支付违约金，违约金的数额不得低于30万元；</w:t>
      </w:r>
    </w:p>
    <w:p w14:paraId="0985BE88">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rPr>
        <w:t>C.发生较大事故，每发生一次，承包人按合同总价0.2%，向发包人支付违约金，违约金数额不得低于20万元；</w:t>
      </w:r>
    </w:p>
    <w:p w14:paraId="630CBFD5">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rPr>
        <w:t>D.发生一般事故，每发生一次，承包人按合同总价0.1%，向发包人支付违约金，违约金数额不得低于10万元。</w:t>
      </w:r>
    </w:p>
    <w:p w14:paraId="183D79D1">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rPr>
        <w:t>上述事故每发生一次，承包人应向发包人承担一次严重违约责任；发生上述重大级（含）以上事故的，发包人有权视情况严重性解除部分或全部合同，按第16.2.3条执行。</w:t>
      </w:r>
    </w:p>
    <w:p w14:paraId="2B4C7B58">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lang w:val="en-US" w:eastAsia="zh-CN"/>
        </w:rPr>
        <w:t>④</w:t>
      </w:r>
      <w:r>
        <w:rPr>
          <w:rFonts w:hint="eastAsia" w:ascii="仿宋_GB2312" w:hAnsi="仿宋_GB2312" w:eastAsia="仿宋_GB2312" w:cs="仿宋_GB2312"/>
          <w:color w:val="auto"/>
          <w:kern w:val="0"/>
          <w:sz w:val="32"/>
          <w:szCs w:val="32"/>
          <w:highlight w:val="none"/>
          <w:u w:val="none"/>
        </w:rPr>
        <w:t>涉及危大或超危大工程的项目，未编制危大工程专项方案或危大工程专项方案未进行审批、超危大工程未进行专家论证或现场未按已论证方案实施的，承包人必须承担严重违约责任1次。</w:t>
      </w:r>
    </w:p>
    <w:p w14:paraId="1210D1EA">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lang w:val="en-US" w:eastAsia="zh-CN"/>
        </w:rPr>
        <w:t>⑤</w:t>
      </w:r>
      <w:r>
        <w:rPr>
          <w:rFonts w:hint="eastAsia" w:ascii="仿宋_GB2312" w:hAnsi="仿宋_GB2312" w:eastAsia="仿宋_GB2312" w:cs="仿宋_GB2312"/>
          <w:color w:val="auto"/>
          <w:kern w:val="0"/>
          <w:sz w:val="32"/>
          <w:szCs w:val="32"/>
          <w:highlight w:val="none"/>
          <w:u w:val="none"/>
        </w:rPr>
        <w:t>按规定需要具备相应证书方可操作的人员、设备而无证书操作的，承包人应向发包人支付违约金2万元/次。</w:t>
      </w:r>
    </w:p>
    <w:p w14:paraId="12FEEC3C">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rPr>
        <w:t>以上违约金由发包人从承包人的工程款中扣除，违约金</w:t>
      </w:r>
      <w:r>
        <w:rPr>
          <w:rFonts w:hint="eastAsia" w:ascii="仿宋_GB2312" w:hAnsi="仿宋_GB2312" w:eastAsia="仿宋_GB2312" w:cs="仿宋_GB2312"/>
          <w:color w:val="auto"/>
          <w:kern w:val="0"/>
          <w:sz w:val="32"/>
          <w:szCs w:val="32"/>
          <w:highlight w:val="none"/>
          <w:u w:val="none"/>
          <w:lang w:eastAsia="zh-CN"/>
        </w:rPr>
        <w:t>不足以</w:t>
      </w:r>
      <w:r>
        <w:rPr>
          <w:rFonts w:hint="eastAsia" w:ascii="仿宋_GB2312" w:hAnsi="仿宋_GB2312" w:eastAsia="仿宋_GB2312" w:cs="仿宋_GB2312"/>
          <w:color w:val="auto"/>
          <w:kern w:val="0"/>
          <w:sz w:val="32"/>
          <w:szCs w:val="32"/>
          <w:highlight w:val="none"/>
          <w:u w:val="none"/>
        </w:rPr>
        <w:t>弥补发包人损失的，承包人应据实赔偿。</w:t>
      </w:r>
    </w:p>
    <w:p w14:paraId="5B50440A">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rPr>
        <w:t>（6）文明施工、环境保护方面的违约责任</w:t>
      </w:r>
    </w:p>
    <w:p w14:paraId="7F09A436">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rPr>
        <w:t>①发包人、监理人对承包人文明施工措施进行对照检查。经检查发现承包人因自身原因未能落实的，承包人必须承担一般违约责任，并限期改正；如不限期改正，承包人须承担严重违约责任。</w:t>
      </w:r>
    </w:p>
    <w:p w14:paraId="6118CBD7">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rPr>
        <w:t>②在政府行政主管部门的检查中，承包人的施工场地被评为不合格工地的，或者被通报批评的，或者被新闻媒体曝光的，承包人必须承担严重违约责任，并立即采取切实有效措施予以整改；拒不采取切实有效的措施整改的，或整改效果不明显的，发包人有权部分或全部解除合同，并要求承包人赔偿由此造成的损失。</w:t>
      </w:r>
    </w:p>
    <w:p w14:paraId="714BAC35">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rPr>
        <w:t>③承包人在施工过程中因其自身原因造成环境污染（包括噪声扰民）或生态破坏，被其他施工单位或周围居民投诉的，承包人必须在当天内整改。若故意拖延或同样问题累计被投诉2次，经查实，承包人必须承担一般违约责任1次，若故意拖延或同样问题累计被投诉3次及以上，经查实，承包人必须承担严重违约责任1次。</w:t>
      </w:r>
    </w:p>
    <w:p w14:paraId="273AD80A">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rPr>
        <w:t>（7）工程分包、转包方面的违约责任</w:t>
      </w:r>
    </w:p>
    <w:p w14:paraId="5C2219B5">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rPr>
        <w:t>承包人擅自分包或者转包工程的，发包人有权单方部分或全部解除合同，由此而造成的经济损失由承包人负责赔偿，承包人履约保函不予退还，还需支付合同总价款2%的违约金，承包人对此应无异议。</w:t>
      </w:r>
    </w:p>
    <w:p w14:paraId="6C9422EE">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rPr>
        <w:t>（8）人员和设备投入不到位的违约责任</w:t>
      </w:r>
    </w:p>
    <w:p w14:paraId="6EC0F2BF">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rPr>
        <w:t>①承包人违反通用合同条款第3.2款约定的（除专用条款3.2条已作出约定的），每发现一例，承包人必须按照总监理工程师或者发包人的指令限期改正；承包人拒不限期改正的，必须承担严重违约责任，直至部分或全部解除合同。</w:t>
      </w:r>
    </w:p>
    <w:p w14:paraId="732A922D">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rPr>
        <w:t>②承包人必须服从发包人、监理人的管理，主动支持发包人、监理人的工作，对发包人、监理人的指令，若无正当理由公开或变相拒不执行的，发包人、监理人有权视情节严重程度给予一般违约责任及以上的处理，并承担由此造成的一切经济损失。</w:t>
      </w:r>
    </w:p>
    <w:p w14:paraId="4A13AF31">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rPr>
        <w:t>③承包人的项目经理或技术负责人必须参加监理人或发包人主持的工程例会和其他要求的专题会议。除获得</w:t>
      </w:r>
      <w:r>
        <w:rPr>
          <w:rFonts w:hint="eastAsia" w:ascii="仿宋_GB2312" w:hAnsi="仿宋_GB2312" w:eastAsia="仿宋_GB2312" w:cs="仿宋_GB2312"/>
          <w:color w:val="auto"/>
          <w:kern w:val="0"/>
          <w:sz w:val="32"/>
          <w:szCs w:val="32"/>
          <w:highlight w:val="none"/>
          <w:u w:val="none"/>
          <w:lang w:eastAsia="zh-CN"/>
        </w:rPr>
        <w:t>监理人</w:t>
      </w:r>
      <w:r>
        <w:rPr>
          <w:rFonts w:hint="eastAsia" w:ascii="仿宋_GB2312" w:hAnsi="仿宋_GB2312" w:eastAsia="仿宋_GB2312" w:cs="仿宋_GB2312"/>
          <w:color w:val="auto"/>
          <w:kern w:val="0"/>
          <w:sz w:val="32"/>
          <w:szCs w:val="32"/>
          <w:highlight w:val="none"/>
          <w:u w:val="none"/>
        </w:rPr>
        <w:t>或发包人批准外，每缺席1次，承包人须承担1次一般违约责任。</w:t>
      </w:r>
    </w:p>
    <w:p w14:paraId="6BBBFD14">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rPr>
        <w:t>（9）工程资料方面的违约责任</w:t>
      </w:r>
    </w:p>
    <w:p w14:paraId="17ED304B">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rPr>
        <w:t>①发包人抽查承包人的工程资料，如发现与现场施工进度不匹配，承包人须限时整改，如连续发现2次或累计达3次时，承包人应承担一般违约责任。</w:t>
      </w:r>
    </w:p>
    <w:p w14:paraId="205307E4">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rPr>
        <w:t>②按要求开展安全、技术、环保（文明施工）交底和安全文明教育培训以及施工日志（安全日志）的记录（涵盖安全、质量、环保（文明施工）内容），如未开展安全技术环保交底、安全文明教育培训，施工日志（安全日志）无安全、质量、环保相关内容，视为一般违约，承包人应向发包人支付违约金1万元/次。</w:t>
      </w:r>
    </w:p>
    <w:p w14:paraId="180D2AA3">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rPr>
        <w:t>（10）</w:t>
      </w:r>
      <w:r>
        <w:rPr>
          <w:rFonts w:hint="eastAsia" w:ascii="仿宋_GB2312" w:hAnsi="仿宋_GB2312" w:eastAsia="仿宋_GB2312" w:cs="仿宋_GB2312"/>
          <w:color w:val="auto"/>
          <w:kern w:val="0"/>
          <w:sz w:val="32"/>
          <w:szCs w:val="32"/>
          <w:highlight w:val="none"/>
          <w:u w:val="none"/>
          <w:lang w:val="en-US" w:eastAsia="zh-CN"/>
        </w:rPr>
        <w:t>农</w:t>
      </w:r>
      <w:r>
        <w:rPr>
          <w:rFonts w:hint="eastAsia" w:ascii="仿宋_GB2312" w:hAnsi="仿宋_GB2312" w:eastAsia="仿宋_GB2312" w:cs="仿宋_GB2312"/>
          <w:color w:val="auto"/>
          <w:kern w:val="0"/>
          <w:sz w:val="32"/>
          <w:szCs w:val="32"/>
          <w:highlight w:val="none"/>
          <w:u w:val="none"/>
        </w:rPr>
        <w:t>民工工资支付方面的违约责任</w:t>
      </w:r>
    </w:p>
    <w:p w14:paraId="5585B64F">
      <w:pPr>
        <w:pageBreakBefore w:val="0"/>
        <w:widowControl w:val="0"/>
        <w:kinsoku/>
        <w:wordWrap/>
        <w:overflowPunct/>
        <w:topLinePunct w:val="0"/>
        <w:bidi w:val="0"/>
        <w:adjustRightInd w:val="0"/>
        <w:snapToGrid w:val="0"/>
        <w:spacing w:line="560" w:lineRule="exact"/>
        <w:ind w:firstLine="640" w:firstLineChars="200"/>
        <w:jc w:val="both"/>
        <w:textAlignment w:val="auto"/>
        <w:rPr>
          <w:rFonts w:hint="eastAsia" w:ascii="仿宋_GB2312" w:hAnsi="仿宋_GB2312" w:eastAsia="仿宋_GB2312" w:cs="仿宋_GB2312"/>
          <w:kern w:val="0"/>
          <w:sz w:val="32"/>
          <w:szCs w:val="32"/>
          <w:u w:val="none"/>
          <w:lang w:val="en-US" w:eastAsia="zh-CN"/>
        </w:rPr>
      </w:pPr>
      <w:r>
        <w:rPr>
          <w:rFonts w:hint="eastAsia" w:ascii="仿宋_GB2312" w:hAnsi="仿宋_GB2312" w:eastAsia="仿宋_GB2312" w:cs="仿宋_GB2312"/>
          <w:color w:val="auto"/>
          <w:kern w:val="0"/>
          <w:sz w:val="32"/>
          <w:szCs w:val="32"/>
          <w:highlight w:val="none"/>
          <w:u w:val="none"/>
        </w:rPr>
        <w:t>①承包人未按现行国家法律法规、部门规章及地方性法规及规范性文件的规定、本合同的约定及时足额支付农民工工资和（或）被农民工投诉属实的，承包人应在3天内予以发放拖欠的款项。若继续拖延或被投诉2次及以上，经查实，承包人必须承担一般违约责任1次。若仍然不予整改并未发放拖欠的款项，使农民工采取停工、聚集围阻发包人办公地点甚至政府办公部门等过激行动的，承包人必须承担严重违约责任，并立即采取切实有效措施予以整改；拒不采取切实有效的措施进行整改的，或整改效果不明显的，发包人有权部分或全部解除合同，</w:t>
      </w:r>
      <w:r>
        <w:rPr>
          <w:rFonts w:hint="eastAsia" w:ascii="仿宋_GB2312" w:hAnsi="仿宋_GB2312" w:eastAsia="仿宋_GB2312" w:cs="仿宋_GB2312"/>
          <w:kern w:val="0"/>
          <w:sz w:val="32"/>
          <w:szCs w:val="32"/>
          <w:u w:val="none"/>
          <w:lang w:val="en-US" w:eastAsia="zh-CN"/>
        </w:rPr>
        <w:t>由此造成的损失承包人自行承担，给发包人造成损失的，承包人还需赔偿。</w:t>
      </w:r>
    </w:p>
    <w:p w14:paraId="3A646A7F">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rPr>
        <w:t>②承包人应当根据劳动合同约定的农民工工资标准等内容，按照依法签订的集体合同或劳动合同约定的日期支付工资，</w:t>
      </w:r>
      <w:r>
        <w:rPr>
          <w:rFonts w:hint="eastAsia" w:ascii="仿宋_GB2312" w:hAnsi="仿宋_GB2312" w:eastAsia="仿宋_GB2312" w:cs="仿宋_GB2312"/>
          <w:color w:val="auto"/>
          <w:kern w:val="0"/>
          <w:sz w:val="32"/>
          <w:szCs w:val="32"/>
          <w:highlight w:val="none"/>
          <w:u w:val="none"/>
          <w:lang w:val="en-US" w:eastAsia="zh-CN"/>
        </w:rPr>
        <w:t>且</w:t>
      </w:r>
      <w:r>
        <w:rPr>
          <w:rFonts w:hint="eastAsia" w:ascii="仿宋_GB2312" w:hAnsi="仿宋_GB2312" w:eastAsia="仿宋_GB2312" w:cs="仿宋_GB2312"/>
          <w:color w:val="auto"/>
          <w:kern w:val="0"/>
          <w:sz w:val="32"/>
          <w:szCs w:val="32"/>
          <w:highlight w:val="none"/>
          <w:u w:val="none"/>
        </w:rPr>
        <w:t>不得低于当地最低工资标准。</w:t>
      </w:r>
      <w:r>
        <w:rPr>
          <w:rFonts w:hint="eastAsia" w:ascii="仿宋_GB2312" w:hAnsi="仿宋_GB2312" w:eastAsia="仿宋_GB2312" w:cs="仿宋_GB2312"/>
          <w:color w:val="auto"/>
          <w:kern w:val="0"/>
          <w:sz w:val="32"/>
          <w:szCs w:val="32"/>
          <w:highlight w:val="none"/>
          <w:u w:val="none"/>
          <w:lang w:val="en-US" w:eastAsia="zh-CN"/>
        </w:rPr>
        <w:t>同时，</w:t>
      </w:r>
      <w:r>
        <w:rPr>
          <w:rFonts w:hint="eastAsia" w:ascii="仿宋_GB2312" w:hAnsi="仿宋_GB2312" w:eastAsia="仿宋_GB2312" w:cs="仿宋_GB2312"/>
          <w:color w:val="auto"/>
          <w:sz w:val="32"/>
          <w:szCs w:val="32"/>
          <w:highlight w:val="none"/>
          <w:u w:val="none"/>
        </w:rPr>
        <w:t>承包人不得以任何理由和事项为</w:t>
      </w:r>
      <w:r>
        <w:rPr>
          <w:rFonts w:hint="eastAsia" w:ascii="仿宋_GB2312" w:hAnsi="仿宋_GB2312" w:eastAsia="仿宋_GB2312" w:cs="仿宋_GB2312"/>
          <w:color w:val="auto"/>
          <w:sz w:val="32"/>
          <w:szCs w:val="32"/>
          <w:highlight w:val="none"/>
          <w:u w:val="none"/>
          <w:lang w:val="en-US" w:eastAsia="zh-CN"/>
        </w:rPr>
        <w:t>由</w:t>
      </w:r>
      <w:r>
        <w:rPr>
          <w:rFonts w:hint="eastAsia" w:ascii="仿宋_GB2312" w:hAnsi="仿宋_GB2312" w:eastAsia="仿宋_GB2312" w:cs="仿宋_GB2312"/>
          <w:color w:val="auto"/>
          <w:sz w:val="32"/>
          <w:szCs w:val="32"/>
          <w:highlight w:val="none"/>
          <w:u w:val="none"/>
        </w:rPr>
        <w:t>拖欠劳务工人工资</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kern w:val="0"/>
          <w:sz w:val="32"/>
          <w:szCs w:val="32"/>
          <w:highlight w:val="none"/>
          <w:u w:val="none"/>
        </w:rPr>
        <w:t>如</w:t>
      </w:r>
      <w:r>
        <w:rPr>
          <w:rFonts w:hint="eastAsia" w:ascii="仿宋_GB2312" w:hAnsi="仿宋_GB2312" w:eastAsia="仿宋_GB2312" w:cs="仿宋_GB2312"/>
          <w:color w:val="auto"/>
          <w:kern w:val="0"/>
          <w:sz w:val="32"/>
          <w:szCs w:val="32"/>
          <w:highlight w:val="none"/>
          <w:u w:val="none"/>
          <w:lang w:val="en-US" w:eastAsia="zh-CN"/>
        </w:rPr>
        <w:t>因</w:t>
      </w:r>
      <w:r>
        <w:rPr>
          <w:rFonts w:hint="eastAsia" w:ascii="仿宋_GB2312" w:hAnsi="仿宋_GB2312" w:eastAsia="仿宋_GB2312" w:cs="仿宋_GB2312"/>
          <w:color w:val="auto"/>
          <w:kern w:val="0"/>
          <w:sz w:val="32"/>
          <w:szCs w:val="32"/>
          <w:highlight w:val="none"/>
          <w:u w:val="none"/>
        </w:rPr>
        <w:t>劳务人员劳务费用或农民工工资</w:t>
      </w:r>
      <w:r>
        <w:rPr>
          <w:rFonts w:hint="eastAsia" w:ascii="仿宋_GB2312" w:hAnsi="仿宋_GB2312" w:eastAsia="仿宋_GB2312" w:cs="仿宋_GB2312"/>
          <w:color w:val="auto"/>
          <w:kern w:val="0"/>
          <w:sz w:val="32"/>
          <w:szCs w:val="32"/>
          <w:highlight w:val="none"/>
          <w:u w:val="none"/>
          <w:lang w:val="en-US" w:eastAsia="zh-CN"/>
        </w:rPr>
        <w:t>问题</w:t>
      </w:r>
      <w:r>
        <w:rPr>
          <w:rFonts w:hint="eastAsia" w:ascii="仿宋_GB2312" w:hAnsi="仿宋_GB2312" w:eastAsia="仿宋_GB2312" w:cs="仿宋_GB2312"/>
          <w:color w:val="auto"/>
          <w:kern w:val="0"/>
          <w:sz w:val="32"/>
          <w:szCs w:val="32"/>
          <w:highlight w:val="none"/>
          <w:u w:val="none"/>
        </w:rPr>
        <w:t>引发</w:t>
      </w:r>
      <w:r>
        <w:rPr>
          <w:rFonts w:hint="eastAsia" w:ascii="仿宋_GB2312" w:hAnsi="仿宋_GB2312" w:eastAsia="仿宋_GB2312" w:cs="仿宋_GB2312"/>
          <w:color w:val="auto"/>
          <w:kern w:val="0"/>
          <w:sz w:val="32"/>
          <w:szCs w:val="32"/>
          <w:highlight w:val="none"/>
          <w:u w:val="none"/>
          <w:lang w:val="en-US" w:eastAsia="zh-CN"/>
        </w:rPr>
        <w:t>的</w:t>
      </w:r>
      <w:r>
        <w:rPr>
          <w:rFonts w:hint="eastAsia" w:ascii="仿宋_GB2312" w:hAnsi="仿宋_GB2312" w:eastAsia="仿宋_GB2312" w:cs="仿宋_GB2312"/>
          <w:color w:val="auto"/>
          <w:kern w:val="0"/>
          <w:sz w:val="32"/>
          <w:szCs w:val="32"/>
          <w:highlight w:val="none"/>
          <w:u w:val="none"/>
        </w:rPr>
        <w:t>农民工上访、闹事</w:t>
      </w:r>
      <w:r>
        <w:rPr>
          <w:rFonts w:hint="eastAsia" w:ascii="仿宋_GB2312" w:hAnsi="仿宋_GB2312" w:eastAsia="仿宋_GB2312" w:cs="仿宋_GB2312"/>
          <w:color w:val="auto"/>
          <w:kern w:val="0"/>
          <w:sz w:val="32"/>
          <w:szCs w:val="32"/>
          <w:highlight w:val="none"/>
          <w:u w:val="none"/>
          <w:lang w:val="en-US" w:eastAsia="zh-CN"/>
        </w:rPr>
        <w:t>或</w:t>
      </w:r>
      <w:r>
        <w:rPr>
          <w:rFonts w:hint="eastAsia" w:ascii="仿宋_GB2312" w:hAnsi="仿宋_GB2312" w:eastAsia="仿宋_GB2312" w:cs="仿宋_GB2312"/>
          <w:color w:val="auto"/>
          <w:sz w:val="32"/>
          <w:szCs w:val="32"/>
          <w:highlight w:val="none"/>
          <w:u w:val="none"/>
          <w:lang w:eastAsia="zh-CN"/>
        </w:rPr>
        <w:t>其他</w:t>
      </w:r>
      <w:r>
        <w:rPr>
          <w:rFonts w:hint="eastAsia" w:ascii="仿宋_GB2312" w:hAnsi="仿宋_GB2312" w:eastAsia="仿宋_GB2312" w:cs="仿宋_GB2312"/>
          <w:color w:val="auto"/>
          <w:sz w:val="32"/>
          <w:szCs w:val="32"/>
          <w:highlight w:val="none"/>
          <w:u w:val="none"/>
        </w:rPr>
        <w:t>突发事件或公共事件给发包人造成不良社会</w:t>
      </w:r>
      <w:r>
        <w:rPr>
          <w:rFonts w:hint="eastAsia" w:ascii="仿宋_GB2312" w:hAnsi="仿宋_GB2312" w:eastAsia="仿宋_GB2312" w:cs="仿宋_GB2312"/>
          <w:color w:val="auto"/>
          <w:sz w:val="32"/>
          <w:szCs w:val="32"/>
          <w:highlight w:val="none"/>
          <w:u w:val="none"/>
          <w:lang w:eastAsia="zh-CN"/>
        </w:rPr>
        <w:t>影响</w:t>
      </w:r>
      <w:r>
        <w:rPr>
          <w:rFonts w:hint="eastAsia" w:ascii="仿宋_GB2312" w:hAnsi="仿宋_GB2312" w:eastAsia="仿宋_GB2312" w:cs="仿宋_GB2312"/>
          <w:color w:val="auto"/>
          <w:sz w:val="32"/>
          <w:szCs w:val="32"/>
          <w:highlight w:val="none"/>
          <w:u w:val="none"/>
        </w:rPr>
        <w:t>或引发纠纷</w:t>
      </w:r>
      <w:r>
        <w:rPr>
          <w:rFonts w:hint="eastAsia" w:ascii="仿宋_GB2312" w:hAnsi="仿宋_GB2312" w:eastAsia="仿宋_GB2312" w:cs="仿宋_GB2312"/>
          <w:color w:val="auto"/>
          <w:kern w:val="0"/>
          <w:sz w:val="32"/>
          <w:szCs w:val="32"/>
          <w:highlight w:val="none"/>
          <w:u w:val="none"/>
          <w:lang w:val="en-US" w:eastAsia="zh-CN"/>
        </w:rPr>
        <w:t>的</w:t>
      </w:r>
      <w:r>
        <w:rPr>
          <w:rFonts w:hint="eastAsia" w:ascii="仿宋_GB2312" w:hAnsi="仿宋_GB2312" w:eastAsia="仿宋_GB2312" w:cs="仿宋_GB2312"/>
          <w:color w:val="auto"/>
          <w:kern w:val="0"/>
          <w:sz w:val="32"/>
          <w:szCs w:val="32"/>
          <w:highlight w:val="none"/>
          <w:u w:val="none"/>
        </w:rPr>
        <w:t>，发包人在核实</w:t>
      </w:r>
      <w:r>
        <w:rPr>
          <w:rFonts w:hint="eastAsia" w:ascii="仿宋_GB2312" w:hAnsi="仿宋_GB2312" w:eastAsia="仿宋_GB2312" w:cs="仿宋_GB2312"/>
          <w:kern w:val="0"/>
          <w:sz w:val="32"/>
          <w:szCs w:val="32"/>
          <w:u w:val="none"/>
          <w:lang w:val="en-US" w:eastAsia="zh-CN"/>
        </w:rPr>
        <w:t>相关情况和</w:t>
      </w:r>
      <w:r>
        <w:rPr>
          <w:rFonts w:hint="eastAsia" w:ascii="仿宋_GB2312" w:hAnsi="仿宋_GB2312" w:eastAsia="仿宋_GB2312" w:cs="仿宋_GB2312"/>
          <w:color w:val="auto"/>
          <w:kern w:val="0"/>
          <w:sz w:val="32"/>
          <w:szCs w:val="32"/>
          <w:highlight w:val="none"/>
          <w:u w:val="none"/>
        </w:rPr>
        <w:t>费用后，有权直接从工程款中代承包人支付</w:t>
      </w:r>
      <w:r>
        <w:rPr>
          <w:rFonts w:hint="eastAsia" w:ascii="仿宋_GB2312" w:hAnsi="仿宋_GB2312" w:eastAsia="仿宋_GB2312" w:cs="仿宋_GB2312"/>
          <w:kern w:val="0"/>
          <w:sz w:val="32"/>
          <w:szCs w:val="32"/>
          <w:u w:val="none"/>
          <w:lang w:val="en-US" w:eastAsia="zh-CN"/>
        </w:rPr>
        <w:t>劳务费用或员工工资</w:t>
      </w:r>
      <w:r>
        <w:rPr>
          <w:rFonts w:hint="eastAsia" w:ascii="仿宋_GB2312" w:hAnsi="仿宋_GB2312" w:eastAsia="仿宋_GB2312" w:cs="仿宋_GB2312"/>
          <w:color w:val="auto"/>
          <w:kern w:val="0"/>
          <w:sz w:val="32"/>
          <w:szCs w:val="32"/>
          <w:highlight w:val="none"/>
          <w:u w:val="none"/>
        </w:rPr>
        <w:t>，</w:t>
      </w:r>
      <w:r>
        <w:rPr>
          <w:rFonts w:hint="eastAsia" w:ascii="仿宋_GB2312" w:hAnsi="仿宋_GB2312" w:eastAsia="仿宋_GB2312" w:cs="仿宋_GB2312"/>
          <w:kern w:val="0"/>
          <w:sz w:val="32"/>
          <w:szCs w:val="32"/>
          <w:u w:val="none"/>
          <w:lang w:val="en-US" w:eastAsia="zh-CN"/>
        </w:rPr>
        <w:t>发生该等情况的，</w:t>
      </w:r>
      <w:r>
        <w:rPr>
          <w:rFonts w:hint="eastAsia" w:ascii="仿宋_GB2312" w:hAnsi="仿宋_GB2312" w:eastAsia="仿宋_GB2312" w:cs="仿宋_GB2312"/>
          <w:color w:val="auto"/>
          <w:kern w:val="0"/>
          <w:sz w:val="32"/>
          <w:szCs w:val="32"/>
          <w:highlight w:val="none"/>
          <w:u w:val="none"/>
        </w:rPr>
        <w:t>承包人还须按发包人代付</w:t>
      </w:r>
      <w:r>
        <w:rPr>
          <w:rFonts w:hint="eastAsia" w:ascii="仿宋_GB2312" w:hAnsi="仿宋_GB2312" w:eastAsia="仿宋_GB2312" w:cs="仿宋_GB2312"/>
          <w:kern w:val="0"/>
          <w:sz w:val="32"/>
          <w:szCs w:val="32"/>
          <w:u w:val="none"/>
          <w:lang w:val="en-US" w:eastAsia="zh-CN"/>
        </w:rPr>
        <w:t>劳务费或</w:t>
      </w:r>
      <w:r>
        <w:rPr>
          <w:rFonts w:hint="eastAsia" w:ascii="仿宋_GB2312" w:hAnsi="仿宋_GB2312" w:eastAsia="仿宋_GB2312" w:cs="仿宋_GB2312"/>
          <w:color w:val="auto"/>
          <w:kern w:val="0"/>
          <w:sz w:val="32"/>
          <w:szCs w:val="32"/>
          <w:highlight w:val="none"/>
          <w:u w:val="none"/>
        </w:rPr>
        <w:t>工资总额的10%向发包人支付违约金；以上费用均从当期工程款中予以扣除。如因劳务人员罢工、上访等情况导致发包人损失或导致工程延误的，均视为承包人违约。</w:t>
      </w:r>
    </w:p>
    <w:p w14:paraId="244E0AD6">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rPr>
        <w:t>③因承包人原因发生农民工两次上访</w:t>
      </w:r>
      <w:r>
        <w:rPr>
          <w:rFonts w:hint="eastAsia" w:ascii="仿宋_GB2312" w:hAnsi="仿宋_GB2312" w:eastAsia="仿宋_GB2312" w:cs="仿宋_GB2312"/>
          <w:color w:val="auto"/>
          <w:kern w:val="0"/>
          <w:sz w:val="32"/>
          <w:szCs w:val="32"/>
          <w:highlight w:val="none"/>
          <w:u w:val="none"/>
          <w:lang w:val="en-US" w:eastAsia="zh-CN"/>
        </w:rPr>
        <w:t>或</w:t>
      </w:r>
      <w:r>
        <w:rPr>
          <w:rFonts w:hint="eastAsia" w:ascii="仿宋_GB2312" w:hAnsi="仿宋_GB2312" w:eastAsia="仿宋_GB2312" w:cs="仿宋_GB2312"/>
          <w:color w:val="auto"/>
          <w:kern w:val="0"/>
          <w:sz w:val="32"/>
          <w:szCs w:val="32"/>
          <w:highlight w:val="none"/>
          <w:u w:val="none"/>
        </w:rPr>
        <w:t>讨薪的，按严重违约处理。</w:t>
      </w:r>
    </w:p>
    <w:p w14:paraId="24418F64">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rPr>
        <w:t>④承包人组织的施工人员</w:t>
      </w:r>
      <w:r>
        <w:rPr>
          <w:rFonts w:hint="eastAsia" w:ascii="仿宋_GB2312" w:hAnsi="仿宋_GB2312" w:eastAsia="仿宋_GB2312" w:cs="仿宋_GB2312"/>
          <w:color w:val="auto"/>
          <w:kern w:val="0"/>
          <w:sz w:val="32"/>
          <w:szCs w:val="32"/>
          <w:highlight w:val="none"/>
          <w:u w:val="none"/>
          <w:lang w:val="en-US" w:eastAsia="zh-CN"/>
        </w:rPr>
        <w:t>或分包方雇佣的人员或实际施工人雇佣的人员等，</w:t>
      </w:r>
      <w:r>
        <w:rPr>
          <w:rFonts w:hint="eastAsia" w:ascii="仿宋_GB2312" w:hAnsi="仿宋_GB2312" w:eastAsia="仿宋_GB2312" w:cs="仿宋_GB2312"/>
          <w:color w:val="auto"/>
          <w:kern w:val="0"/>
          <w:sz w:val="32"/>
          <w:szCs w:val="32"/>
          <w:highlight w:val="none"/>
          <w:u w:val="none"/>
        </w:rPr>
        <w:t>以农民工工资</w:t>
      </w:r>
      <w:r>
        <w:rPr>
          <w:rFonts w:hint="eastAsia" w:ascii="仿宋_GB2312" w:hAnsi="仿宋_GB2312" w:eastAsia="仿宋_GB2312" w:cs="仿宋_GB2312"/>
          <w:color w:val="auto"/>
          <w:kern w:val="0"/>
          <w:sz w:val="32"/>
          <w:szCs w:val="32"/>
          <w:highlight w:val="none"/>
          <w:u w:val="none"/>
          <w:lang w:eastAsia="zh-CN"/>
        </w:rPr>
        <w:t>（</w:t>
      </w:r>
      <w:r>
        <w:rPr>
          <w:rFonts w:hint="eastAsia" w:ascii="仿宋_GB2312" w:hAnsi="仿宋_GB2312" w:eastAsia="仿宋_GB2312" w:cs="仿宋_GB2312"/>
          <w:color w:val="auto"/>
          <w:kern w:val="0"/>
          <w:sz w:val="32"/>
          <w:szCs w:val="32"/>
          <w:highlight w:val="none"/>
          <w:u w:val="none"/>
          <w:lang w:val="en-US" w:eastAsia="zh-CN"/>
        </w:rPr>
        <w:t>或劳务费用）</w:t>
      </w:r>
      <w:r>
        <w:rPr>
          <w:rFonts w:hint="eastAsia" w:ascii="仿宋_GB2312" w:hAnsi="仿宋_GB2312" w:eastAsia="仿宋_GB2312" w:cs="仿宋_GB2312"/>
          <w:color w:val="auto"/>
          <w:kern w:val="0"/>
          <w:sz w:val="32"/>
          <w:szCs w:val="32"/>
          <w:highlight w:val="none"/>
          <w:u w:val="none"/>
        </w:rPr>
        <w:t>拖欠为由</w:t>
      </w:r>
      <w:r>
        <w:rPr>
          <w:rFonts w:hint="eastAsia" w:ascii="仿宋_GB2312" w:hAnsi="仿宋_GB2312" w:eastAsia="仿宋_GB2312" w:cs="仿宋_GB2312"/>
          <w:color w:val="auto"/>
          <w:kern w:val="0"/>
          <w:sz w:val="32"/>
          <w:szCs w:val="32"/>
          <w:highlight w:val="none"/>
          <w:u w:val="none"/>
          <w:lang w:val="en-US" w:eastAsia="zh-CN"/>
        </w:rPr>
        <w:t>讨薪或</w:t>
      </w:r>
      <w:r>
        <w:rPr>
          <w:rFonts w:hint="eastAsia" w:ascii="仿宋_GB2312" w:hAnsi="仿宋_GB2312" w:eastAsia="仿宋_GB2312" w:cs="仿宋_GB2312"/>
          <w:color w:val="auto"/>
          <w:kern w:val="0"/>
          <w:sz w:val="32"/>
          <w:szCs w:val="32"/>
          <w:highlight w:val="none"/>
          <w:u w:val="none"/>
        </w:rPr>
        <w:t>投诉并影响发包人正常工作秩序，发包人有权从承包人的工程款中预提部分资金用于发放员工工资（含农民工工资）</w:t>
      </w:r>
      <w:r>
        <w:rPr>
          <w:rFonts w:hint="eastAsia" w:ascii="仿宋_GB2312" w:hAnsi="仿宋_GB2312" w:eastAsia="仿宋_GB2312" w:cs="仿宋_GB2312"/>
          <w:color w:val="auto"/>
          <w:kern w:val="0"/>
          <w:sz w:val="32"/>
          <w:szCs w:val="32"/>
          <w:highlight w:val="none"/>
          <w:u w:val="none"/>
          <w:lang w:val="en-US" w:eastAsia="zh-CN"/>
        </w:rPr>
        <w:t>或劳务费用</w:t>
      </w:r>
      <w:r>
        <w:rPr>
          <w:rFonts w:hint="eastAsia" w:ascii="仿宋_GB2312" w:hAnsi="仿宋_GB2312" w:eastAsia="仿宋_GB2312" w:cs="仿宋_GB2312"/>
          <w:color w:val="auto"/>
          <w:kern w:val="0"/>
          <w:sz w:val="32"/>
          <w:szCs w:val="32"/>
          <w:highlight w:val="none"/>
          <w:u w:val="none"/>
        </w:rPr>
        <w:t>，相关费用发包人将从工程款中扣除，同时承包人还应承担给发包人因其所造成的连带法律责任和经济损失，情节严重的，发包人有权单方面解除合同。</w:t>
      </w:r>
    </w:p>
    <w:p w14:paraId="4DAD9CA2">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rPr>
        <w:t>（11）承包人须根据上级主管部门印发的关于建设工程相关管理办法、建设指导意见及建设标准实施项目建设管理</w:t>
      </w:r>
      <w:r>
        <w:rPr>
          <w:rFonts w:hint="eastAsia" w:ascii="仿宋_GB2312" w:hAnsi="仿宋_GB2312" w:eastAsia="仿宋_GB2312" w:cs="仿宋_GB2312"/>
          <w:color w:val="auto"/>
          <w:kern w:val="0"/>
          <w:sz w:val="32"/>
          <w:szCs w:val="32"/>
          <w:highlight w:val="none"/>
          <w:u w:val="none"/>
          <w:lang w:eastAsia="zh-CN"/>
        </w:rPr>
        <w:t>。</w:t>
      </w:r>
      <w:r>
        <w:rPr>
          <w:rFonts w:hint="eastAsia" w:ascii="仿宋_GB2312" w:hAnsi="仿宋_GB2312" w:eastAsia="仿宋_GB2312" w:cs="仿宋_GB2312"/>
          <w:color w:val="auto"/>
          <w:kern w:val="0"/>
          <w:sz w:val="32"/>
          <w:szCs w:val="32"/>
          <w:highlight w:val="none"/>
          <w:u w:val="none"/>
        </w:rPr>
        <w:t>经检查，每发现一次承包人因自身原因未能落实的，承包人应向发包人承担一次一般违约责任，但不免除承包人继续按相关规定实施建设管理的义务。</w:t>
      </w:r>
    </w:p>
    <w:p w14:paraId="4AF0C7C7">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rPr>
        <w:t>（12）承包人违约后须按要求进行返工、修复、采取有效的补救或防治措施、恢复现状、赔偿损失等，且返工补救完成后承包人向发包人支付相对应的违约金，违约金缴纳时间应在发包人要求的期限日期内缴纳，承包人应按发包人的限期整改日期要求完成相应整改内容。</w:t>
      </w:r>
    </w:p>
    <w:p w14:paraId="308F817D">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rPr>
        <w:t>（13）竣工验收违约责任：如因承包人原因，未积极配合竣工验收、未及时按要求提交设计变更资料等影响项目竣工验收进度的，承包人应向发包人支付违约金1万元/次；未及时验收被巡视检查或审计追责的，除在履约评价扣分外，承包人应向发包人支付违约金5万元/次。</w:t>
      </w:r>
    </w:p>
    <w:p w14:paraId="11D5FD05">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rPr>
        <w:t>（14）</w:t>
      </w:r>
      <w:r>
        <w:rPr>
          <w:rFonts w:hint="eastAsia" w:ascii="仿宋_GB2312" w:hAnsi="仿宋_GB2312" w:eastAsia="仿宋_GB2312" w:cs="仿宋_GB2312"/>
          <w:color w:val="auto"/>
          <w:sz w:val="32"/>
          <w:szCs w:val="32"/>
          <w:highlight w:val="none"/>
          <w:u w:val="none"/>
        </w:rPr>
        <w:t>发包人将定期或不定期对承包人进行专款专用检查。</w:t>
      </w:r>
      <w:r>
        <w:rPr>
          <w:rFonts w:hint="eastAsia" w:ascii="仿宋_GB2312" w:hAnsi="仿宋_GB2312" w:eastAsia="仿宋_GB2312" w:cs="仿宋_GB2312"/>
          <w:color w:val="auto"/>
          <w:kern w:val="0"/>
          <w:sz w:val="32"/>
          <w:szCs w:val="32"/>
          <w:highlight w:val="none"/>
          <w:u w:val="none"/>
        </w:rPr>
        <w:t>发包人每发现承包人挪用或转移工程款一次，承包人按当次挪用或转移金额的10%向发包人支付违约金，承包人应自收到整改通知书之日起5个工作日内归还挪用或转移资金至专用账户。若承包人5个工作日后仍未归还完毕，每逾期1日，按照未归还金额的0.6‰向发包人承担违约金。</w:t>
      </w:r>
    </w:p>
    <w:p w14:paraId="4367F3F7">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rPr>
        <w:t>（15）由承包人自行招标的依法必须招标的暂估价项目，承包人未按照法律法规规定或合同约定进行和开展招标的，发包人不予认价，由此产生的一切法律责任及由此造成的一切损失、后果均由承包人自行承担（包括但不限于应招未招的法律责任及损失、后果等），同时承包人应向发包人支付应招未招暂估价项目总价20%的违约金，并赔偿或承担因此造成的发包人的全部损失（该损失包括但不限于发包人需支出的律师费、诉讼费、鉴定费、评估费，以及发包人需赔偿业主和第三者的违约金和影响发包人生产、经营活动造成的损失等），同时，发包人有权向建设行政主管部门报告。</w:t>
      </w:r>
    </w:p>
    <w:p w14:paraId="2849F851">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lang w:val="en-US" w:eastAsia="zh-CN"/>
        </w:rPr>
      </w:pPr>
      <w:r>
        <w:rPr>
          <w:rFonts w:hint="eastAsia" w:ascii="仿宋_GB2312" w:hAnsi="仿宋_GB2312" w:eastAsia="仿宋_GB2312" w:cs="仿宋_GB2312"/>
          <w:color w:val="auto"/>
          <w:kern w:val="0"/>
          <w:sz w:val="32"/>
          <w:szCs w:val="32"/>
          <w:highlight w:val="none"/>
          <w:u w:val="none"/>
        </w:rPr>
        <w:t>（16）</w:t>
      </w:r>
      <w:r>
        <w:rPr>
          <w:rFonts w:hint="eastAsia" w:ascii="仿宋_GB2312" w:hAnsi="仿宋_GB2312" w:eastAsia="仿宋_GB2312" w:cs="仿宋_GB2312"/>
          <w:color w:val="auto"/>
          <w:kern w:val="0"/>
          <w:sz w:val="32"/>
          <w:szCs w:val="32"/>
          <w:highlight w:val="none"/>
          <w:u w:val="none"/>
          <w:lang w:val="en-US" w:eastAsia="zh-CN"/>
        </w:rPr>
        <w:t>签订合同后，</w:t>
      </w:r>
      <w:r>
        <w:rPr>
          <w:rFonts w:hint="eastAsia" w:ascii="仿宋_GB2312" w:hAnsi="仿宋_GB2312" w:eastAsia="仿宋_GB2312" w:cs="仿宋_GB2312"/>
          <w:color w:val="auto"/>
          <w:kern w:val="0"/>
          <w:sz w:val="32"/>
          <w:szCs w:val="32"/>
          <w:highlight w:val="none"/>
          <w:u w:val="none"/>
        </w:rPr>
        <w:t>承包人不能按本合同专用条款第3.7条约定向发包人提交履约担保的，视为承包人毁约，发包人有权单方解除合同，由此造成的</w:t>
      </w:r>
      <w:r>
        <w:rPr>
          <w:rFonts w:hint="eastAsia" w:ascii="仿宋_GB2312" w:hAnsi="仿宋_GB2312" w:eastAsia="仿宋_GB2312" w:cs="仿宋_GB2312"/>
          <w:color w:val="auto"/>
          <w:sz w:val="32"/>
          <w:szCs w:val="32"/>
          <w:highlight w:val="none"/>
          <w:u w:val="none"/>
        </w:rPr>
        <w:t>一切损失和后果均由承包人自行承担，同时承包人应向发包人支付</w:t>
      </w:r>
      <w:r>
        <w:rPr>
          <w:rFonts w:hint="eastAsia" w:ascii="仿宋_GB2312" w:hAnsi="仿宋_GB2312" w:eastAsia="仿宋_GB2312" w:cs="仿宋_GB2312"/>
          <w:color w:val="auto"/>
          <w:sz w:val="32"/>
          <w:szCs w:val="32"/>
          <w:highlight w:val="none"/>
          <w:u w:val="none"/>
          <w:lang w:val="en-US" w:eastAsia="zh-CN"/>
        </w:rPr>
        <w:t>本项目施工招标控制价1%</w:t>
      </w:r>
      <w:r>
        <w:rPr>
          <w:rFonts w:hint="eastAsia" w:ascii="仿宋_GB2312" w:hAnsi="仿宋_GB2312" w:eastAsia="仿宋_GB2312" w:cs="仿宋_GB2312"/>
          <w:color w:val="auto"/>
          <w:sz w:val="32"/>
          <w:szCs w:val="32"/>
          <w:highlight w:val="none"/>
          <w:u w:val="none"/>
        </w:rPr>
        <w:t>的违约金</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lang w:val="en-US" w:eastAsia="zh-CN"/>
        </w:rPr>
        <w:t>违约金最高限额为</w:t>
      </w:r>
      <w:r>
        <w:rPr>
          <w:rFonts w:hint="eastAsia" w:ascii="仿宋_GB2312" w:hAnsi="仿宋_GB2312" w:eastAsia="仿宋_GB2312" w:cs="仿宋_GB2312"/>
          <w:color w:val="auto"/>
          <w:sz w:val="32"/>
          <w:szCs w:val="32"/>
          <w:highlight w:val="none"/>
          <w:u w:val="none"/>
        </w:rPr>
        <w:t>50万元</w:t>
      </w:r>
      <w:r>
        <w:rPr>
          <w:rFonts w:hint="eastAsia" w:ascii="仿宋_GB2312" w:hAnsi="仿宋_GB2312" w:eastAsia="仿宋_GB2312" w:cs="仿宋_GB2312"/>
          <w:color w:val="auto"/>
          <w:kern w:val="0"/>
          <w:sz w:val="32"/>
          <w:szCs w:val="32"/>
          <w:highlight w:val="none"/>
          <w:u w:val="none"/>
        </w:rPr>
        <w:t>。采用银行保函</w:t>
      </w:r>
      <w:r>
        <w:rPr>
          <w:rFonts w:hint="eastAsia" w:ascii="仿宋_GB2312" w:hAnsi="仿宋_GB2312" w:eastAsia="仿宋_GB2312" w:cs="仿宋_GB2312"/>
          <w:kern w:val="0"/>
          <w:sz w:val="32"/>
          <w:szCs w:val="32"/>
          <w:u w:val="none"/>
          <w:lang w:val="en-US" w:eastAsia="zh-CN"/>
        </w:rPr>
        <w:t>或非银行金融机构保函或连带责任保证</w:t>
      </w:r>
      <w:r>
        <w:rPr>
          <w:rFonts w:hint="eastAsia" w:ascii="仿宋_GB2312" w:hAnsi="仿宋_GB2312" w:eastAsia="仿宋_GB2312" w:cs="仿宋_GB2312"/>
          <w:color w:val="auto"/>
          <w:kern w:val="0"/>
          <w:sz w:val="32"/>
          <w:szCs w:val="32"/>
          <w:highlight w:val="none"/>
          <w:u w:val="none"/>
        </w:rPr>
        <w:t>形式提交履约担保的，如承包人未按专用合同条款第3.7条约定日期办理延期手续</w:t>
      </w:r>
      <w:r>
        <w:rPr>
          <w:rFonts w:hint="eastAsia" w:ascii="仿宋_GB2312" w:hAnsi="仿宋_GB2312" w:eastAsia="仿宋_GB2312" w:cs="仿宋_GB2312"/>
          <w:color w:val="auto"/>
          <w:kern w:val="0"/>
          <w:sz w:val="32"/>
          <w:szCs w:val="32"/>
          <w:highlight w:val="none"/>
          <w:u w:val="none"/>
          <w:lang w:val="en-US" w:eastAsia="zh-CN"/>
        </w:rPr>
        <w:t>的</w:t>
      </w:r>
      <w:r>
        <w:rPr>
          <w:rFonts w:hint="eastAsia" w:ascii="仿宋_GB2312" w:hAnsi="仿宋_GB2312" w:eastAsia="仿宋_GB2312" w:cs="仿宋_GB2312"/>
          <w:color w:val="auto"/>
          <w:kern w:val="0"/>
          <w:sz w:val="32"/>
          <w:szCs w:val="32"/>
          <w:highlight w:val="none"/>
          <w:u w:val="none"/>
        </w:rPr>
        <w:t>，每逾期一天，承包人</w:t>
      </w:r>
      <w:r>
        <w:rPr>
          <w:rFonts w:hint="eastAsia" w:ascii="仿宋_GB2312" w:hAnsi="仿宋_GB2312" w:eastAsia="仿宋_GB2312" w:cs="仿宋_GB2312"/>
          <w:color w:val="auto"/>
          <w:kern w:val="0"/>
          <w:sz w:val="32"/>
          <w:szCs w:val="32"/>
          <w:highlight w:val="none"/>
          <w:u w:val="none"/>
          <w:lang w:val="en-US" w:eastAsia="zh-CN"/>
        </w:rPr>
        <w:t>应</w:t>
      </w:r>
      <w:r>
        <w:rPr>
          <w:rFonts w:hint="eastAsia" w:ascii="仿宋_GB2312" w:hAnsi="仿宋_GB2312" w:eastAsia="仿宋_GB2312" w:cs="仿宋_GB2312"/>
          <w:color w:val="auto"/>
          <w:kern w:val="0"/>
          <w:sz w:val="32"/>
          <w:szCs w:val="32"/>
          <w:highlight w:val="none"/>
          <w:u w:val="none"/>
        </w:rPr>
        <w:t>向发包人支付1万元/天的违约金；履约担保期满超过30天（含）</w:t>
      </w:r>
      <w:r>
        <w:rPr>
          <w:rFonts w:hint="eastAsia" w:ascii="仿宋_GB2312" w:hAnsi="仿宋_GB2312" w:eastAsia="仿宋_GB2312" w:cs="仿宋_GB2312"/>
          <w:kern w:val="0"/>
          <w:sz w:val="32"/>
          <w:szCs w:val="32"/>
          <w:u w:val="none"/>
          <w:lang w:val="en-US" w:eastAsia="zh-CN"/>
        </w:rPr>
        <w:t>未</w:t>
      </w:r>
      <w:r>
        <w:rPr>
          <w:rFonts w:hint="eastAsia" w:ascii="仿宋_GB2312" w:hAnsi="仿宋_GB2312" w:eastAsia="仿宋_GB2312" w:cs="仿宋_GB2312"/>
          <w:kern w:val="0"/>
          <w:sz w:val="32"/>
          <w:szCs w:val="32"/>
          <w:u w:val="none"/>
        </w:rPr>
        <w:t>办理延期手续</w:t>
      </w:r>
      <w:r>
        <w:rPr>
          <w:rFonts w:hint="eastAsia" w:ascii="仿宋_GB2312" w:hAnsi="仿宋_GB2312" w:eastAsia="仿宋_GB2312" w:cs="仿宋_GB2312"/>
          <w:color w:val="auto"/>
          <w:kern w:val="0"/>
          <w:sz w:val="32"/>
          <w:szCs w:val="32"/>
          <w:highlight w:val="none"/>
          <w:u w:val="none"/>
        </w:rPr>
        <w:t>的，发包人有权单方解除合同，由此所造成的所有损失由承包人自行承担。</w:t>
      </w:r>
      <w:r>
        <w:rPr>
          <w:rFonts w:hint="eastAsia" w:ascii="仿宋_GB2312" w:hAnsi="仿宋_GB2312" w:eastAsia="仿宋_GB2312" w:cs="仿宋_GB2312"/>
          <w:color w:val="auto"/>
          <w:kern w:val="0"/>
          <w:sz w:val="32"/>
          <w:szCs w:val="32"/>
          <w:highlight w:val="none"/>
          <w:u w:val="none"/>
          <w:lang w:val="en-US" w:eastAsia="zh-CN"/>
        </w:rPr>
        <w:t>上述</w:t>
      </w:r>
      <w:r>
        <w:rPr>
          <w:rFonts w:hint="eastAsia" w:ascii="仿宋_GB2312" w:hAnsi="仿宋_GB2312" w:eastAsia="仿宋_GB2312" w:cs="仿宋_GB2312"/>
          <w:color w:val="auto"/>
          <w:sz w:val="32"/>
          <w:szCs w:val="32"/>
          <w:highlight w:val="none"/>
          <w:u w:val="none"/>
          <w:lang w:val="en-US" w:eastAsia="zh-Hans"/>
        </w:rPr>
        <w:t>违约金不足以弥补发包人损失的</w:t>
      </w:r>
      <w:r>
        <w:rPr>
          <w:rFonts w:hint="eastAsia" w:ascii="仿宋_GB2312" w:hAnsi="仿宋_GB2312" w:eastAsia="仿宋_GB2312" w:cs="仿宋_GB2312"/>
          <w:color w:val="auto"/>
          <w:sz w:val="32"/>
          <w:szCs w:val="32"/>
          <w:highlight w:val="none"/>
          <w:u w:val="none"/>
          <w:lang w:eastAsia="zh-Hans"/>
        </w:rPr>
        <w:t>，</w:t>
      </w:r>
      <w:r>
        <w:rPr>
          <w:rFonts w:hint="eastAsia" w:ascii="仿宋_GB2312" w:hAnsi="仿宋_GB2312" w:eastAsia="仿宋_GB2312" w:cs="仿宋_GB2312"/>
          <w:color w:val="auto"/>
          <w:sz w:val="32"/>
          <w:szCs w:val="32"/>
          <w:highlight w:val="none"/>
          <w:u w:val="none"/>
          <w:lang w:val="en-US" w:eastAsia="zh-Hans"/>
        </w:rPr>
        <w:t>承包人还需补足</w:t>
      </w:r>
      <w:r>
        <w:rPr>
          <w:rFonts w:hint="eastAsia" w:ascii="仿宋_GB2312" w:hAnsi="仿宋_GB2312" w:eastAsia="仿宋_GB2312" w:cs="仿宋_GB2312"/>
          <w:color w:val="auto"/>
          <w:sz w:val="32"/>
          <w:szCs w:val="32"/>
          <w:highlight w:val="none"/>
          <w:u w:val="none"/>
          <w:lang w:val="en-US" w:eastAsia="zh-CN"/>
        </w:rPr>
        <w:t>。</w:t>
      </w:r>
    </w:p>
    <w:p w14:paraId="60E7E05A">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kern w:val="0"/>
          <w:sz w:val="32"/>
          <w:szCs w:val="32"/>
          <w:highlight w:val="none"/>
          <w:u w:val="none"/>
        </w:rPr>
        <w:t>（17）</w:t>
      </w:r>
      <w:r>
        <w:rPr>
          <w:rFonts w:hint="eastAsia" w:ascii="仿宋_GB2312" w:hAnsi="仿宋_GB2312" w:eastAsia="仿宋_GB2312" w:cs="仿宋_GB2312"/>
          <w:color w:val="auto"/>
          <w:sz w:val="32"/>
          <w:szCs w:val="32"/>
          <w:highlight w:val="none"/>
          <w:u w:val="none"/>
          <w:lang w:val="en-US" w:eastAsia="zh-CN" w:bidi="ar"/>
        </w:rPr>
        <w:t>如承包人以弄虚作假或伪造证明材料等方式骗取更改履约担保方式的，视为承包人不按照本合同履行义务，承包人除应向发包人承担合同签约含税总价1‰的违约金外，还应在发包人要求的限期内按合同原约定履约担保方式提供担保，同时发包人有权如实报送相关主管部门。如承包人未按发包人要求限期提交履约担保的，发包人有权单方解除合同。</w:t>
      </w:r>
    </w:p>
    <w:p w14:paraId="29FD5527">
      <w:pPr>
        <w:pageBreakBefore w:val="0"/>
        <w:widowControl w:val="0"/>
        <w:kinsoku/>
        <w:wordWrap/>
        <w:overflowPunct/>
        <w:topLinePunct w:val="0"/>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lang w:eastAsia="zh-CN"/>
        </w:rPr>
        <w:t>（</w:t>
      </w:r>
      <w:r>
        <w:rPr>
          <w:rFonts w:hint="eastAsia" w:ascii="仿宋_GB2312" w:hAnsi="仿宋_GB2312" w:eastAsia="仿宋_GB2312" w:cs="仿宋_GB2312"/>
          <w:color w:val="auto"/>
          <w:kern w:val="0"/>
          <w:sz w:val="32"/>
          <w:szCs w:val="32"/>
          <w:highlight w:val="none"/>
          <w:u w:val="none"/>
          <w:lang w:val="en-US" w:eastAsia="zh-CN"/>
        </w:rPr>
        <w:t>18</w:t>
      </w:r>
      <w:r>
        <w:rPr>
          <w:rFonts w:hint="eastAsia" w:ascii="仿宋_GB2312" w:hAnsi="仿宋_GB2312" w:eastAsia="仿宋_GB2312" w:cs="仿宋_GB2312"/>
          <w:color w:val="auto"/>
          <w:kern w:val="0"/>
          <w:sz w:val="32"/>
          <w:szCs w:val="32"/>
          <w:highlight w:val="none"/>
          <w:u w:val="none"/>
          <w:lang w:eastAsia="zh-CN"/>
        </w:rPr>
        <w:t>）</w:t>
      </w:r>
      <w:r>
        <w:rPr>
          <w:rFonts w:hint="eastAsia" w:ascii="仿宋_GB2312" w:hAnsi="仿宋_GB2312" w:eastAsia="仿宋_GB2312" w:cs="仿宋_GB2312"/>
          <w:color w:val="auto"/>
          <w:kern w:val="0"/>
          <w:sz w:val="32"/>
          <w:szCs w:val="32"/>
          <w:highlight w:val="none"/>
          <w:u w:val="none"/>
        </w:rPr>
        <w:t>签订合同后，承包人未按本合同专用条款第12.2.2条的约定向发包人提交预付款担保的，视为承包人毁约，发包人有权单方解除合同，由此造成的一切损失和后果均由承包人承担，同时承包人应向发包人支付本合同预付款的1%作为违约金，违约金最高限额为50万元。采用银行保函</w:t>
      </w:r>
      <w:r>
        <w:rPr>
          <w:rFonts w:hint="eastAsia" w:ascii="仿宋_GB2312" w:hAnsi="仿宋_GB2312" w:eastAsia="仿宋_GB2312" w:cs="仿宋_GB2312"/>
          <w:kern w:val="0"/>
          <w:sz w:val="32"/>
          <w:szCs w:val="32"/>
          <w:u w:val="none"/>
          <w:lang w:val="en-US" w:eastAsia="zh-CN"/>
        </w:rPr>
        <w:t>或非银行金融机构保函或连带责任保证</w:t>
      </w:r>
      <w:r>
        <w:rPr>
          <w:rFonts w:hint="eastAsia" w:ascii="仿宋_GB2312" w:hAnsi="仿宋_GB2312" w:eastAsia="仿宋_GB2312" w:cs="仿宋_GB2312"/>
          <w:color w:val="auto"/>
          <w:kern w:val="0"/>
          <w:sz w:val="32"/>
          <w:szCs w:val="32"/>
          <w:highlight w:val="none"/>
          <w:u w:val="none"/>
        </w:rPr>
        <w:t>形式提交预付款担保的，如承包人未按专用合同条款第12.2.2条约定日期办理延期手续的，每逾期一天，承包人应向发包人支付1万元/天的违约金；预付款担保期满超过30天（含）</w:t>
      </w:r>
      <w:r>
        <w:rPr>
          <w:rFonts w:hint="eastAsia" w:ascii="仿宋_GB2312" w:hAnsi="仿宋_GB2312" w:eastAsia="仿宋_GB2312" w:cs="仿宋_GB2312"/>
          <w:kern w:val="0"/>
          <w:sz w:val="32"/>
          <w:szCs w:val="32"/>
          <w:u w:val="none"/>
          <w:lang w:val="en-US" w:eastAsia="zh-CN"/>
        </w:rPr>
        <w:t>未</w:t>
      </w:r>
      <w:r>
        <w:rPr>
          <w:rFonts w:hint="eastAsia" w:ascii="仿宋_GB2312" w:hAnsi="仿宋_GB2312" w:eastAsia="仿宋_GB2312" w:cs="仿宋_GB2312"/>
          <w:kern w:val="0"/>
          <w:sz w:val="32"/>
          <w:szCs w:val="32"/>
          <w:u w:val="none"/>
        </w:rPr>
        <w:t>办理延期手续</w:t>
      </w:r>
      <w:r>
        <w:rPr>
          <w:rFonts w:hint="eastAsia" w:ascii="仿宋_GB2312" w:hAnsi="仿宋_GB2312" w:eastAsia="仿宋_GB2312" w:cs="仿宋_GB2312"/>
          <w:kern w:val="0"/>
          <w:sz w:val="32"/>
          <w:szCs w:val="32"/>
          <w:u w:val="none"/>
          <w:lang w:val="en-US" w:eastAsia="zh-CN"/>
        </w:rPr>
        <w:t>的</w:t>
      </w:r>
      <w:r>
        <w:rPr>
          <w:rFonts w:hint="eastAsia" w:ascii="仿宋_GB2312" w:hAnsi="仿宋_GB2312" w:eastAsia="仿宋_GB2312" w:cs="仿宋_GB2312"/>
          <w:color w:val="auto"/>
          <w:kern w:val="0"/>
          <w:sz w:val="32"/>
          <w:szCs w:val="32"/>
          <w:highlight w:val="none"/>
          <w:u w:val="none"/>
        </w:rPr>
        <w:t>，发包人有权单方解除合同，由此所造成的所有损失由承包人自行承担。上述违约金不足以弥补发包人损失的，承包人还应补足。</w:t>
      </w:r>
    </w:p>
    <w:p w14:paraId="2B4BECD3">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rPr>
        <w:t>（19）申请进度款（预付款）违约责任：如因承包人原因，未按合同约定申请进度款（预付款），或因承包人原因造成付款延迟的，承包人承担一般违约责任并承担延迟付款导致的后果，承包人按一般违约责任向发包人支付违约金。</w:t>
      </w:r>
    </w:p>
    <w:p w14:paraId="58A8A4FA">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lang w:eastAsia="zh-CN"/>
        </w:rPr>
        <w:t>（</w:t>
      </w:r>
      <w:r>
        <w:rPr>
          <w:rFonts w:hint="eastAsia" w:ascii="仿宋_GB2312" w:hAnsi="仿宋_GB2312" w:eastAsia="仿宋_GB2312" w:cs="仿宋_GB2312"/>
          <w:color w:val="auto"/>
          <w:kern w:val="0"/>
          <w:sz w:val="32"/>
          <w:szCs w:val="32"/>
          <w:highlight w:val="none"/>
          <w:u w:val="none"/>
          <w:lang w:val="en-US" w:eastAsia="zh-CN"/>
        </w:rPr>
        <w:t>20</w:t>
      </w:r>
      <w:r>
        <w:rPr>
          <w:rFonts w:hint="eastAsia" w:ascii="仿宋_GB2312" w:hAnsi="仿宋_GB2312" w:eastAsia="仿宋_GB2312" w:cs="仿宋_GB2312"/>
          <w:color w:val="auto"/>
          <w:kern w:val="0"/>
          <w:sz w:val="32"/>
          <w:szCs w:val="32"/>
          <w:highlight w:val="none"/>
          <w:u w:val="none"/>
          <w:lang w:eastAsia="zh-CN"/>
        </w:rPr>
        <w:t>）</w:t>
      </w:r>
      <w:r>
        <w:rPr>
          <w:rFonts w:hint="eastAsia" w:ascii="仿宋_GB2312" w:hAnsi="仿宋_GB2312" w:eastAsia="仿宋_GB2312" w:cs="仿宋_GB2312"/>
          <w:color w:val="auto"/>
          <w:kern w:val="0"/>
          <w:sz w:val="32"/>
          <w:szCs w:val="32"/>
          <w:highlight w:val="none"/>
          <w:u w:val="none"/>
        </w:rPr>
        <w:t>涉及现场管理的违约责任</w:t>
      </w:r>
    </w:p>
    <w:p w14:paraId="1E4CE3A4">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rPr>
        <w:t>①承包人在施工过程中，应按发包人要求无条件积极配合其他工程施工承包单位进场，进行工作面交接及相关工作的协助配合。如承包人不配合其他施工承包单位进行工作面交接及相关工作的协助配合，视为承包人违约，承包人应每次向发包人支付签约合同总价0.2‰的违约金，且不得少于人民币2万元/次，发包人有权要求承包人改正，直至解除合同。</w:t>
      </w:r>
    </w:p>
    <w:p w14:paraId="6E4EC3DA">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rPr>
        <w:t>②项目技术负责人、安全员、质检员必须按发包人及相关规范要求出席各种会议及活动，因故不能参加的应提前半天提出书面申请并经发包人书面批准后方可缺席，否则每人次处罚0.2万元人民币，由发包人从承包人的进度款中扣除。</w:t>
      </w:r>
    </w:p>
    <w:p w14:paraId="02B67369">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rPr>
        <w:t>③服从发包人、监理人的管理：承包人应按发包人、监理人的要求对项目及现场进行管理工作，如发包人、监理人对承包人的不当行为提出警告仍不改正的，发包人可根据情况提出违约处罚，承包人须从其账户向发包人账户支付违约金。</w:t>
      </w:r>
    </w:p>
    <w:p w14:paraId="27B6BB86">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rPr>
        <w:t>④如果承包人在施工过程中有不配合发包人和监理人的工作或不遵守有关法规的行为，发包人有权单方面决定对承包人进行不良记录登记，并在媒体上发布，承包人须无条件接受，并同意不追究发包人的责任。</w:t>
      </w:r>
    </w:p>
    <w:p w14:paraId="5615962D">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lang w:eastAsia="zh-CN"/>
        </w:rPr>
      </w:pPr>
      <w:r>
        <w:rPr>
          <w:rFonts w:hint="eastAsia" w:ascii="仿宋_GB2312" w:hAnsi="仿宋_GB2312" w:eastAsia="仿宋_GB2312" w:cs="仿宋_GB2312"/>
          <w:color w:val="auto"/>
          <w:kern w:val="0"/>
          <w:sz w:val="32"/>
          <w:szCs w:val="32"/>
          <w:highlight w:val="none"/>
          <w:u w:val="none"/>
        </w:rPr>
        <w:t>⑤在项目实施过程中，发包人不定期检查并核验项目机构人员的身份证、职称证或注册工程师执业资格证书等原件，核查拟派人员到位履约情况，如发现项目机构人员不到位或与发包人审批的拟派项目机构人员名册中的人员不符，视为承包人严重违约，经公证机构确认后，发包人有权解除合同并没收履约保证金。</w:t>
      </w:r>
    </w:p>
    <w:p w14:paraId="558F2179">
      <w:pPr>
        <w:pageBreakBefore w:val="0"/>
        <w:numPr>
          <w:ilvl w:val="0"/>
          <w:numId w:val="3"/>
        </w:numPr>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rPr>
        <w:t>承包人</w:t>
      </w:r>
      <w:r>
        <w:rPr>
          <w:rFonts w:hint="eastAsia" w:ascii="仿宋_GB2312" w:hAnsi="仿宋_GB2312" w:eastAsia="仿宋_GB2312" w:cs="仿宋_GB2312"/>
          <w:color w:val="auto"/>
          <w:sz w:val="32"/>
          <w:szCs w:val="32"/>
          <w:highlight w:val="none"/>
          <w:u w:val="none"/>
          <w:lang w:val="en-US" w:eastAsia="zh-CN"/>
        </w:rPr>
        <w:t>每期申报进度款</w:t>
      </w:r>
      <w:r>
        <w:rPr>
          <w:rFonts w:hint="eastAsia" w:ascii="仿宋_GB2312" w:hAnsi="仿宋_GB2312" w:eastAsia="仿宋_GB2312" w:cs="仿宋_GB2312"/>
          <w:color w:val="auto"/>
          <w:sz w:val="32"/>
          <w:szCs w:val="32"/>
          <w:highlight w:val="none"/>
          <w:u w:val="none"/>
        </w:rPr>
        <w:t>超过</w:t>
      </w:r>
      <w:r>
        <w:rPr>
          <w:rFonts w:hint="eastAsia" w:ascii="仿宋_GB2312" w:hAnsi="仿宋_GB2312" w:eastAsia="仿宋_GB2312" w:cs="仿宋_GB2312"/>
          <w:color w:val="auto"/>
          <w:sz w:val="32"/>
          <w:szCs w:val="32"/>
          <w:highlight w:val="none"/>
          <w:u w:val="none"/>
          <w:lang w:val="en-US" w:eastAsia="zh-CN"/>
        </w:rPr>
        <w:t>发包人或政府部门审核款5</w:t>
      </w:r>
      <w:r>
        <w:rPr>
          <w:rFonts w:hint="eastAsia" w:ascii="仿宋_GB2312" w:hAnsi="仿宋_GB2312" w:eastAsia="仿宋_GB2312" w:cs="仿宋_GB2312"/>
          <w:color w:val="auto"/>
          <w:sz w:val="32"/>
          <w:szCs w:val="32"/>
          <w:highlight w:val="none"/>
          <w:u w:val="none"/>
        </w:rPr>
        <w:t>%</w:t>
      </w:r>
      <w:r>
        <w:rPr>
          <w:rFonts w:hint="eastAsia" w:ascii="仿宋_GB2312" w:hAnsi="仿宋_GB2312" w:eastAsia="仿宋_GB2312" w:cs="仿宋_GB2312"/>
          <w:color w:val="auto"/>
          <w:sz w:val="32"/>
          <w:szCs w:val="32"/>
          <w:highlight w:val="none"/>
          <w:u w:val="none"/>
          <w:lang w:val="en-US" w:eastAsia="zh-CN"/>
        </w:rPr>
        <w:t>及以上，</w:t>
      </w:r>
      <w:r>
        <w:rPr>
          <w:rFonts w:hint="eastAsia" w:ascii="仿宋_GB2312" w:hAnsi="仿宋_GB2312" w:eastAsia="仿宋_GB2312" w:cs="仿宋_GB2312"/>
          <w:color w:val="auto"/>
          <w:sz w:val="32"/>
          <w:szCs w:val="32"/>
          <w:highlight w:val="none"/>
          <w:u w:val="none"/>
        </w:rPr>
        <w:t>则需支付违约金，违约金费用为：（承包人</w:t>
      </w:r>
      <w:r>
        <w:rPr>
          <w:rFonts w:hint="eastAsia" w:ascii="仿宋_GB2312" w:hAnsi="仿宋_GB2312" w:eastAsia="仿宋_GB2312" w:cs="仿宋_GB2312"/>
          <w:color w:val="auto"/>
          <w:sz w:val="32"/>
          <w:szCs w:val="32"/>
          <w:highlight w:val="none"/>
          <w:u w:val="none"/>
          <w:lang w:val="en-US" w:eastAsia="zh-CN"/>
        </w:rPr>
        <w:t>每期申报进度款</w:t>
      </w:r>
      <w:r>
        <w:rPr>
          <w:rFonts w:hint="eastAsia" w:ascii="仿宋_GB2312" w:hAnsi="仿宋_GB2312" w:eastAsia="仿宋_GB2312" w:cs="仿宋_GB2312"/>
          <w:color w:val="auto"/>
          <w:sz w:val="32"/>
          <w:szCs w:val="32"/>
          <w:highlight w:val="none"/>
          <w:u w:val="none"/>
        </w:rPr>
        <w:t>–</w:t>
      </w:r>
      <w:r>
        <w:rPr>
          <w:rFonts w:hint="eastAsia" w:ascii="仿宋_GB2312" w:hAnsi="仿宋_GB2312" w:eastAsia="仿宋_GB2312" w:cs="仿宋_GB2312"/>
          <w:color w:val="auto"/>
          <w:sz w:val="32"/>
          <w:szCs w:val="32"/>
          <w:highlight w:val="none"/>
          <w:u w:val="none"/>
          <w:lang w:val="en-US" w:eastAsia="zh-CN"/>
        </w:rPr>
        <w:t>发包人或政府部门审核款</w:t>
      </w:r>
      <w:r>
        <w:rPr>
          <w:rFonts w:hint="eastAsia" w:ascii="仿宋_GB2312" w:hAnsi="仿宋_GB2312" w:eastAsia="仿宋_GB2312" w:cs="仿宋_GB2312"/>
          <w:color w:val="auto"/>
          <w:sz w:val="32"/>
          <w:szCs w:val="32"/>
          <w:highlight w:val="none"/>
          <w:u w:val="none"/>
        </w:rPr>
        <w:t>*1</w:t>
      </w:r>
      <w:r>
        <w:rPr>
          <w:rFonts w:hint="eastAsia" w:ascii="仿宋_GB2312" w:hAnsi="仿宋_GB2312" w:eastAsia="仿宋_GB2312" w:cs="仿宋_GB2312"/>
          <w:color w:val="auto"/>
          <w:sz w:val="32"/>
          <w:szCs w:val="32"/>
          <w:highlight w:val="none"/>
          <w:u w:val="none"/>
          <w:lang w:val="en-US" w:eastAsia="zh-CN"/>
        </w:rPr>
        <w:t>05</w:t>
      </w:r>
      <w:r>
        <w:rPr>
          <w:rFonts w:hint="eastAsia" w:ascii="仿宋_GB2312" w:hAnsi="仿宋_GB2312" w:eastAsia="仿宋_GB2312" w:cs="仿宋_GB2312"/>
          <w:color w:val="auto"/>
          <w:sz w:val="32"/>
          <w:szCs w:val="32"/>
          <w:highlight w:val="none"/>
          <w:u w:val="none"/>
        </w:rPr>
        <w:t>%）*</w:t>
      </w:r>
      <w:r>
        <w:rPr>
          <w:rFonts w:hint="eastAsia" w:ascii="仿宋_GB2312" w:hAnsi="仿宋_GB2312" w:eastAsia="仿宋_GB2312" w:cs="仿宋_GB2312"/>
          <w:color w:val="auto"/>
          <w:sz w:val="32"/>
          <w:szCs w:val="32"/>
          <w:highlight w:val="none"/>
          <w:u w:val="none"/>
          <w:lang w:val="en-US" w:eastAsia="zh-CN"/>
        </w:rPr>
        <w:t>10</w:t>
      </w:r>
      <w:r>
        <w:rPr>
          <w:rFonts w:hint="eastAsia" w:ascii="仿宋_GB2312" w:hAnsi="仿宋_GB2312" w:eastAsia="仿宋_GB2312" w:cs="仿宋_GB2312"/>
          <w:color w:val="auto"/>
          <w:sz w:val="32"/>
          <w:szCs w:val="32"/>
          <w:highlight w:val="none"/>
          <w:u w:val="none"/>
        </w:rPr>
        <w:t>%，发包人从承包人的结算款中予以扣除该笔违约金。</w:t>
      </w:r>
    </w:p>
    <w:p w14:paraId="28AFCBC3">
      <w:pPr>
        <w:pageBreakBefore w:val="0"/>
        <w:numPr>
          <w:ilvl w:val="0"/>
          <w:numId w:val="3"/>
        </w:numPr>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rPr>
        <w:t>除上述约定之外，承包人有违反其他合同义务的，均构成违约，应当承担一般违约责任。</w:t>
      </w:r>
    </w:p>
    <w:p w14:paraId="5CB54E0B">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1</w:t>
      </w:r>
      <w:r>
        <w:rPr>
          <w:rFonts w:hint="eastAsia" w:ascii="仿宋_GB2312" w:hAnsi="仿宋_GB2312" w:eastAsia="仿宋_GB2312" w:cs="仿宋_GB2312"/>
          <w:color w:val="auto"/>
          <w:sz w:val="32"/>
          <w:szCs w:val="32"/>
          <w:highlight w:val="none"/>
          <w:u w:val="none"/>
          <w:lang w:val="en-US" w:eastAsia="zh-CN"/>
        </w:rPr>
        <w:t>6</w:t>
      </w:r>
      <w:r>
        <w:rPr>
          <w:rFonts w:hint="eastAsia" w:ascii="仿宋_GB2312" w:hAnsi="仿宋_GB2312" w:eastAsia="仿宋_GB2312" w:cs="仿宋_GB2312"/>
          <w:color w:val="auto"/>
          <w:sz w:val="32"/>
          <w:szCs w:val="32"/>
          <w:highlight w:val="none"/>
          <w:u w:val="none"/>
        </w:rPr>
        <w:t>.2.3 因承包人违约解除合同</w:t>
      </w:r>
    </w:p>
    <w:p w14:paraId="36D74BE2">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rPr>
        <w:t>关于承包人违约解除合同的特别约定：（1）部分解除合同承包人违约致部分合同解除的条件成立时，承包人在此承诺：</w:t>
      </w:r>
    </w:p>
    <w:p w14:paraId="55B9DE4D">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rPr>
        <w:t>①因承包人违约致部分合同解除的条件成立时，发包人有权向承包人发出部分解除合同的违约责任通知，该通知送达承包人时，部分解除合同即生效。</w:t>
      </w:r>
    </w:p>
    <w:p w14:paraId="5D404DF0">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rPr>
        <w:t>②承包人在接到部分解除合同的违约责任通知后，在2天内停止该部分工程的施工。</w:t>
      </w:r>
    </w:p>
    <w:p w14:paraId="4C0E9089">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rPr>
        <w:t>③停工3天内，发包人、</w:t>
      </w:r>
      <w:r>
        <w:rPr>
          <w:rFonts w:hint="eastAsia" w:ascii="仿宋_GB2312" w:hAnsi="仿宋_GB2312" w:eastAsia="仿宋_GB2312" w:cs="仿宋_GB2312"/>
          <w:color w:val="auto"/>
          <w:kern w:val="0"/>
          <w:sz w:val="32"/>
          <w:szCs w:val="32"/>
          <w:highlight w:val="none"/>
          <w:u w:val="none"/>
          <w:lang w:eastAsia="zh-CN"/>
        </w:rPr>
        <w:t>监理人</w:t>
      </w:r>
      <w:r>
        <w:rPr>
          <w:rFonts w:hint="eastAsia" w:ascii="仿宋_GB2312" w:hAnsi="仿宋_GB2312" w:eastAsia="仿宋_GB2312" w:cs="仿宋_GB2312"/>
          <w:color w:val="auto"/>
          <w:kern w:val="0"/>
          <w:sz w:val="32"/>
          <w:szCs w:val="32"/>
          <w:highlight w:val="none"/>
          <w:u w:val="none"/>
        </w:rPr>
        <w:t>会同承包人对已完成工程量进行清点，发包人只承认已发生并投入且符合质量验收标准的部分工程，对于已订货而未到现场或在现场未使用的材料、设备等均不予承认，由承包人自行处理；对于承包人已开工但经检验不合格的工程，承包人在总监理工程师发出通知的限期内拆除，并清运出工地，由此带来的损失由承包人自行承担。</w:t>
      </w:r>
    </w:p>
    <w:p w14:paraId="630D786C">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rPr>
        <w:t>④承包人在收到部分解除合同的违约责任通知后，若不按上述约定执行，发包人有权自行处理承包人滞留在施工现场的物品，处理费用由承包人承担。</w:t>
      </w:r>
    </w:p>
    <w:p w14:paraId="7EF83F4B">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rPr>
        <w:t>⑤承包人在收到部分解除合同的违约责任通知后，发包人就该部分解除合同的工程即可另行与其他单位签订施工合同，承包人不得阻碍新的承包人进场施工。</w:t>
      </w:r>
    </w:p>
    <w:p w14:paraId="54FD6223">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rPr>
        <w:t>⑥当部分合同解除后，已完成施工并检验合格的部分，发包人于解除合同后60日内予以结算。</w:t>
      </w:r>
    </w:p>
    <w:p w14:paraId="1D326431">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rPr>
        <w:t>（2）解除合同</w:t>
      </w:r>
    </w:p>
    <w:p w14:paraId="78A1C99A">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rPr>
        <w:t>承包人违约致解除合同的条件成立时，承包人在此承诺：</w:t>
      </w:r>
    </w:p>
    <w:p w14:paraId="33ADF5FC">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rPr>
        <w:t>①因承包人违约致解除合同的条件成立时，发包人有权向承包人发出全部解除合同的违约责任通知，该通知送达承包人时全部解除合同即生效。</w:t>
      </w:r>
    </w:p>
    <w:p w14:paraId="0F6CFBF4">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rPr>
        <w:t>②承包人接到违约责任通知后，必须在2天内停止工程施工，并于7天内将机械、材料等无条件移交发包人使用。停工3天内，发包人、</w:t>
      </w:r>
      <w:r>
        <w:rPr>
          <w:rFonts w:hint="eastAsia" w:ascii="仿宋_GB2312" w:hAnsi="仿宋_GB2312" w:eastAsia="仿宋_GB2312" w:cs="仿宋_GB2312"/>
          <w:color w:val="auto"/>
          <w:kern w:val="0"/>
          <w:sz w:val="32"/>
          <w:szCs w:val="32"/>
          <w:highlight w:val="none"/>
          <w:u w:val="none"/>
          <w:lang w:eastAsia="zh-CN"/>
        </w:rPr>
        <w:t>监理人</w:t>
      </w:r>
      <w:r>
        <w:rPr>
          <w:rFonts w:hint="eastAsia" w:ascii="仿宋_GB2312" w:hAnsi="仿宋_GB2312" w:eastAsia="仿宋_GB2312" w:cs="仿宋_GB2312"/>
          <w:color w:val="auto"/>
          <w:kern w:val="0"/>
          <w:sz w:val="32"/>
          <w:szCs w:val="32"/>
          <w:highlight w:val="none"/>
          <w:u w:val="none"/>
        </w:rPr>
        <w:t>将会同承包人对已完成工程量进行清点，清点规则比照部分解除合同的情形处理。</w:t>
      </w:r>
    </w:p>
    <w:p w14:paraId="49727B54">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rPr>
        <w:t>③承包人在收到违约责任通知后，发包人就解除合同的工程即可另行与其他单位签订施工合同，承包人不得阻碍新的承包人进场施工。</w:t>
      </w:r>
    </w:p>
    <w:p w14:paraId="3E79833E">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rPr>
        <w:t>④由于合同解除导致发包人工期延误</w:t>
      </w:r>
      <w:r>
        <w:rPr>
          <w:rFonts w:hint="eastAsia" w:ascii="仿宋_GB2312" w:hAnsi="仿宋_GB2312" w:eastAsia="仿宋_GB2312" w:cs="仿宋_GB2312"/>
          <w:color w:val="auto"/>
          <w:kern w:val="0"/>
          <w:sz w:val="32"/>
          <w:szCs w:val="32"/>
          <w:highlight w:val="none"/>
          <w:u w:val="none"/>
          <w:lang w:eastAsia="zh-CN"/>
        </w:rPr>
        <w:t>及其他方面</w:t>
      </w:r>
      <w:r>
        <w:rPr>
          <w:rFonts w:hint="eastAsia" w:ascii="仿宋_GB2312" w:hAnsi="仿宋_GB2312" w:eastAsia="仿宋_GB2312" w:cs="仿宋_GB2312"/>
          <w:color w:val="auto"/>
          <w:kern w:val="0"/>
          <w:sz w:val="32"/>
          <w:szCs w:val="32"/>
          <w:highlight w:val="none"/>
          <w:u w:val="none"/>
        </w:rPr>
        <w:t>的损失，由承包人负责赔偿。</w:t>
      </w:r>
    </w:p>
    <w:p w14:paraId="4A7D27F8">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rPr>
        <w:t>⑤发包人可根据由于合同解除导致工期延误</w:t>
      </w:r>
      <w:r>
        <w:rPr>
          <w:rFonts w:hint="eastAsia" w:ascii="仿宋_GB2312" w:hAnsi="仿宋_GB2312" w:eastAsia="仿宋_GB2312" w:cs="仿宋_GB2312"/>
          <w:color w:val="auto"/>
          <w:kern w:val="0"/>
          <w:sz w:val="32"/>
          <w:szCs w:val="32"/>
          <w:highlight w:val="none"/>
          <w:u w:val="none"/>
          <w:lang w:eastAsia="zh-CN"/>
        </w:rPr>
        <w:t>及其他方面</w:t>
      </w:r>
      <w:r>
        <w:rPr>
          <w:rFonts w:hint="eastAsia" w:ascii="仿宋_GB2312" w:hAnsi="仿宋_GB2312" w:eastAsia="仿宋_GB2312" w:cs="仿宋_GB2312"/>
          <w:color w:val="auto"/>
          <w:kern w:val="0"/>
          <w:sz w:val="32"/>
          <w:szCs w:val="32"/>
          <w:highlight w:val="none"/>
          <w:u w:val="none"/>
        </w:rPr>
        <w:t>的损失情况，发包人有权直接向履约担保单位索偿。</w:t>
      </w:r>
    </w:p>
    <w:p w14:paraId="55A4043E">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rPr>
        <w:t>（3）承包人在部分解除合同或解除合同后，还必须在规定期限内</w:t>
      </w:r>
      <w:r>
        <w:rPr>
          <w:rFonts w:hint="eastAsia" w:ascii="仿宋_GB2312" w:hAnsi="仿宋_GB2312" w:eastAsia="仿宋_GB2312" w:cs="仿宋_GB2312"/>
          <w:color w:val="auto"/>
          <w:kern w:val="0"/>
          <w:sz w:val="32"/>
          <w:szCs w:val="32"/>
          <w:highlight w:val="none"/>
          <w:u w:val="none"/>
          <w:lang w:eastAsia="zh-CN"/>
        </w:rPr>
        <w:t>做好</w:t>
      </w:r>
      <w:r>
        <w:rPr>
          <w:rFonts w:hint="eastAsia" w:ascii="仿宋_GB2312" w:hAnsi="仿宋_GB2312" w:eastAsia="仿宋_GB2312" w:cs="仿宋_GB2312"/>
          <w:color w:val="auto"/>
          <w:kern w:val="0"/>
          <w:sz w:val="32"/>
          <w:szCs w:val="32"/>
          <w:highlight w:val="none"/>
          <w:u w:val="none"/>
        </w:rPr>
        <w:t>施工技术资料和实物的交底、移交工作。承包人因未履行上述义务而给发包人带来工期延误</w:t>
      </w:r>
      <w:r>
        <w:rPr>
          <w:rFonts w:hint="eastAsia" w:ascii="仿宋_GB2312" w:hAnsi="仿宋_GB2312" w:eastAsia="仿宋_GB2312" w:cs="仿宋_GB2312"/>
          <w:color w:val="auto"/>
          <w:kern w:val="0"/>
          <w:sz w:val="32"/>
          <w:szCs w:val="32"/>
          <w:highlight w:val="none"/>
          <w:u w:val="none"/>
          <w:lang w:eastAsia="zh-CN"/>
        </w:rPr>
        <w:t>和其他</w:t>
      </w:r>
      <w:r>
        <w:rPr>
          <w:rFonts w:hint="eastAsia" w:ascii="仿宋_GB2312" w:hAnsi="仿宋_GB2312" w:eastAsia="仿宋_GB2312" w:cs="仿宋_GB2312"/>
          <w:color w:val="auto"/>
          <w:kern w:val="0"/>
          <w:sz w:val="32"/>
          <w:szCs w:val="32"/>
          <w:highlight w:val="none"/>
          <w:u w:val="none"/>
        </w:rPr>
        <w:t>损失的，应赔偿发包人的实际损失。</w:t>
      </w:r>
    </w:p>
    <w:p w14:paraId="1DEC34E7">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rPr>
        <w:t>（4）合同解除后，不影响双方在合同中约定的结算和清理尾款的效力，亦不能免除承包人对已完工项目的保修责任。</w:t>
      </w:r>
    </w:p>
    <w:p w14:paraId="1C47410B">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rPr>
        <w:t>（5）合同生效后，承包人要求终止或解除合同的或/及因承包人原因导致本合同客观无法履行或履行已无意义的；承包人超越资质、授权承揽本合同业务的；承包人与</w:t>
      </w:r>
      <w:r>
        <w:rPr>
          <w:rFonts w:hint="eastAsia" w:ascii="仿宋_GB2312" w:hAnsi="仿宋_GB2312" w:eastAsia="仿宋_GB2312" w:cs="仿宋_GB2312"/>
          <w:color w:val="auto"/>
          <w:kern w:val="0"/>
          <w:sz w:val="32"/>
          <w:szCs w:val="32"/>
          <w:highlight w:val="none"/>
          <w:u w:val="none"/>
          <w:lang w:eastAsia="zh-CN"/>
        </w:rPr>
        <w:t>发包人</w:t>
      </w:r>
      <w:r>
        <w:rPr>
          <w:rFonts w:hint="eastAsia" w:ascii="仿宋_GB2312" w:hAnsi="仿宋_GB2312" w:eastAsia="仿宋_GB2312" w:cs="仿宋_GB2312"/>
          <w:color w:val="auto"/>
          <w:kern w:val="0"/>
          <w:sz w:val="32"/>
          <w:szCs w:val="32"/>
          <w:highlight w:val="none"/>
          <w:u w:val="none"/>
        </w:rPr>
        <w:t>关联人发生不正当的利益输送关系的，发包人有权单方解除合同，并自行接收工程。尚未支付的工程款可以不再支付，履约保证金和中标差额担保（如有）不再返还，承包人再向发包人缴纳签约合同价20%的违约金，同时承包人还应赔偿给发包人造成的全部经济损失（该等损失包括但不限于律师费、诉讼费、鉴定费、评估费，以及发包人赔偿业主和第三者的违约金和影响发包人生产、经营活动造成的损失等）</w:t>
      </w:r>
    </w:p>
    <w:p w14:paraId="7D673164">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rPr>
        <w:t>（6）承包人原因导致发包人通过诉讼、仲裁等方式主张权利的，承包人应当承担发包人因此而支出的诉讼费、鉴定费、评估费、保全费、律师费等合理费用，以及发包人为应对其他第三方索赔所支付的违约金、赔偿金等费用。同时承包人承诺放弃《中华人民共和国民法典》第五百八十五条规定的其有权向人民法院或者仲裁机构请求调整违约金或赔偿金的权利。同时发包人有权视承包人的违约严重情况要求承包人整改或支付违约金、赔偿金或豁免其违约行为。</w:t>
      </w:r>
    </w:p>
    <w:p w14:paraId="777228AF">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发包人继续使用承包人在施工现场的材料、设备、临时工程、承包人文件和由承包人或以其名义编制的其他文件的费用承担方式：</w:t>
      </w:r>
      <w:r>
        <w:rPr>
          <w:rFonts w:hint="eastAsia" w:ascii="仿宋_GB2312" w:hAnsi="仿宋_GB2312" w:eastAsia="仿宋_GB2312" w:cs="仿宋_GB2312"/>
          <w:color w:val="auto"/>
          <w:kern w:val="0"/>
          <w:sz w:val="32"/>
          <w:szCs w:val="32"/>
          <w:highlight w:val="none"/>
          <w:u w:val="single"/>
        </w:rPr>
        <w:t xml:space="preserve">  /  </w:t>
      </w:r>
      <w:r>
        <w:rPr>
          <w:rFonts w:hint="eastAsia" w:ascii="仿宋_GB2312" w:hAnsi="仿宋_GB2312" w:eastAsia="仿宋_GB2312" w:cs="仿宋_GB2312"/>
          <w:color w:val="auto"/>
          <w:kern w:val="0"/>
          <w:sz w:val="32"/>
          <w:szCs w:val="32"/>
          <w:highlight w:val="none"/>
        </w:rPr>
        <w:t>。</w:t>
      </w:r>
      <w:bookmarkStart w:id="2779" w:name="_Toc351203649"/>
    </w:p>
    <w:p w14:paraId="2FE150AB">
      <w:pPr>
        <w:pageBreakBefore w:val="0"/>
        <w:widowControl/>
        <w:kinsoku/>
        <w:wordWrap/>
        <w:overflowPunct/>
        <w:topLinePunct w:val="0"/>
        <w:bidi w:val="0"/>
        <w:adjustRightInd w:val="0"/>
        <w:snapToGrid w:val="0"/>
        <w:spacing w:line="560" w:lineRule="exact"/>
        <w:ind w:firstLine="640" w:firstLineChars="200"/>
        <w:jc w:val="both"/>
        <w:outlineLvl w:val="9"/>
        <w:rPr>
          <w:rFonts w:hint="eastAsia" w:ascii="黑体" w:hAnsi="黑体" w:eastAsia="黑体" w:cs="黑体"/>
          <w:b w:val="0"/>
          <w:bCs/>
          <w:color w:val="auto"/>
          <w:sz w:val="32"/>
          <w:szCs w:val="32"/>
          <w:highlight w:val="none"/>
        </w:rPr>
      </w:pPr>
      <w:bookmarkStart w:id="2780" w:name="_Toc30471"/>
      <w:bookmarkStart w:id="2781" w:name="_Toc21082"/>
      <w:bookmarkStart w:id="2782" w:name="_Toc16104"/>
      <w:bookmarkStart w:id="2783" w:name="_Toc24336"/>
      <w:bookmarkStart w:id="2784" w:name="_Toc28852"/>
      <w:bookmarkStart w:id="2785" w:name="_Toc20838"/>
      <w:bookmarkStart w:id="2786" w:name="_Toc19532"/>
      <w:bookmarkStart w:id="2787" w:name="_Toc15067"/>
      <w:bookmarkStart w:id="2788" w:name="_Toc22323"/>
      <w:bookmarkStart w:id="2789" w:name="_Toc29165"/>
      <w:r>
        <w:rPr>
          <w:rFonts w:hint="eastAsia" w:ascii="黑体" w:hAnsi="黑体" w:eastAsia="黑体" w:cs="黑体"/>
          <w:b w:val="0"/>
          <w:bCs/>
          <w:color w:val="auto"/>
          <w:sz w:val="32"/>
          <w:szCs w:val="32"/>
          <w:highlight w:val="none"/>
        </w:rPr>
        <w:t>1</w:t>
      </w:r>
      <w:r>
        <w:rPr>
          <w:rFonts w:hint="eastAsia" w:ascii="黑体" w:hAnsi="黑体" w:eastAsia="黑体" w:cs="黑体"/>
          <w:b w:val="0"/>
          <w:bCs/>
          <w:color w:val="auto"/>
          <w:sz w:val="32"/>
          <w:szCs w:val="32"/>
          <w:highlight w:val="none"/>
          <w:lang w:val="en-US" w:eastAsia="zh-CN"/>
        </w:rPr>
        <w:t>7</w:t>
      </w:r>
      <w:r>
        <w:rPr>
          <w:rFonts w:hint="eastAsia" w:ascii="黑体" w:hAnsi="黑体" w:eastAsia="黑体" w:cs="黑体"/>
          <w:b w:val="0"/>
          <w:bCs/>
          <w:color w:val="auto"/>
          <w:sz w:val="32"/>
          <w:szCs w:val="32"/>
          <w:highlight w:val="none"/>
        </w:rPr>
        <w:t>. 不可抗</w:t>
      </w:r>
      <w:bookmarkEnd w:id="2751"/>
      <w:bookmarkEnd w:id="2779"/>
      <w:r>
        <w:rPr>
          <w:rFonts w:hint="eastAsia" w:ascii="黑体" w:hAnsi="黑体" w:eastAsia="黑体" w:cs="黑体"/>
          <w:b w:val="0"/>
          <w:bCs/>
          <w:color w:val="auto"/>
          <w:sz w:val="32"/>
          <w:szCs w:val="32"/>
          <w:highlight w:val="none"/>
        </w:rPr>
        <w:t>力</w:t>
      </w:r>
      <w:bookmarkEnd w:id="2780"/>
      <w:bookmarkEnd w:id="2781"/>
      <w:bookmarkEnd w:id="2782"/>
      <w:bookmarkEnd w:id="2783"/>
      <w:bookmarkEnd w:id="2784"/>
      <w:bookmarkEnd w:id="2785"/>
      <w:bookmarkEnd w:id="2786"/>
      <w:bookmarkEnd w:id="2787"/>
      <w:bookmarkEnd w:id="2788"/>
      <w:bookmarkEnd w:id="2789"/>
    </w:p>
    <w:p w14:paraId="09DFB99D">
      <w:pPr>
        <w:adjustRightInd w:val="0"/>
        <w:snapToGrid w:val="0"/>
        <w:spacing w:line="560" w:lineRule="exact"/>
        <w:ind w:firstLine="640" w:firstLineChars="200"/>
        <w:rPr>
          <w:rFonts w:hint="eastAsia" w:ascii="仿宋_GB2312" w:hAnsi="仿宋_GB2312" w:eastAsia="仿宋_GB2312" w:cs="仿宋_GB2312"/>
          <w:sz w:val="32"/>
          <w:szCs w:val="32"/>
        </w:rPr>
      </w:pPr>
      <w:bookmarkStart w:id="2790" w:name="_Toc31575"/>
      <w:bookmarkStart w:id="2791" w:name="_Toc28781"/>
      <w:bookmarkStart w:id="2792" w:name="_Toc26620"/>
      <w:bookmarkStart w:id="2793" w:name="_Toc16526"/>
      <w:bookmarkStart w:id="2794" w:name="_Toc19556"/>
      <w:bookmarkStart w:id="2795" w:name="_Toc9882"/>
      <w:bookmarkStart w:id="2796" w:name="_Toc27387"/>
      <w:bookmarkStart w:id="2797" w:name="_Toc13563"/>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val="en-US" w:eastAsia="zh-CN"/>
        </w:rPr>
        <w:t>7</w:t>
      </w:r>
      <w:r>
        <w:rPr>
          <w:rFonts w:hint="eastAsia" w:ascii="仿宋_GB2312" w:hAnsi="仿宋_GB2312" w:eastAsia="仿宋_GB2312" w:cs="仿宋_GB2312"/>
          <w:color w:val="auto"/>
          <w:sz w:val="32"/>
          <w:szCs w:val="32"/>
          <w:highlight w:val="none"/>
        </w:rPr>
        <w:t xml:space="preserve">.1 </w:t>
      </w:r>
      <w:bookmarkEnd w:id="2790"/>
      <w:bookmarkEnd w:id="2791"/>
      <w:bookmarkEnd w:id="2792"/>
      <w:bookmarkEnd w:id="2793"/>
      <w:bookmarkEnd w:id="2794"/>
      <w:bookmarkEnd w:id="2795"/>
      <w:bookmarkEnd w:id="2796"/>
      <w:bookmarkEnd w:id="2797"/>
      <w:bookmarkStart w:id="2798" w:name="_Toc351203650"/>
      <w:r>
        <w:rPr>
          <w:rFonts w:hint="eastAsia" w:ascii="仿宋_GB2312" w:hAnsi="仿宋_GB2312" w:eastAsia="仿宋_GB2312" w:cs="仿宋_GB2312"/>
          <w:sz w:val="32"/>
          <w:szCs w:val="32"/>
        </w:rPr>
        <w:t>本合同所称不可抗力，是指本合同各方不可预见，而且对其发生和产生的后果不能预防或不可避免且不可克服的客观情况，包括但不限于：战争、严重火灾、洪水、台风、地震、国家政策的重大变化等。</w:t>
      </w:r>
    </w:p>
    <w:p w14:paraId="66E0701C">
      <w:pPr>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17.</w:t>
      </w: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本合同任何一方因不可抗力不能履行或不能完全履行本合同的义务时，应在不可抗力发生之日起[7]日内通知本合同的其他方，并在不可抗力发生之日起[15]日内向其他方提供由有关部门出具的不可抗力证明。</w:t>
      </w:r>
    </w:p>
    <w:p w14:paraId="4B39C53A">
      <w:pPr>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17.3 </w:t>
      </w:r>
      <w:r>
        <w:rPr>
          <w:rFonts w:hint="eastAsia" w:ascii="仿宋_GB2312" w:hAnsi="仿宋_GB2312" w:eastAsia="仿宋_GB2312" w:cs="仿宋_GB2312"/>
          <w:sz w:val="32"/>
          <w:szCs w:val="32"/>
        </w:rPr>
        <w:t>因不可抗力不能履行合同的，根据不可抗力的影响，受影响方可免除部分或全部责任，但法律另有规定的除外，延迟履行合同后发生不可抗力的，不能免除责任。</w:t>
      </w:r>
    </w:p>
    <w:p w14:paraId="6BA4719B">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sz w:val="32"/>
          <w:szCs w:val="32"/>
          <w:lang w:val="en-US" w:eastAsia="zh-CN"/>
        </w:rPr>
        <w:t>17.</w:t>
      </w: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如果因不可抗力的影响致使本合同终止履行的，任何一方均有权终止本合同，并书面通知对方。</w:t>
      </w:r>
    </w:p>
    <w:p w14:paraId="7F71442E">
      <w:pPr>
        <w:pageBreakBefore w:val="0"/>
        <w:widowControl/>
        <w:kinsoku/>
        <w:wordWrap/>
        <w:overflowPunct/>
        <w:topLinePunct w:val="0"/>
        <w:bidi w:val="0"/>
        <w:adjustRightInd w:val="0"/>
        <w:snapToGrid w:val="0"/>
        <w:spacing w:line="560" w:lineRule="exact"/>
        <w:ind w:firstLine="640" w:firstLineChars="200"/>
        <w:jc w:val="both"/>
        <w:outlineLvl w:val="9"/>
        <w:rPr>
          <w:rFonts w:hint="eastAsia" w:ascii="黑体" w:hAnsi="黑体" w:eastAsia="黑体" w:cs="黑体"/>
          <w:b w:val="0"/>
          <w:bCs/>
          <w:color w:val="auto"/>
          <w:sz w:val="32"/>
          <w:szCs w:val="32"/>
          <w:highlight w:val="none"/>
        </w:rPr>
      </w:pPr>
      <w:bookmarkStart w:id="2799" w:name="_Toc26292"/>
      <w:bookmarkStart w:id="2800" w:name="_Toc30001"/>
      <w:bookmarkStart w:id="2801" w:name="_Toc30556"/>
      <w:bookmarkStart w:id="2802" w:name="_Toc24955"/>
      <w:bookmarkStart w:id="2803" w:name="_Toc17546"/>
      <w:bookmarkStart w:id="2804" w:name="_Toc1775"/>
      <w:bookmarkStart w:id="2805" w:name="_Toc31281"/>
      <w:bookmarkStart w:id="2806" w:name="_Toc20538"/>
      <w:bookmarkStart w:id="2807" w:name="_Toc8271"/>
      <w:bookmarkStart w:id="2808" w:name="_Toc29113"/>
      <w:r>
        <w:rPr>
          <w:rFonts w:hint="eastAsia" w:ascii="黑体" w:hAnsi="黑体" w:eastAsia="黑体" w:cs="黑体"/>
          <w:b w:val="0"/>
          <w:bCs/>
          <w:color w:val="auto"/>
          <w:sz w:val="32"/>
          <w:szCs w:val="32"/>
          <w:highlight w:val="none"/>
        </w:rPr>
        <w:t>1</w:t>
      </w:r>
      <w:r>
        <w:rPr>
          <w:rFonts w:hint="eastAsia" w:ascii="黑体" w:hAnsi="黑体" w:eastAsia="黑体" w:cs="黑体"/>
          <w:b w:val="0"/>
          <w:bCs/>
          <w:color w:val="auto"/>
          <w:sz w:val="32"/>
          <w:szCs w:val="32"/>
          <w:highlight w:val="none"/>
          <w:lang w:val="en-US" w:eastAsia="zh-CN"/>
        </w:rPr>
        <w:t>8</w:t>
      </w:r>
      <w:r>
        <w:rPr>
          <w:rFonts w:hint="eastAsia" w:ascii="黑体" w:hAnsi="黑体" w:eastAsia="黑体" w:cs="黑体"/>
          <w:b w:val="0"/>
          <w:bCs/>
          <w:color w:val="auto"/>
          <w:sz w:val="32"/>
          <w:szCs w:val="32"/>
          <w:highlight w:val="none"/>
        </w:rPr>
        <w:t>.保</w:t>
      </w:r>
      <w:bookmarkEnd w:id="2798"/>
      <w:r>
        <w:rPr>
          <w:rFonts w:hint="eastAsia" w:ascii="黑体" w:hAnsi="黑体" w:eastAsia="黑体" w:cs="黑体"/>
          <w:b w:val="0"/>
          <w:bCs/>
          <w:color w:val="auto"/>
          <w:sz w:val="32"/>
          <w:szCs w:val="32"/>
          <w:highlight w:val="none"/>
        </w:rPr>
        <w:t>险</w:t>
      </w:r>
      <w:bookmarkEnd w:id="2752"/>
      <w:bookmarkEnd w:id="2799"/>
      <w:bookmarkEnd w:id="2800"/>
      <w:bookmarkEnd w:id="2801"/>
      <w:bookmarkEnd w:id="2802"/>
      <w:bookmarkEnd w:id="2803"/>
      <w:bookmarkEnd w:id="2804"/>
      <w:bookmarkEnd w:id="2805"/>
      <w:bookmarkEnd w:id="2806"/>
      <w:bookmarkEnd w:id="2807"/>
      <w:bookmarkEnd w:id="2808"/>
    </w:p>
    <w:p w14:paraId="3D2D2045">
      <w:pPr>
        <w:pageBreakBefore w:val="0"/>
        <w:kinsoku/>
        <w:wordWrap/>
        <w:overflowPunct/>
        <w:topLinePunct w:val="0"/>
        <w:bidi w:val="0"/>
        <w:adjustRightInd w:val="0"/>
        <w:snapToGrid w:val="0"/>
        <w:spacing w:line="560" w:lineRule="exact"/>
        <w:ind w:firstLine="640" w:firstLineChars="200"/>
        <w:jc w:val="both"/>
        <w:outlineLvl w:val="9"/>
        <w:rPr>
          <w:rFonts w:hint="eastAsia" w:ascii="仿宋_GB2312" w:hAnsi="仿宋_GB2312" w:eastAsia="仿宋_GB2312" w:cs="仿宋_GB2312"/>
          <w:color w:val="auto"/>
          <w:sz w:val="32"/>
          <w:szCs w:val="32"/>
          <w:highlight w:val="none"/>
        </w:rPr>
      </w:pPr>
      <w:bookmarkStart w:id="2809" w:name="_Toc30764"/>
      <w:bookmarkStart w:id="2810" w:name="_Toc21239"/>
      <w:bookmarkStart w:id="2811" w:name="_Toc19003"/>
      <w:bookmarkStart w:id="2812" w:name="_Toc32072"/>
      <w:bookmarkStart w:id="2813" w:name="_Toc30293"/>
      <w:bookmarkStart w:id="2814" w:name="_Toc12086"/>
      <w:bookmarkStart w:id="2815" w:name="_Toc24813"/>
      <w:bookmarkStart w:id="2816" w:name="_Toc7134"/>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val="en-US" w:eastAsia="zh-CN"/>
        </w:rPr>
        <w:t>8</w:t>
      </w:r>
      <w:r>
        <w:rPr>
          <w:rFonts w:hint="eastAsia" w:ascii="仿宋_GB2312" w:hAnsi="仿宋_GB2312" w:eastAsia="仿宋_GB2312" w:cs="仿宋_GB2312"/>
          <w:color w:val="auto"/>
          <w:sz w:val="32"/>
          <w:szCs w:val="32"/>
          <w:highlight w:val="none"/>
        </w:rPr>
        <w:t>.1 工程保险</w:t>
      </w:r>
      <w:bookmarkEnd w:id="2809"/>
      <w:bookmarkEnd w:id="2810"/>
      <w:bookmarkEnd w:id="2811"/>
      <w:bookmarkEnd w:id="2812"/>
      <w:bookmarkEnd w:id="2813"/>
      <w:bookmarkEnd w:id="2814"/>
      <w:bookmarkEnd w:id="2815"/>
      <w:bookmarkEnd w:id="2816"/>
    </w:p>
    <w:p w14:paraId="0EAE7FAE">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关于工程保险的特别约定：发包人与承包人按下列第   种方式确定工程保险：</w:t>
      </w:r>
    </w:p>
    <w:p w14:paraId="1893E0EB">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第一种：发包人投保建筑工程一切险或安装工程一切险</w:t>
      </w:r>
      <w:r>
        <w:rPr>
          <w:rFonts w:hint="eastAsia" w:ascii="仿宋_GB2312" w:hAnsi="仿宋_GB2312" w:eastAsia="仿宋_GB2312" w:cs="仿宋_GB2312"/>
          <w:color w:val="auto"/>
          <w:sz w:val="32"/>
          <w:szCs w:val="32"/>
          <w:highlight w:val="none"/>
          <w:lang w:eastAsia="zh-CN"/>
        </w:rPr>
        <w:t>。</w:t>
      </w:r>
    </w:p>
    <w:p w14:paraId="581BA7BA">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single"/>
        </w:rPr>
      </w:pPr>
      <w:r>
        <w:rPr>
          <w:rFonts w:hint="eastAsia" w:ascii="仿宋_GB2312" w:hAnsi="仿宋_GB2312" w:eastAsia="仿宋_GB2312" w:cs="仿宋_GB2312"/>
          <w:color w:val="auto"/>
          <w:sz w:val="32"/>
          <w:szCs w:val="32"/>
          <w:highlight w:val="none"/>
        </w:rPr>
        <w:t>第二种：发包人委托承包人投保，具体由双方另行在补充协议中约定。</w:t>
      </w:r>
    </w:p>
    <w:p w14:paraId="3003E3A0">
      <w:pPr>
        <w:pageBreakBefore w:val="0"/>
        <w:kinsoku/>
        <w:wordWrap/>
        <w:overflowPunct/>
        <w:topLinePunct w:val="0"/>
        <w:bidi w:val="0"/>
        <w:adjustRightInd w:val="0"/>
        <w:snapToGrid w:val="0"/>
        <w:spacing w:line="560" w:lineRule="exact"/>
        <w:ind w:firstLine="640" w:firstLineChars="200"/>
        <w:jc w:val="both"/>
        <w:outlineLvl w:val="9"/>
        <w:rPr>
          <w:rFonts w:hint="eastAsia" w:ascii="仿宋_GB2312" w:hAnsi="仿宋_GB2312" w:eastAsia="仿宋_GB2312" w:cs="仿宋_GB2312"/>
          <w:color w:val="auto"/>
          <w:sz w:val="32"/>
          <w:szCs w:val="32"/>
          <w:highlight w:val="none"/>
        </w:rPr>
      </w:pPr>
      <w:bookmarkStart w:id="2817" w:name="_Toc5731"/>
      <w:bookmarkStart w:id="2818" w:name="_Toc25926"/>
      <w:bookmarkStart w:id="2819" w:name="_Toc11459"/>
      <w:bookmarkStart w:id="2820" w:name="_Toc20839"/>
      <w:bookmarkStart w:id="2821" w:name="_Toc30812"/>
      <w:bookmarkStart w:id="2822" w:name="_Toc25762"/>
      <w:bookmarkStart w:id="2823" w:name="_Toc21363"/>
      <w:bookmarkStart w:id="2824" w:name="_Toc20429"/>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val="en-US" w:eastAsia="zh-CN"/>
        </w:rPr>
        <w:t>8</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 xml:space="preserve"> 其他保险</w:t>
      </w:r>
      <w:bookmarkEnd w:id="2817"/>
      <w:bookmarkEnd w:id="2818"/>
      <w:bookmarkEnd w:id="2819"/>
      <w:bookmarkEnd w:id="2820"/>
      <w:bookmarkEnd w:id="2821"/>
      <w:bookmarkEnd w:id="2822"/>
      <w:bookmarkEnd w:id="2823"/>
      <w:bookmarkEnd w:id="2824"/>
    </w:p>
    <w:p w14:paraId="24C64AB3">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single"/>
        </w:rPr>
      </w:pPr>
      <w:r>
        <w:rPr>
          <w:rFonts w:hint="eastAsia" w:ascii="仿宋_GB2312" w:hAnsi="仿宋_GB2312" w:eastAsia="仿宋_GB2312" w:cs="仿宋_GB2312"/>
          <w:color w:val="auto"/>
          <w:sz w:val="32"/>
          <w:szCs w:val="32"/>
          <w:highlight w:val="none"/>
        </w:rPr>
        <w:t>关于其他保险的约定：</w:t>
      </w:r>
      <w:r>
        <w:rPr>
          <w:rFonts w:hint="eastAsia" w:ascii="仿宋_GB2312" w:hAnsi="仿宋_GB2312" w:eastAsia="仿宋_GB2312" w:cs="仿宋_GB2312"/>
          <w:color w:val="auto"/>
          <w:kern w:val="0"/>
          <w:sz w:val="32"/>
          <w:szCs w:val="32"/>
          <w:highlight w:val="none"/>
          <w:u w:val="single"/>
        </w:rPr>
        <w:t xml:space="preserve"> </w:t>
      </w:r>
    </w:p>
    <w:p w14:paraId="0291D29A">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rPr>
        <w:t>（</w:t>
      </w:r>
      <w:r>
        <w:rPr>
          <w:rFonts w:hint="eastAsia" w:ascii="仿宋_GB2312" w:hAnsi="仿宋_GB2312" w:eastAsia="仿宋_GB2312" w:cs="仿宋_GB2312"/>
          <w:color w:val="auto"/>
          <w:kern w:val="0"/>
          <w:sz w:val="32"/>
          <w:szCs w:val="32"/>
          <w:highlight w:val="none"/>
          <w:u w:val="none"/>
          <w:lang w:val="en-US" w:eastAsia="zh-CN"/>
        </w:rPr>
        <w:t>1</w:t>
      </w:r>
      <w:r>
        <w:rPr>
          <w:rFonts w:hint="eastAsia" w:ascii="仿宋_GB2312" w:hAnsi="仿宋_GB2312" w:eastAsia="仿宋_GB2312" w:cs="仿宋_GB2312"/>
          <w:color w:val="auto"/>
          <w:kern w:val="0"/>
          <w:sz w:val="32"/>
          <w:szCs w:val="32"/>
          <w:highlight w:val="none"/>
          <w:u w:val="none"/>
        </w:rPr>
        <w:t>）承包人投保内容：按国家及地方现行规定。</w:t>
      </w:r>
    </w:p>
    <w:p w14:paraId="4677ED63">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rPr>
        <w:t>（</w:t>
      </w:r>
      <w:r>
        <w:rPr>
          <w:rFonts w:hint="eastAsia" w:ascii="仿宋_GB2312" w:hAnsi="仿宋_GB2312" w:eastAsia="仿宋_GB2312" w:cs="仿宋_GB2312"/>
          <w:color w:val="auto"/>
          <w:kern w:val="0"/>
          <w:sz w:val="32"/>
          <w:szCs w:val="32"/>
          <w:highlight w:val="none"/>
          <w:u w:val="none"/>
          <w:lang w:val="en-US" w:eastAsia="zh-CN"/>
        </w:rPr>
        <w:t>2</w:t>
      </w:r>
      <w:r>
        <w:rPr>
          <w:rFonts w:hint="eastAsia" w:ascii="仿宋_GB2312" w:hAnsi="仿宋_GB2312" w:eastAsia="仿宋_GB2312" w:cs="仿宋_GB2312"/>
          <w:color w:val="auto"/>
          <w:kern w:val="0"/>
          <w:sz w:val="32"/>
          <w:szCs w:val="32"/>
          <w:highlight w:val="none"/>
          <w:u w:val="none"/>
        </w:rPr>
        <w:t>）承包人应于</w:t>
      </w:r>
      <w:r>
        <w:rPr>
          <w:rFonts w:hint="eastAsia" w:ascii="仿宋_GB2312" w:hAnsi="仿宋_GB2312" w:eastAsia="仿宋_GB2312" w:cs="仿宋_GB2312"/>
          <w:color w:val="auto"/>
          <w:kern w:val="0"/>
          <w:sz w:val="32"/>
          <w:szCs w:val="32"/>
          <w:highlight w:val="none"/>
          <w:u w:val="none"/>
          <w:lang w:val="en-US" w:eastAsia="zh-CN"/>
        </w:rPr>
        <w:t>项目开工前</w:t>
      </w:r>
      <w:r>
        <w:rPr>
          <w:rFonts w:hint="eastAsia" w:ascii="仿宋_GB2312" w:hAnsi="仿宋_GB2312" w:eastAsia="仿宋_GB2312" w:cs="仿宋_GB2312"/>
          <w:color w:val="auto"/>
          <w:kern w:val="0"/>
          <w:sz w:val="32"/>
          <w:szCs w:val="32"/>
          <w:highlight w:val="none"/>
          <w:u w:val="none"/>
        </w:rPr>
        <w:t>为本工程投保第三方责任险、社会保障费、危险工作意外伤害保险及安全生产责任险等险种，其中社会保障费的结算按定额有关规定执行。因承包人未及时投保产生的损失由承包人自行承担。</w:t>
      </w:r>
    </w:p>
    <w:p w14:paraId="01046A19">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u w:val="none"/>
        </w:rPr>
        <w:t>以上险种所包含的风险及承包人按本合同规定应承担的义务、工作和责任，并不会因是否</w:t>
      </w:r>
      <w:r>
        <w:rPr>
          <w:rFonts w:hint="eastAsia" w:ascii="仿宋_GB2312" w:hAnsi="仿宋_GB2312" w:eastAsia="仿宋_GB2312" w:cs="仿宋_GB2312"/>
          <w:color w:val="auto"/>
          <w:kern w:val="0"/>
          <w:sz w:val="32"/>
          <w:szCs w:val="32"/>
          <w:highlight w:val="none"/>
          <w:u w:val="none"/>
          <w:lang w:eastAsia="zh-CN"/>
        </w:rPr>
        <w:t>投保</w:t>
      </w:r>
      <w:r>
        <w:rPr>
          <w:rFonts w:hint="eastAsia" w:ascii="仿宋_GB2312" w:hAnsi="仿宋_GB2312" w:eastAsia="仿宋_GB2312" w:cs="仿宋_GB2312"/>
          <w:color w:val="auto"/>
          <w:kern w:val="0"/>
          <w:sz w:val="32"/>
          <w:szCs w:val="32"/>
          <w:highlight w:val="none"/>
          <w:u w:val="none"/>
        </w:rPr>
        <w:t>保险而受影响或减低。无论是否获得保险机构的赔偿，凡在施工过程中发生的一切安全责任事故、社会保障纠纷，均由承包人支付损失赔偿费、抚恤费等一切费用，并承担其法律责任，如因承包人原因导致发包人对外承担赔偿责任，发包人有权追究承包人的责任</w:t>
      </w:r>
      <w:r>
        <w:rPr>
          <w:rFonts w:hint="eastAsia" w:ascii="仿宋_GB2312" w:hAnsi="仿宋_GB2312" w:eastAsia="仿宋_GB2312" w:cs="仿宋_GB2312"/>
          <w:color w:val="auto"/>
          <w:kern w:val="0"/>
          <w:sz w:val="32"/>
          <w:szCs w:val="32"/>
          <w:highlight w:val="none"/>
        </w:rPr>
        <w:t>。</w:t>
      </w:r>
    </w:p>
    <w:p w14:paraId="59F11D06">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sz w:val="32"/>
          <w:szCs w:val="32"/>
          <w:highlight w:val="none"/>
        </w:rPr>
        <w:t>承包人是否应为其施工设备等办理财产保险：</w:t>
      </w:r>
      <w:r>
        <w:rPr>
          <w:rFonts w:hint="eastAsia" w:ascii="仿宋_GB2312" w:hAnsi="仿宋_GB2312" w:eastAsia="仿宋_GB2312" w:cs="仿宋_GB2312"/>
          <w:color w:val="auto"/>
          <w:sz w:val="32"/>
          <w:szCs w:val="32"/>
          <w:highlight w:val="none"/>
          <w:u w:val="single"/>
        </w:rPr>
        <w:t xml:space="preserve"> / </w:t>
      </w:r>
      <w:r>
        <w:rPr>
          <w:rFonts w:hint="eastAsia" w:ascii="仿宋_GB2312" w:hAnsi="仿宋_GB2312" w:eastAsia="仿宋_GB2312" w:cs="仿宋_GB2312"/>
          <w:color w:val="auto"/>
          <w:sz w:val="32"/>
          <w:szCs w:val="32"/>
          <w:highlight w:val="none"/>
        </w:rPr>
        <w:t>。</w:t>
      </w:r>
    </w:p>
    <w:p w14:paraId="7D4DD3DD">
      <w:pPr>
        <w:pageBreakBefore w:val="0"/>
        <w:kinsoku/>
        <w:wordWrap/>
        <w:overflowPunct/>
        <w:topLinePunct w:val="0"/>
        <w:bidi w:val="0"/>
        <w:adjustRightInd w:val="0"/>
        <w:snapToGrid w:val="0"/>
        <w:spacing w:line="560" w:lineRule="exact"/>
        <w:ind w:firstLine="640" w:firstLineChars="200"/>
        <w:jc w:val="both"/>
        <w:outlineLvl w:val="9"/>
        <w:rPr>
          <w:rFonts w:hint="eastAsia" w:ascii="仿宋_GB2312" w:hAnsi="仿宋_GB2312" w:eastAsia="仿宋_GB2312" w:cs="仿宋_GB2312"/>
          <w:color w:val="auto"/>
          <w:sz w:val="32"/>
          <w:szCs w:val="32"/>
          <w:highlight w:val="none"/>
        </w:rPr>
      </w:pPr>
      <w:bookmarkStart w:id="2825" w:name="_Toc3794"/>
      <w:bookmarkStart w:id="2826" w:name="_Toc11881"/>
      <w:bookmarkStart w:id="2827" w:name="_Toc27559"/>
      <w:bookmarkStart w:id="2828" w:name="_Toc18439"/>
      <w:bookmarkStart w:id="2829" w:name="_Toc25019"/>
      <w:bookmarkStart w:id="2830" w:name="_Toc26603"/>
      <w:bookmarkStart w:id="2831" w:name="_Toc4121"/>
      <w:bookmarkStart w:id="2832" w:name="_Toc29075"/>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val="en-US" w:eastAsia="zh-CN"/>
        </w:rPr>
        <w:t>8</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7</w:t>
      </w:r>
      <w:r>
        <w:rPr>
          <w:rFonts w:hint="eastAsia" w:ascii="仿宋_GB2312" w:hAnsi="仿宋_GB2312" w:eastAsia="仿宋_GB2312" w:cs="仿宋_GB2312"/>
          <w:color w:val="auto"/>
          <w:sz w:val="32"/>
          <w:szCs w:val="32"/>
          <w:highlight w:val="none"/>
        </w:rPr>
        <w:t xml:space="preserve"> 通知义务</w:t>
      </w:r>
      <w:bookmarkEnd w:id="2825"/>
      <w:bookmarkEnd w:id="2826"/>
      <w:bookmarkEnd w:id="2827"/>
      <w:bookmarkEnd w:id="2828"/>
      <w:bookmarkEnd w:id="2829"/>
      <w:bookmarkEnd w:id="2830"/>
      <w:bookmarkEnd w:id="2831"/>
      <w:bookmarkEnd w:id="2832"/>
    </w:p>
    <w:p w14:paraId="1449899D">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kern w:val="0"/>
          <w:sz w:val="32"/>
          <w:szCs w:val="32"/>
          <w:highlight w:val="none"/>
        </w:rPr>
        <w:t>关于变更保险合同时的通知义务的约定：</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w:t>
      </w:r>
      <w:bookmarkEnd w:id="2694"/>
      <w:bookmarkEnd w:id="2695"/>
      <w:bookmarkEnd w:id="2696"/>
      <w:bookmarkEnd w:id="2697"/>
      <w:bookmarkEnd w:id="2698"/>
      <w:bookmarkEnd w:id="2699"/>
      <w:bookmarkEnd w:id="2700"/>
      <w:bookmarkEnd w:id="2701"/>
      <w:bookmarkEnd w:id="2702"/>
      <w:bookmarkEnd w:id="2703"/>
      <w:bookmarkEnd w:id="2704"/>
      <w:bookmarkEnd w:id="2705"/>
      <w:bookmarkStart w:id="2833" w:name="_Toc351203651"/>
    </w:p>
    <w:p w14:paraId="39554B82">
      <w:pPr>
        <w:pageBreakBefore w:val="0"/>
        <w:widowControl/>
        <w:numPr>
          <w:ilvl w:val="0"/>
          <w:numId w:val="4"/>
        </w:numPr>
        <w:kinsoku/>
        <w:wordWrap/>
        <w:overflowPunct/>
        <w:topLinePunct w:val="0"/>
        <w:bidi w:val="0"/>
        <w:adjustRightInd w:val="0"/>
        <w:snapToGrid w:val="0"/>
        <w:spacing w:line="560" w:lineRule="exact"/>
        <w:ind w:firstLine="640" w:firstLineChars="200"/>
        <w:jc w:val="both"/>
        <w:outlineLvl w:val="9"/>
        <w:rPr>
          <w:rFonts w:hint="eastAsia" w:ascii="黑体" w:hAnsi="黑体" w:eastAsia="黑体" w:cs="黑体"/>
          <w:bCs/>
          <w:color w:val="auto"/>
          <w:sz w:val="32"/>
          <w:szCs w:val="32"/>
          <w:highlight w:val="none"/>
          <w:lang w:val="en-US" w:eastAsia="zh-CN"/>
        </w:rPr>
      </w:pPr>
      <w:r>
        <w:rPr>
          <w:rFonts w:hint="eastAsia" w:ascii="黑体" w:hAnsi="黑体" w:eastAsia="黑体" w:cs="黑体"/>
          <w:bCs/>
          <w:color w:val="auto"/>
          <w:sz w:val="32"/>
          <w:szCs w:val="32"/>
          <w:highlight w:val="none"/>
          <w:lang w:val="en-US" w:eastAsia="zh-CN"/>
        </w:rPr>
        <w:t>索赔</w:t>
      </w:r>
    </w:p>
    <w:p w14:paraId="2D639E51">
      <w:pPr>
        <w:pageBreakBefore w:val="0"/>
        <w:widowControl/>
        <w:numPr>
          <w:ilvl w:val="-1"/>
          <w:numId w:val="0"/>
        </w:numPr>
        <w:kinsoku/>
        <w:wordWrap/>
        <w:overflowPunct/>
        <w:topLinePunct w:val="0"/>
        <w:bidi w:val="0"/>
        <w:adjustRightInd w:val="0"/>
        <w:snapToGrid w:val="0"/>
        <w:spacing w:line="560" w:lineRule="exact"/>
        <w:ind w:firstLine="0" w:firstLineChars="0"/>
        <w:jc w:val="both"/>
        <w:outlineLvl w:val="9"/>
        <w:rPr>
          <w:rFonts w:hint="default" w:ascii="黑体" w:hAnsi="黑体" w:eastAsia="黑体" w:cs="黑体"/>
          <w:bCs/>
          <w:color w:val="auto"/>
          <w:sz w:val="32"/>
          <w:szCs w:val="32"/>
          <w:highlight w:val="none"/>
          <w:lang w:val="en-US" w:eastAsia="zh-CN"/>
        </w:rPr>
      </w:pPr>
      <w:r>
        <w:rPr>
          <w:rFonts w:hint="eastAsia" w:ascii="黑体" w:hAnsi="黑体" w:eastAsia="黑体" w:cs="黑体"/>
          <w:bCs/>
          <w:color w:val="auto"/>
          <w:sz w:val="32"/>
          <w:szCs w:val="32"/>
          <w:highlight w:val="none"/>
          <w:lang w:val="en-US" w:eastAsia="zh-CN"/>
        </w:rPr>
        <w:t xml:space="preserve">    按通用条款执行</w:t>
      </w:r>
    </w:p>
    <w:p w14:paraId="53BF521B">
      <w:pPr>
        <w:pageBreakBefore w:val="0"/>
        <w:widowControl/>
        <w:kinsoku/>
        <w:wordWrap/>
        <w:overflowPunct/>
        <w:topLinePunct w:val="0"/>
        <w:bidi w:val="0"/>
        <w:adjustRightInd w:val="0"/>
        <w:snapToGrid w:val="0"/>
        <w:spacing w:line="560" w:lineRule="exact"/>
        <w:ind w:firstLine="640" w:firstLineChars="200"/>
        <w:jc w:val="both"/>
        <w:outlineLvl w:val="9"/>
        <w:rPr>
          <w:rFonts w:hint="eastAsia" w:ascii="黑体" w:hAnsi="黑体" w:eastAsia="黑体" w:cs="黑体"/>
          <w:b w:val="0"/>
          <w:bCs/>
          <w:color w:val="auto"/>
          <w:sz w:val="32"/>
          <w:szCs w:val="32"/>
          <w:highlight w:val="none"/>
        </w:rPr>
      </w:pPr>
      <w:bookmarkStart w:id="2834" w:name="_Toc29086"/>
      <w:bookmarkStart w:id="2835" w:name="_Toc3248"/>
      <w:bookmarkStart w:id="2836" w:name="_Toc27321"/>
      <w:bookmarkStart w:id="2837" w:name="_Toc20712"/>
      <w:bookmarkStart w:id="2838" w:name="_Toc5658"/>
      <w:bookmarkStart w:id="2839" w:name="_Toc14016"/>
      <w:bookmarkStart w:id="2840" w:name="_Toc19163"/>
      <w:bookmarkStart w:id="2841" w:name="_Toc4538"/>
      <w:bookmarkStart w:id="2842" w:name="_Toc2944"/>
      <w:bookmarkStart w:id="2843" w:name="_Toc21143"/>
      <w:r>
        <w:rPr>
          <w:rFonts w:hint="eastAsia" w:ascii="黑体" w:hAnsi="黑体" w:eastAsia="黑体" w:cs="黑体"/>
          <w:b w:val="0"/>
          <w:bCs/>
          <w:color w:val="auto"/>
          <w:sz w:val="32"/>
          <w:szCs w:val="32"/>
          <w:highlight w:val="none"/>
          <w:lang w:val="en-US" w:eastAsia="zh-CN"/>
        </w:rPr>
        <w:t>20</w:t>
      </w:r>
      <w:r>
        <w:rPr>
          <w:rFonts w:hint="eastAsia" w:ascii="黑体" w:hAnsi="黑体" w:eastAsia="黑体" w:cs="黑体"/>
          <w:b w:val="0"/>
          <w:bCs/>
          <w:color w:val="auto"/>
          <w:sz w:val="32"/>
          <w:szCs w:val="32"/>
          <w:highlight w:val="none"/>
        </w:rPr>
        <w:t>.争议解</w:t>
      </w:r>
      <w:bookmarkEnd w:id="2833"/>
      <w:r>
        <w:rPr>
          <w:rFonts w:hint="eastAsia" w:ascii="黑体" w:hAnsi="黑体" w:eastAsia="黑体" w:cs="黑体"/>
          <w:b w:val="0"/>
          <w:bCs/>
          <w:color w:val="auto"/>
          <w:sz w:val="32"/>
          <w:szCs w:val="32"/>
          <w:highlight w:val="none"/>
        </w:rPr>
        <w:t>决</w:t>
      </w:r>
      <w:bookmarkEnd w:id="2706"/>
      <w:bookmarkEnd w:id="2707"/>
      <w:bookmarkEnd w:id="2834"/>
      <w:bookmarkEnd w:id="2835"/>
      <w:bookmarkEnd w:id="2836"/>
      <w:bookmarkEnd w:id="2837"/>
      <w:bookmarkEnd w:id="2838"/>
      <w:bookmarkEnd w:id="2839"/>
      <w:bookmarkEnd w:id="2840"/>
      <w:bookmarkEnd w:id="2841"/>
      <w:bookmarkEnd w:id="2842"/>
      <w:bookmarkEnd w:id="2843"/>
    </w:p>
    <w:p w14:paraId="2AD715C3">
      <w:pPr>
        <w:pageBreakBefore w:val="0"/>
        <w:kinsoku/>
        <w:wordWrap/>
        <w:overflowPunct/>
        <w:topLinePunct w:val="0"/>
        <w:bidi w:val="0"/>
        <w:adjustRightInd w:val="0"/>
        <w:snapToGrid w:val="0"/>
        <w:spacing w:line="560" w:lineRule="exact"/>
        <w:ind w:firstLine="640" w:firstLineChars="200"/>
        <w:jc w:val="both"/>
        <w:outlineLvl w:val="9"/>
        <w:rPr>
          <w:rFonts w:hint="eastAsia" w:ascii="仿宋_GB2312" w:hAnsi="仿宋_GB2312" w:eastAsia="仿宋_GB2312" w:cs="仿宋_GB2312"/>
          <w:color w:val="auto"/>
          <w:sz w:val="32"/>
          <w:szCs w:val="32"/>
          <w:highlight w:val="none"/>
        </w:rPr>
      </w:pPr>
      <w:bookmarkStart w:id="2844" w:name="_Toc2454"/>
      <w:bookmarkStart w:id="2845" w:name="_Toc4660"/>
      <w:bookmarkStart w:id="2846" w:name="_Toc2179"/>
      <w:bookmarkStart w:id="2847" w:name="_Toc25067"/>
      <w:bookmarkStart w:id="2848" w:name="_Toc7494"/>
      <w:bookmarkStart w:id="2849" w:name="_Toc12553"/>
      <w:bookmarkStart w:id="2850" w:name="_Toc17315"/>
      <w:bookmarkStart w:id="2851" w:name="_Toc21110"/>
      <w:r>
        <w:rPr>
          <w:rFonts w:hint="eastAsia" w:ascii="仿宋_GB2312" w:hAnsi="仿宋_GB2312" w:eastAsia="仿宋_GB2312" w:cs="仿宋_GB2312"/>
          <w:color w:val="auto"/>
          <w:sz w:val="32"/>
          <w:szCs w:val="32"/>
          <w:highlight w:val="none"/>
          <w:lang w:val="en-US" w:eastAsia="zh-CN"/>
        </w:rPr>
        <w:t>20</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3</w:t>
      </w:r>
      <w:bookmarkEnd w:id="2708"/>
      <w:r>
        <w:rPr>
          <w:rFonts w:hint="eastAsia" w:ascii="仿宋_GB2312" w:hAnsi="仿宋_GB2312" w:eastAsia="仿宋_GB2312" w:cs="仿宋_GB2312"/>
          <w:color w:val="auto"/>
          <w:sz w:val="32"/>
          <w:szCs w:val="32"/>
          <w:highlight w:val="none"/>
        </w:rPr>
        <w:t>争议评审</w:t>
      </w:r>
      <w:bookmarkEnd w:id="2844"/>
      <w:bookmarkEnd w:id="2845"/>
      <w:bookmarkEnd w:id="2846"/>
      <w:bookmarkEnd w:id="2847"/>
      <w:bookmarkEnd w:id="2848"/>
      <w:bookmarkEnd w:id="2849"/>
      <w:bookmarkEnd w:id="2850"/>
      <w:bookmarkEnd w:id="2851"/>
    </w:p>
    <w:p w14:paraId="0F90189D">
      <w:pPr>
        <w:pageBreakBefore w:val="0"/>
        <w:kinsoku/>
        <w:wordWrap/>
        <w:overflowPunct/>
        <w:topLinePunct w:val="0"/>
        <w:bidi w:val="0"/>
        <w:adjustRightInd w:val="0"/>
        <w:snapToGrid w:val="0"/>
        <w:spacing w:line="560" w:lineRule="exact"/>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合同当事人是否同意将工程争议提交争议评审小组决定：</w:t>
      </w:r>
      <w:r>
        <w:rPr>
          <w:rFonts w:hint="eastAsia" w:ascii="仿宋_GB2312" w:hAnsi="仿宋_GB2312" w:eastAsia="仿宋_GB2312" w:cs="仿宋_GB2312"/>
          <w:color w:val="auto"/>
          <w:sz w:val="32"/>
          <w:szCs w:val="32"/>
          <w:highlight w:val="none"/>
          <w:u w:val="single"/>
        </w:rPr>
        <w:t xml:space="preserve"> 否 </w:t>
      </w:r>
      <w:r>
        <w:rPr>
          <w:rFonts w:hint="eastAsia" w:ascii="仿宋_GB2312" w:hAnsi="仿宋_GB2312" w:eastAsia="仿宋_GB2312" w:cs="仿宋_GB2312"/>
          <w:color w:val="auto"/>
          <w:sz w:val="32"/>
          <w:szCs w:val="32"/>
          <w:highlight w:val="none"/>
        </w:rPr>
        <w:t xml:space="preserve">。  </w:t>
      </w:r>
    </w:p>
    <w:p w14:paraId="69388260">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20</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.1 争议评审小组的确定</w:t>
      </w:r>
    </w:p>
    <w:p w14:paraId="7A9549E4">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u w:val="single"/>
        </w:rPr>
      </w:pPr>
      <w:r>
        <w:rPr>
          <w:rFonts w:hint="eastAsia" w:ascii="仿宋_GB2312" w:hAnsi="仿宋_GB2312" w:eastAsia="仿宋_GB2312" w:cs="仿宋_GB2312"/>
          <w:color w:val="auto"/>
          <w:sz w:val="32"/>
          <w:szCs w:val="32"/>
          <w:highlight w:val="none"/>
        </w:rPr>
        <w:t>争议评审小组成员的确定：</w:t>
      </w:r>
      <w:r>
        <w:rPr>
          <w:rFonts w:hint="eastAsia" w:ascii="仿宋_GB2312" w:hAnsi="仿宋_GB2312" w:eastAsia="仿宋_GB2312" w:cs="仿宋_GB2312"/>
          <w:color w:val="auto"/>
          <w:sz w:val="32"/>
          <w:szCs w:val="32"/>
          <w:highlight w:val="none"/>
          <w:u w:val="single"/>
        </w:rPr>
        <w:t xml:space="preserve">   /  </w:t>
      </w:r>
      <w:r>
        <w:rPr>
          <w:rFonts w:hint="eastAsia" w:ascii="仿宋_GB2312" w:hAnsi="仿宋_GB2312" w:eastAsia="仿宋_GB2312" w:cs="仿宋_GB2312"/>
          <w:color w:val="auto"/>
          <w:sz w:val="32"/>
          <w:szCs w:val="32"/>
          <w:highlight w:val="none"/>
        </w:rPr>
        <w:t>。</w:t>
      </w:r>
    </w:p>
    <w:p w14:paraId="32575158">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选定争议评审员的期限：</w:t>
      </w:r>
      <w:r>
        <w:rPr>
          <w:rFonts w:hint="eastAsia" w:ascii="仿宋_GB2312" w:hAnsi="仿宋_GB2312" w:eastAsia="仿宋_GB2312" w:cs="仿宋_GB2312"/>
          <w:color w:val="auto"/>
          <w:sz w:val="32"/>
          <w:szCs w:val="32"/>
          <w:highlight w:val="none"/>
          <w:u w:val="single"/>
        </w:rPr>
        <w:t xml:space="preserve">  /  </w:t>
      </w:r>
      <w:r>
        <w:rPr>
          <w:rFonts w:hint="eastAsia" w:ascii="仿宋_GB2312" w:hAnsi="仿宋_GB2312" w:eastAsia="仿宋_GB2312" w:cs="仿宋_GB2312"/>
          <w:color w:val="auto"/>
          <w:sz w:val="32"/>
          <w:szCs w:val="32"/>
          <w:highlight w:val="none"/>
        </w:rPr>
        <w:t>。</w:t>
      </w:r>
    </w:p>
    <w:p w14:paraId="37732E23">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争议评审小组成员的报酬承担方式：</w:t>
      </w:r>
      <w:r>
        <w:rPr>
          <w:rFonts w:hint="eastAsia" w:ascii="仿宋_GB2312" w:hAnsi="仿宋_GB2312" w:eastAsia="仿宋_GB2312" w:cs="仿宋_GB2312"/>
          <w:color w:val="auto"/>
          <w:sz w:val="32"/>
          <w:szCs w:val="32"/>
          <w:highlight w:val="none"/>
          <w:u w:val="single"/>
        </w:rPr>
        <w:t xml:space="preserve">  /  </w:t>
      </w:r>
      <w:r>
        <w:rPr>
          <w:rFonts w:hint="eastAsia" w:ascii="仿宋_GB2312" w:hAnsi="仿宋_GB2312" w:eastAsia="仿宋_GB2312" w:cs="仿宋_GB2312"/>
          <w:color w:val="auto"/>
          <w:sz w:val="32"/>
          <w:szCs w:val="32"/>
          <w:highlight w:val="none"/>
        </w:rPr>
        <w:t>。</w:t>
      </w:r>
    </w:p>
    <w:p w14:paraId="5E86DDCA">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其他事项的约定：</w:t>
      </w:r>
      <w:r>
        <w:rPr>
          <w:rFonts w:hint="eastAsia" w:ascii="仿宋_GB2312" w:hAnsi="仿宋_GB2312" w:eastAsia="仿宋_GB2312" w:cs="仿宋_GB2312"/>
          <w:color w:val="auto"/>
          <w:sz w:val="32"/>
          <w:szCs w:val="32"/>
          <w:highlight w:val="none"/>
          <w:u w:val="single"/>
        </w:rPr>
        <w:t xml:space="preserve">  /  </w:t>
      </w:r>
      <w:r>
        <w:rPr>
          <w:rFonts w:hint="eastAsia" w:ascii="仿宋_GB2312" w:hAnsi="仿宋_GB2312" w:eastAsia="仿宋_GB2312" w:cs="仿宋_GB2312"/>
          <w:color w:val="auto"/>
          <w:sz w:val="32"/>
          <w:szCs w:val="32"/>
          <w:highlight w:val="none"/>
        </w:rPr>
        <w:t>。</w:t>
      </w:r>
    </w:p>
    <w:p w14:paraId="252EECC4">
      <w:pPr>
        <w:pageBreakBefore w:val="0"/>
        <w:kinsoku/>
        <w:wordWrap/>
        <w:overflowPunct/>
        <w:topLinePunct w:val="0"/>
        <w:autoSpaceDE w:val="0"/>
        <w:autoSpaceDN w:val="0"/>
        <w:bidi w:val="0"/>
        <w:adjustRightInd w:val="0"/>
        <w:snapToGrid w:val="0"/>
        <w:spacing w:line="560"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lang w:val="en-US" w:eastAsia="zh-CN"/>
        </w:rPr>
        <w:t>20</w:t>
      </w:r>
      <w:r>
        <w:rPr>
          <w:rFonts w:hint="eastAsia" w:ascii="仿宋_GB2312" w:hAnsi="仿宋_GB2312" w:eastAsia="仿宋_GB2312" w:cs="仿宋_GB2312"/>
          <w:color w:val="auto"/>
          <w:kern w:val="0"/>
          <w:sz w:val="32"/>
          <w:szCs w:val="32"/>
          <w:highlight w:val="none"/>
        </w:rPr>
        <w:t>.</w:t>
      </w:r>
      <w:r>
        <w:rPr>
          <w:rFonts w:hint="eastAsia" w:ascii="仿宋_GB2312" w:hAnsi="仿宋_GB2312" w:eastAsia="仿宋_GB2312" w:cs="仿宋_GB2312"/>
          <w:color w:val="auto"/>
          <w:kern w:val="0"/>
          <w:sz w:val="32"/>
          <w:szCs w:val="32"/>
          <w:highlight w:val="none"/>
          <w:lang w:val="en-US" w:eastAsia="zh-CN"/>
        </w:rPr>
        <w:t>3</w:t>
      </w:r>
      <w:r>
        <w:rPr>
          <w:rFonts w:hint="eastAsia" w:ascii="仿宋_GB2312" w:hAnsi="仿宋_GB2312" w:eastAsia="仿宋_GB2312" w:cs="仿宋_GB2312"/>
          <w:color w:val="auto"/>
          <w:kern w:val="0"/>
          <w:sz w:val="32"/>
          <w:szCs w:val="32"/>
          <w:highlight w:val="none"/>
        </w:rPr>
        <w:t>.2 争议评审小组的决定</w:t>
      </w:r>
    </w:p>
    <w:p w14:paraId="55F6B15C">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合同当事人关于</w:t>
      </w:r>
      <w:r>
        <w:rPr>
          <w:rFonts w:hint="eastAsia" w:ascii="仿宋_GB2312" w:hAnsi="仿宋_GB2312" w:eastAsia="仿宋_GB2312" w:cs="仿宋_GB2312"/>
          <w:color w:val="auto"/>
          <w:sz w:val="32"/>
          <w:szCs w:val="32"/>
          <w:highlight w:val="none"/>
          <w:lang w:eastAsia="zh-CN"/>
        </w:rPr>
        <w:t>本事</w:t>
      </w:r>
      <w:r>
        <w:rPr>
          <w:rFonts w:hint="eastAsia" w:ascii="仿宋_GB2312" w:hAnsi="仿宋_GB2312" w:eastAsia="仿宋_GB2312" w:cs="仿宋_GB2312"/>
          <w:color w:val="auto"/>
          <w:sz w:val="32"/>
          <w:szCs w:val="32"/>
          <w:highlight w:val="none"/>
        </w:rPr>
        <w:t>项的约定：</w:t>
      </w:r>
      <w:r>
        <w:rPr>
          <w:rFonts w:hint="eastAsia" w:ascii="仿宋_GB2312" w:hAnsi="仿宋_GB2312" w:eastAsia="仿宋_GB2312" w:cs="仿宋_GB2312"/>
          <w:color w:val="auto"/>
          <w:sz w:val="32"/>
          <w:szCs w:val="32"/>
          <w:highlight w:val="none"/>
          <w:u w:val="single"/>
        </w:rPr>
        <w:t xml:space="preserve">  /  </w:t>
      </w:r>
      <w:r>
        <w:rPr>
          <w:rFonts w:hint="eastAsia" w:ascii="仿宋_GB2312" w:hAnsi="仿宋_GB2312" w:eastAsia="仿宋_GB2312" w:cs="仿宋_GB2312"/>
          <w:color w:val="auto"/>
          <w:sz w:val="32"/>
          <w:szCs w:val="32"/>
          <w:highlight w:val="none"/>
        </w:rPr>
        <w:t>。</w:t>
      </w:r>
    </w:p>
    <w:p w14:paraId="6E71D9A3">
      <w:pPr>
        <w:pageBreakBefore w:val="0"/>
        <w:kinsoku/>
        <w:wordWrap/>
        <w:overflowPunct/>
        <w:topLinePunct w:val="0"/>
        <w:bidi w:val="0"/>
        <w:adjustRightInd w:val="0"/>
        <w:snapToGrid w:val="0"/>
        <w:spacing w:line="560" w:lineRule="exact"/>
        <w:ind w:firstLine="640" w:firstLineChars="200"/>
        <w:jc w:val="both"/>
        <w:outlineLvl w:val="9"/>
        <w:rPr>
          <w:rFonts w:hint="eastAsia" w:ascii="仿宋_GB2312" w:hAnsi="仿宋_GB2312" w:eastAsia="仿宋_GB2312" w:cs="仿宋_GB2312"/>
          <w:color w:val="auto"/>
          <w:sz w:val="32"/>
          <w:szCs w:val="32"/>
          <w:highlight w:val="none"/>
        </w:rPr>
      </w:pPr>
      <w:bookmarkStart w:id="2852" w:name="_Toc25256"/>
      <w:bookmarkStart w:id="2853" w:name="_Toc15313"/>
      <w:bookmarkStart w:id="2854" w:name="_Toc13822"/>
      <w:bookmarkStart w:id="2855" w:name="_Toc25207"/>
      <w:bookmarkStart w:id="2856" w:name="_Toc26010"/>
      <w:bookmarkStart w:id="2857" w:name="_Toc29767"/>
      <w:bookmarkStart w:id="2858" w:name="_Toc2683"/>
      <w:bookmarkStart w:id="2859" w:name="_Toc21588"/>
      <w:r>
        <w:rPr>
          <w:rFonts w:hint="eastAsia" w:ascii="仿宋_GB2312" w:hAnsi="仿宋_GB2312" w:eastAsia="仿宋_GB2312" w:cs="仿宋_GB2312"/>
          <w:color w:val="auto"/>
          <w:sz w:val="32"/>
          <w:szCs w:val="32"/>
          <w:highlight w:val="none"/>
          <w:lang w:val="en-US" w:eastAsia="zh-CN"/>
        </w:rPr>
        <w:t>20</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rPr>
        <w:t>仲裁或诉</w:t>
      </w:r>
      <w:bookmarkEnd w:id="2709"/>
      <w:r>
        <w:rPr>
          <w:rFonts w:hint="eastAsia" w:ascii="仿宋_GB2312" w:hAnsi="仿宋_GB2312" w:eastAsia="仿宋_GB2312" w:cs="仿宋_GB2312"/>
          <w:color w:val="auto"/>
          <w:sz w:val="32"/>
          <w:szCs w:val="32"/>
          <w:highlight w:val="none"/>
        </w:rPr>
        <w:t>讼</w:t>
      </w:r>
      <w:bookmarkEnd w:id="2852"/>
      <w:bookmarkEnd w:id="2853"/>
      <w:bookmarkEnd w:id="2854"/>
      <w:bookmarkEnd w:id="2855"/>
      <w:bookmarkEnd w:id="2856"/>
      <w:bookmarkEnd w:id="2857"/>
      <w:bookmarkEnd w:id="2858"/>
      <w:bookmarkEnd w:id="2859"/>
    </w:p>
    <w:bookmarkEnd w:id="2710"/>
    <w:bookmarkEnd w:id="2711"/>
    <w:bookmarkEnd w:id="2712"/>
    <w:bookmarkEnd w:id="2713"/>
    <w:bookmarkEnd w:id="2714"/>
    <w:bookmarkEnd w:id="2715"/>
    <w:p w14:paraId="22F2D2C2">
      <w:pPr>
        <w:adjustRightInd w:val="0"/>
        <w:snapToGrid w:val="0"/>
        <w:spacing w:line="560" w:lineRule="exact"/>
        <w:ind w:firstLine="640" w:firstLineChars="200"/>
        <w:rPr>
          <w:rFonts w:hint="eastAsia" w:ascii="仿宋_GB2312" w:hAnsi="仿宋_GB2312" w:eastAsia="仿宋_GB2312" w:cs="仿宋_GB2312"/>
          <w:sz w:val="32"/>
          <w:szCs w:val="32"/>
        </w:rPr>
      </w:pPr>
      <w:bookmarkStart w:id="2860" w:name="_Toc25096"/>
      <w:bookmarkStart w:id="2861" w:name="_Toc12145"/>
      <w:bookmarkStart w:id="2862" w:name="_Toc10744"/>
      <w:bookmarkStart w:id="2863" w:name="_Toc13975"/>
      <w:bookmarkStart w:id="2864" w:name="_Toc13767"/>
      <w:bookmarkStart w:id="2865" w:name="_Toc21518"/>
      <w:bookmarkStart w:id="2866" w:name="_Toc20193"/>
      <w:bookmarkStart w:id="2867" w:name="_Toc19693"/>
      <w:bookmarkStart w:id="2868" w:name="_Toc11430"/>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凡因本合同引起的或与本合同有关的任何争议，双方均应友好协商；协商不成的，通过下列第</w:t>
      </w:r>
      <w:permStart w:id="90" w:edGrp="everyone"/>
      <w:r>
        <w:rPr>
          <w:rFonts w:hint="eastAsia" w:ascii="仿宋_GB2312" w:hAnsi="仿宋_GB2312" w:eastAsia="仿宋_GB2312" w:cs="仿宋_GB2312"/>
          <w:sz w:val="32"/>
          <w:szCs w:val="32"/>
          <w:lang w:val="en-US" w:eastAsia="zh-CN"/>
        </w:rPr>
        <w:t xml:space="preserve"> </w:t>
      </w:r>
      <w:r>
        <w:rPr>
          <w:rFonts w:hint="eastAsia" w:hAnsi="仿宋_GB2312" w:cs="仿宋_GB2312"/>
          <w:sz w:val="32"/>
          <w:szCs w:val="32"/>
          <w:lang w:val="en-US" w:eastAsia="zh-CN"/>
        </w:rPr>
        <w:t xml:space="preserve"> </w:t>
      </w:r>
      <w:r>
        <w:rPr>
          <w:rFonts w:hint="eastAsia" w:ascii="仿宋_GB2312" w:hAnsi="仿宋_GB2312" w:eastAsia="仿宋_GB2312" w:cs="仿宋_GB2312"/>
          <w:sz w:val="32"/>
          <w:szCs w:val="32"/>
          <w:lang w:val="en-US" w:eastAsia="zh-CN"/>
        </w:rPr>
        <w:t xml:space="preserve">③  </w:t>
      </w:r>
      <w:permEnd w:id="90"/>
      <w:r>
        <w:rPr>
          <w:rFonts w:hint="eastAsia" w:ascii="仿宋_GB2312" w:hAnsi="仿宋_GB2312" w:eastAsia="仿宋_GB2312" w:cs="仿宋_GB2312"/>
          <w:sz w:val="32"/>
          <w:szCs w:val="32"/>
        </w:rPr>
        <w:t>种方式解决：</w:t>
      </w:r>
    </w:p>
    <w:p w14:paraId="42863177">
      <w:pPr>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①</w:t>
      </w:r>
      <w:r>
        <w:rPr>
          <w:rFonts w:hint="eastAsia" w:ascii="仿宋_GB2312" w:hAnsi="仿宋_GB2312" w:eastAsia="仿宋_GB2312" w:cs="仿宋_GB2312"/>
          <w:sz w:val="32"/>
          <w:szCs w:val="32"/>
        </w:rPr>
        <w:t>临时仲裁</w:t>
      </w:r>
    </w:p>
    <w:p w14:paraId="5420C61C">
      <w:pPr>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通过仲裁方式解决，仲裁地位于海南自由贸易港，适用海南省仲裁协会《海南自由贸易港临时仲裁规则》。特别约定：</w:t>
      </w:r>
    </w:p>
    <w:p w14:paraId="068C0847">
      <w:pPr>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1.1指定机构为【海南省仲裁协会】</w:t>
      </w:r>
    </w:p>
    <w:p w14:paraId="46F19385">
      <w:pPr>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1.2仲裁员人数为</w:t>
      </w:r>
      <w:permStart w:id="91" w:edGrp="everyone"/>
      <w:r>
        <w:rPr>
          <w:rFonts w:hint="eastAsia" w:ascii="仿宋_GB2312" w:hAnsi="仿宋_GB2312" w:eastAsia="仿宋_GB2312" w:cs="仿宋_GB2312"/>
          <w:sz w:val="32"/>
          <w:szCs w:val="32"/>
        </w:rPr>
        <w:t>【】</w:t>
      </w:r>
      <w:permEnd w:id="91"/>
    </w:p>
    <w:p w14:paraId="4E4F8665">
      <w:pPr>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1.3仲裁语言为</w:t>
      </w:r>
      <w:permStart w:id="92" w:edGrp="everyone"/>
      <w:r>
        <w:rPr>
          <w:rFonts w:hint="eastAsia" w:ascii="仿宋_GB2312" w:hAnsi="仿宋_GB2312" w:eastAsia="仿宋_GB2312" w:cs="仿宋_GB2312"/>
          <w:sz w:val="32"/>
          <w:szCs w:val="32"/>
        </w:rPr>
        <w:t>【】</w:t>
      </w:r>
      <w:permEnd w:id="92"/>
    </w:p>
    <w:p w14:paraId="2B21D04B">
      <w:pPr>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1.4合同所适用实体法为</w:t>
      </w:r>
      <w:permStart w:id="93" w:edGrp="everyone"/>
      <w:r>
        <w:rPr>
          <w:rFonts w:hint="eastAsia" w:ascii="仿宋_GB2312" w:hAnsi="仿宋_GB2312" w:eastAsia="仿宋_GB2312" w:cs="仿宋_GB2312"/>
          <w:sz w:val="32"/>
          <w:szCs w:val="32"/>
        </w:rPr>
        <w:t>【】</w:t>
      </w:r>
      <w:permEnd w:id="93"/>
    </w:p>
    <w:p w14:paraId="78096AD3">
      <w:pPr>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（注：当事人可就以上事项作特别约定。仲裁裁决是终局的，对双方均有约束力。）</w:t>
      </w:r>
    </w:p>
    <w:p w14:paraId="4656B31F">
      <w:pPr>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②</w:t>
      </w:r>
      <w:r>
        <w:rPr>
          <w:rFonts w:hint="eastAsia" w:ascii="仿宋_GB2312" w:hAnsi="仿宋_GB2312" w:eastAsia="仿宋_GB2312" w:cs="仿宋_GB2312"/>
          <w:sz w:val="32"/>
          <w:szCs w:val="32"/>
        </w:rPr>
        <w:t>机构仲裁</w:t>
      </w:r>
    </w:p>
    <w:p w14:paraId="5B025BC0">
      <w:pPr>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提交海南国际仲裁院，按照该机构现行有效仲裁规则进行仲裁。仲裁裁决是终局的，对双方均有约束力。</w:t>
      </w:r>
    </w:p>
    <w:p w14:paraId="671931B8">
      <w:pPr>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③</w:t>
      </w:r>
      <w:r>
        <w:rPr>
          <w:rFonts w:hint="eastAsia" w:ascii="仿宋_GB2312" w:hAnsi="仿宋_GB2312" w:eastAsia="仿宋_GB2312" w:cs="仿宋_GB2312"/>
          <w:sz w:val="32"/>
          <w:szCs w:val="32"/>
        </w:rPr>
        <w:t>向</w:t>
      </w:r>
      <w:permStart w:id="94" w:edGrp="everyone"/>
      <w:r>
        <w:rPr>
          <w:rFonts w:hint="eastAsia" w:ascii="仿宋_GB2312" w:hAnsi="仿宋_GB2312" w:eastAsia="仿宋_GB2312" w:cs="仿宋_GB2312"/>
          <w:sz w:val="32"/>
          <w:szCs w:val="32"/>
          <w:u w:val="single"/>
          <w:lang w:val="en-US" w:eastAsia="zh-CN"/>
        </w:rPr>
        <w:t>项目所在地</w:t>
      </w:r>
      <w:permEnd w:id="94"/>
      <w:r>
        <w:rPr>
          <w:rFonts w:hint="eastAsia" w:ascii="仿宋_GB2312" w:hAnsi="仿宋_GB2312" w:eastAsia="仿宋_GB2312" w:cs="仿宋_GB2312"/>
          <w:sz w:val="32"/>
          <w:szCs w:val="32"/>
        </w:rPr>
        <w:t>所在地有管辖权的人民法院提起诉讼。</w:t>
      </w:r>
    </w:p>
    <w:p w14:paraId="5CD719BF">
      <w:pPr>
        <w:adjustRightInd w:val="0"/>
        <w:snapToGrid w:val="0"/>
        <w:spacing w:line="56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合同有关争议解决的条款独立存在，合同的变更、解除、终止、无效或者被撤销均不影响其效力。在诉讼期间，除正在进行诉讼的部分外，合同其它部分应继续执行。</w:t>
      </w:r>
    </w:p>
    <w:p w14:paraId="18150CFF">
      <w:pPr>
        <w:pageBreakBefore w:val="0"/>
        <w:widowControl/>
        <w:kinsoku/>
        <w:wordWrap/>
        <w:overflowPunct/>
        <w:topLinePunct w:val="0"/>
        <w:bidi w:val="0"/>
        <w:adjustRightInd w:val="0"/>
        <w:snapToGrid w:val="0"/>
        <w:spacing w:line="560" w:lineRule="exact"/>
        <w:ind w:firstLine="640" w:firstLineChars="200"/>
        <w:jc w:val="both"/>
        <w:outlineLvl w:val="9"/>
        <w:rPr>
          <w:rFonts w:hint="eastAsia" w:ascii="黑体" w:hAnsi="黑体" w:eastAsia="黑体" w:cs="黑体"/>
          <w:b w:val="0"/>
          <w:bCs/>
          <w:color w:val="auto"/>
          <w:sz w:val="32"/>
          <w:szCs w:val="32"/>
          <w:highlight w:val="none"/>
        </w:rPr>
      </w:pPr>
      <w:r>
        <w:rPr>
          <w:rFonts w:hint="eastAsia" w:ascii="黑体" w:hAnsi="黑体" w:eastAsia="黑体" w:cs="黑体"/>
          <w:b w:val="0"/>
          <w:bCs/>
          <w:color w:val="auto"/>
          <w:sz w:val="32"/>
          <w:szCs w:val="32"/>
          <w:highlight w:val="none"/>
          <w:lang w:val="en-US" w:eastAsia="zh-CN"/>
        </w:rPr>
        <w:t>21</w:t>
      </w:r>
      <w:r>
        <w:rPr>
          <w:rFonts w:hint="eastAsia" w:ascii="黑体" w:hAnsi="黑体" w:eastAsia="黑体" w:cs="黑体"/>
          <w:b w:val="0"/>
          <w:bCs/>
          <w:color w:val="auto"/>
          <w:sz w:val="32"/>
          <w:szCs w:val="32"/>
          <w:highlight w:val="none"/>
        </w:rPr>
        <w:t>.补充条款</w:t>
      </w:r>
      <w:bookmarkEnd w:id="2860"/>
      <w:bookmarkEnd w:id="2861"/>
      <w:bookmarkEnd w:id="2862"/>
      <w:bookmarkEnd w:id="2863"/>
      <w:bookmarkEnd w:id="2864"/>
      <w:bookmarkEnd w:id="2865"/>
      <w:bookmarkEnd w:id="2866"/>
      <w:bookmarkEnd w:id="2867"/>
      <w:bookmarkEnd w:id="2868"/>
    </w:p>
    <w:p w14:paraId="1CD7E9EB">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bookmarkStart w:id="2869" w:name="_Toc10444"/>
      <w:r>
        <w:rPr>
          <w:rFonts w:hint="eastAsia" w:ascii="仿宋_GB2312" w:hAnsi="仿宋_GB2312" w:eastAsia="仿宋_GB2312" w:cs="仿宋_GB2312"/>
          <w:color w:val="auto"/>
          <w:sz w:val="32"/>
          <w:szCs w:val="32"/>
          <w:highlight w:val="none"/>
          <w:lang w:val="en-US" w:eastAsia="zh-CN"/>
        </w:rPr>
        <w:t>21</w:t>
      </w:r>
      <w:r>
        <w:rPr>
          <w:rFonts w:hint="eastAsia" w:ascii="仿宋_GB2312" w:hAnsi="仿宋_GB2312" w:eastAsia="仿宋_GB2312" w:cs="仿宋_GB2312"/>
          <w:color w:val="auto"/>
          <w:sz w:val="32"/>
          <w:szCs w:val="32"/>
          <w:highlight w:val="none"/>
        </w:rPr>
        <w:t xml:space="preserve">.1 </w:t>
      </w:r>
      <w:r>
        <w:rPr>
          <w:rFonts w:hint="eastAsia" w:ascii="仿宋_GB2312" w:hAnsi="仿宋_GB2312" w:eastAsia="仿宋_GB2312" w:cs="仿宋_GB2312"/>
          <w:color w:val="000000"/>
          <w:sz w:val="32"/>
          <w:szCs w:val="32"/>
          <w:highlight w:val="none"/>
        </w:rPr>
        <w:t>如承包人的银行账户被冻结或被采取其他司法强制措施等，经发包人评估后认为足以影响施工或项目进展的（具体认定标准由发包人决定），发包人有权单方解除合同，且发包人无需承担任何违约责任，一切损失和后果均由承包人承担，同时由承包人向发包人支付签约合同价20%的违约金，并赔偿或承担发包人实际全部损失（该损失包括但不限于律师费、诉讼费、鉴定费、评估费，以及发包人赔偿业主和第三者的违约金和影响发包人生产、经营活动造成的损失等）</w:t>
      </w:r>
      <w:r>
        <w:rPr>
          <w:rFonts w:hint="eastAsia" w:ascii="仿宋_GB2312" w:hAnsi="仿宋_GB2312" w:eastAsia="仿宋_GB2312" w:cs="仿宋_GB2312"/>
          <w:color w:val="000000"/>
          <w:sz w:val="32"/>
          <w:szCs w:val="32"/>
          <w:highlight w:val="none"/>
          <w:lang w:eastAsia="zh-CN"/>
        </w:rPr>
        <w:t>。</w:t>
      </w:r>
      <w:bookmarkEnd w:id="2869"/>
    </w:p>
    <w:p w14:paraId="6684CD47">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21</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承包人应对可能出现的合同风险做好充分的了解。</w:t>
      </w:r>
    </w:p>
    <w:p w14:paraId="68FBE23C">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21</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在施工期间如因</w:t>
      </w:r>
      <w:r>
        <w:rPr>
          <w:rFonts w:hint="eastAsia" w:ascii="仿宋_GB2312" w:hAnsi="仿宋_GB2312" w:eastAsia="仿宋_GB2312" w:cs="仿宋_GB2312"/>
          <w:color w:val="auto"/>
          <w:sz w:val="32"/>
          <w:szCs w:val="32"/>
          <w:highlight w:val="none"/>
          <w:lang w:val="en-US" w:eastAsia="zh-CN"/>
        </w:rPr>
        <w:t>发包人（含上级主管部门）</w:t>
      </w:r>
      <w:r>
        <w:rPr>
          <w:rFonts w:hint="eastAsia" w:ascii="仿宋_GB2312" w:hAnsi="仿宋_GB2312" w:eastAsia="仿宋_GB2312" w:cs="仿宋_GB2312"/>
          <w:color w:val="auto"/>
          <w:sz w:val="32"/>
          <w:szCs w:val="32"/>
          <w:highlight w:val="none"/>
        </w:rPr>
        <w:t>决定中途停、缓建，双方对在建工程商定施工到合理部位后，按现状结算移交，付清结算工程款，发包人返还履约保函，造成的损失以签证为准。</w:t>
      </w:r>
    </w:p>
    <w:p w14:paraId="432EEC65">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21</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rPr>
        <w:t>若项目实施计划改变，则发包人有权决定调整开工计划，承包人须无条件接受，并同意不追究发包人的责任。</w:t>
      </w:r>
    </w:p>
    <w:p w14:paraId="12A51E1A">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21</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承包人被认定为中标无效的，本合同认定无效。</w:t>
      </w:r>
    </w:p>
    <w:p w14:paraId="7CBC5FC9">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21</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rPr>
        <w:t xml:space="preserve"> 承包人存在以下情形之一的，发包人有权单方面解除本合同：</w:t>
      </w:r>
    </w:p>
    <w:p w14:paraId="2AD20E75">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①承包人在中标后被各行政单位列入各类黑名单造成实质性影响项目建设的；</w:t>
      </w:r>
    </w:p>
    <w:p w14:paraId="5CDCBD1F">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②合同履行期间，承包人在本项目外出现失信行为或不良行为记录，且影响本合同履约的。</w:t>
      </w:r>
    </w:p>
    <w:p w14:paraId="3DD4CBB1">
      <w:pPr>
        <w:pageBreakBefore w:val="0"/>
        <w:kinsoku/>
        <w:wordWrap/>
        <w:overflowPunct/>
        <w:topLinePunct w:val="0"/>
        <w:bidi w:val="0"/>
        <w:adjustRightInd w:val="0"/>
        <w:snapToGrid w:val="0"/>
        <w:spacing w:line="560" w:lineRule="exact"/>
        <w:ind w:firstLine="640" w:firstLineChars="200"/>
        <w:jc w:val="both"/>
        <w:rPr>
          <w:rFonts w:hint="eastAsia" w:ascii="仿宋_GB2312" w:hAnsi="仿宋_GB2312" w:eastAsia="仿宋_GB2312" w:cs="仿宋_GB2312"/>
          <w:b/>
          <w:bCs/>
          <w:color w:val="FF0000"/>
          <w:sz w:val="32"/>
          <w:szCs w:val="32"/>
          <w:highlight w:val="none"/>
        </w:rPr>
      </w:pPr>
      <w:r>
        <w:rPr>
          <w:rFonts w:hint="eastAsia" w:ascii="仿宋_GB2312" w:hAnsi="仿宋_GB2312" w:eastAsia="仿宋_GB2312" w:cs="仿宋_GB2312"/>
          <w:color w:val="auto"/>
          <w:sz w:val="32"/>
          <w:szCs w:val="32"/>
          <w:highlight w:val="none"/>
          <w:lang w:val="en-US" w:eastAsia="zh-CN"/>
        </w:rPr>
        <w:t>21</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7合同双方确认的其他约定为：</w:t>
      </w:r>
      <w:permStart w:id="95" w:edGrp="everyone"/>
      <w:r>
        <w:rPr>
          <w:rFonts w:hint="eastAsia" w:ascii="仿宋_GB2312" w:hAnsi="仿宋_GB2312" w:eastAsia="仿宋_GB2312" w:cs="仿宋_GB2312"/>
          <w:color w:val="auto"/>
          <w:sz w:val="32"/>
          <w:szCs w:val="32"/>
          <w:highlight w:val="none"/>
          <w:u w:val="single"/>
          <w:lang w:val="en-US" w:eastAsia="zh-CN"/>
        </w:rPr>
        <w:t xml:space="preserve">   /   </w:t>
      </w:r>
      <w:permEnd w:id="95"/>
    </w:p>
    <w:p w14:paraId="2B09C524">
      <w:pPr>
        <w:pageBreakBefore w:val="0"/>
        <w:widowControl/>
        <w:kinsoku/>
        <w:wordWrap/>
        <w:overflowPunct/>
        <w:topLinePunct w:val="0"/>
        <w:bidi w:val="0"/>
        <w:adjustRightInd w:val="0"/>
        <w:snapToGrid w:val="0"/>
        <w:spacing w:line="560" w:lineRule="exact"/>
        <w:ind w:firstLine="640" w:firstLineChars="200"/>
        <w:jc w:val="both"/>
        <w:outlineLvl w:val="9"/>
        <w:rPr>
          <w:rFonts w:hint="eastAsia" w:ascii="黑体" w:hAnsi="黑体" w:eastAsia="黑体" w:cs="黑体"/>
          <w:b w:val="0"/>
          <w:bCs/>
          <w:color w:val="auto"/>
          <w:sz w:val="32"/>
          <w:szCs w:val="32"/>
          <w:highlight w:val="none"/>
        </w:rPr>
      </w:pPr>
      <w:bookmarkStart w:id="2870" w:name="_Toc351203652"/>
      <w:bookmarkStart w:id="2871" w:name="_Toc926"/>
      <w:bookmarkStart w:id="2872" w:name="_Toc4885"/>
      <w:bookmarkStart w:id="2873" w:name="_Toc13574"/>
      <w:bookmarkStart w:id="2874" w:name="_Toc18270"/>
      <w:bookmarkStart w:id="2875" w:name="_Toc29690"/>
      <w:bookmarkStart w:id="2876" w:name="_Toc30586"/>
      <w:bookmarkStart w:id="2877" w:name="_Toc29177"/>
      <w:bookmarkStart w:id="2878" w:name="_Toc11982"/>
      <w:bookmarkStart w:id="2879" w:name="_Toc29499"/>
      <w:bookmarkStart w:id="2880" w:name="_Toc11009"/>
      <w:r>
        <w:rPr>
          <w:rFonts w:hint="eastAsia" w:ascii="黑体" w:hAnsi="黑体" w:eastAsia="黑体" w:cs="黑体"/>
          <w:b w:val="0"/>
          <w:bCs/>
          <w:color w:val="auto"/>
          <w:sz w:val="32"/>
          <w:szCs w:val="32"/>
          <w:highlight w:val="none"/>
          <w:lang w:val="en-US" w:eastAsia="zh-CN"/>
        </w:rPr>
        <w:t>22.</w:t>
      </w:r>
      <w:r>
        <w:rPr>
          <w:rFonts w:hint="eastAsia" w:ascii="黑体" w:hAnsi="黑体" w:eastAsia="黑体" w:cs="黑体"/>
          <w:b w:val="0"/>
          <w:bCs/>
          <w:color w:val="auto"/>
          <w:sz w:val="32"/>
          <w:szCs w:val="32"/>
          <w:highlight w:val="none"/>
        </w:rPr>
        <w:t>附</w:t>
      </w:r>
      <w:bookmarkEnd w:id="2870"/>
      <w:r>
        <w:rPr>
          <w:rFonts w:hint="eastAsia" w:ascii="黑体" w:hAnsi="黑体" w:eastAsia="黑体" w:cs="黑体"/>
          <w:b w:val="0"/>
          <w:bCs/>
          <w:color w:val="auto"/>
          <w:sz w:val="32"/>
          <w:szCs w:val="32"/>
          <w:highlight w:val="none"/>
        </w:rPr>
        <w:t>件</w:t>
      </w:r>
      <w:bookmarkEnd w:id="2871"/>
      <w:bookmarkEnd w:id="2872"/>
      <w:bookmarkEnd w:id="2873"/>
      <w:bookmarkEnd w:id="2874"/>
      <w:bookmarkEnd w:id="2875"/>
      <w:bookmarkEnd w:id="2876"/>
      <w:bookmarkEnd w:id="2877"/>
      <w:bookmarkEnd w:id="2878"/>
      <w:bookmarkEnd w:id="2879"/>
      <w:bookmarkEnd w:id="2880"/>
    </w:p>
    <w:p w14:paraId="58688E5B">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1.承包人承揽工程项目一览表</w:t>
      </w:r>
    </w:p>
    <w:p w14:paraId="4107E755">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2.发包人供应材料设备一览表</w:t>
      </w:r>
    </w:p>
    <w:p w14:paraId="260D25BB">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3.主要建设工程文件目录</w:t>
      </w:r>
    </w:p>
    <w:p w14:paraId="68217CF5">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4.承包人用于本工程施工的机械设备表</w:t>
      </w:r>
    </w:p>
    <w:p w14:paraId="5B2B2C5A">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5.承包人主要施工管理人员表</w:t>
      </w:r>
    </w:p>
    <w:p w14:paraId="13EDFE9F">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6.分包人主要施工管理人员表</w:t>
      </w:r>
    </w:p>
    <w:p w14:paraId="70607A91">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7.暂估价</w:t>
      </w:r>
      <w:r>
        <w:rPr>
          <w:rFonts w:hint="eastAsia" w:ascii="仿宋_GB2312" w:hAnsi="仿宋_GB2312" w:eastAsia="仿宋_GB2312" w:cs="仿宋_GB2312"/>
          <w:color w:val="auto"/>
          <w:sz w:val="32"/>
          <w:szCs w:val="32"/>
          <w:highlight w:val="none"/>
          <w:lang w:val="en-US" w:eastAsia="zh-CN"/>
        </w:rPr>
        <w:t>一览</w:t>
      </w:r>
      <w:r>
        <w:rPr>
          <w:rFonts w:hint="eastAsia" w:ascii="仿宋_GB2312" w:hAnsi="仿宋_GB2312" w:eastAsia="仿宋_GB2312" w:cs="仿宋_GB2312"/>
          <w:color w:val="auto"/>
          <w:sz w:val="32"/>
          <w:szCs w:val="32"/>
          <w:highlight w:val="none"/>
        </w:rPr>
        <w:t>表</w:t>
      </w:r>
    </w:p>
    <w:p w14:paraId="5A6A778E">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8.工期承诺函</w:t>
      </w:r>
    </w:p>
    <w:p w14:paraId="4EAF1373">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9.工程质量保修书</w:t>
      </w:r>
    </w:p>
    <w:p w14:paraId="16FFA980">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10.廉政协议书</w:t>
      </w:r>
    </w:p>
    <w:p w14:paraId="02E3A26F">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11.建设工程质量责任合同</w:t>
      </w:r>
    </w:p>
    <w:p w14:paraId="2255C6E6">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12.建设工程安全文明施工协议</w:t>
      </w:r>
    </w:p>
    <w:p w14:paraId="33A6D63F">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13.保密承诺函</w:t>
      </w:r>
    </w:p>
    <w:p w14:paraId="75076A1B">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rPr>
        <w:t>.监理人和设计人信息表</w:t>
      </w:r>
    </w:p>
    <w:p w14:paraId="35D9584D">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.发包人、承包人与监理人相关人员信息表</w:t>
      </w:r>
    </w:p>
    <w:p w14:paraId="511F469A">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w:t>
      </w:r>
      <w:r>
        <w:rPr>
          <w:rFonts w:hint="eastAsia" w:ascii="仿宋_GB2312" w:hAnsi="仿宋_GB2312" w:eastAsia="仿宋_GB2312" w:cs="仿宋_GB2312"/>
          <w:color w:val="auto"/>
          <w:kern w:val="0"/>
          <w:sz w:val="32"/>
          <w:szCs w:val="32"/>
          <w:highlight w:val="none"/>
          <w:lang w:val="en-US" w:eastAsia="zh-CN"/>
        </w:rPr>
        <w:t>6</w:t>
      </w:r>
      <w:r>
        <w:rPr>
          <w:rFonts w:hint="eastAsia" w:ascii="仿宋_GB2312" w:hAnsi="仿宋_GB2312" w:eastAsia="仿宋_GB2312" w:cs="仿宋_GB2312"/>
          <w:color w:val="auto"/>
          <w:kern w:val="0"/>
          <w:sz w:val="32"/>
          <w:szCs w:val="32"/>
          <w:highlight w:val="none"/>
        </w:rPr>
        <w:t>.江东新区施工围挡标准化</w:t>
      </w:r>
    </w:p>
    <w:p w14:paraId="55C53BA4">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kern w:val="0"/>
          <w:sz w:val="32"/>
          <w:szCs w:val="32"/>
          <w:highlight w:val="none"/>
          <w:lang w:bidi="ar"/>
        </w:rPr>
      </w:pPr>
      <w:r>
        <w:rPr>
          <w:rFonts w:hint="eastAsia" w:ascii="仿宋_GB2312" w:hAnsi="仿宋_GB2312" w:eastAsia="仿宋_GB2312" w:cs="仿宋_GB2312"/>
          <w:color w:val="auto"/>
          <w:kern w:val="0"/>
          <w:sz w:val="32"/>
          <w:szCs w:val="32"/>
          <w:highlight w:val="none"/>
          <w:lang w:val="en-US" w:eastAsia="zh-CN" w:bidi="ar"/>
        </w:rPr>
        <w:t>17</w:t>
      </w:r>
      <w:r>
        <w:rPr>
          <w:rFonts w:hint="eastAsia" w:ascii="仿宋_GB2312" w:hAnsi="仿宋_GB2312" w:eastAsia="仿宋_GB2312" w:cs="仿宋_GB2312"/>
          <w:color w:val="auto"/>
          <w:kern w:val="0"/>
          <w:sz w:val="32"/>
          <w:szCs w:val="32"/>
          <w:highlight w:val="none"/>
          <w:lang w:bidi="ar"/>
        </w:rPr>
        <w:t>.建设工程施工环保水保施工管理协议</w:t>
      </w:r>
    </w:p>
    <w:p w14:paraId="61F0611E">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b w:val="0"/>
          <w:bCs w:val="0"/>
          <w:color w:val="auto"/>
          <w:sz w:val="32"/>
          <w:szCs w:val="32"/>
          <w:highlight w:val="none"/>
          <w:lang w:bidi="ar"/>
        </w:rPr>
      </w:pPr>
      <w:r>
        <w:rPr>
          <w:rFonts w:hint="eastAsia" w:ascii="仿宋_GB2312" w:hAnsi="仿宋_GB2312" w:eastAsia="仿宋_GB2312" w:cs="仿宋_GB2312"/>
          <w:color w:val="auto"/>
          <w:sz w:val="32"/>
          <w:szCs w:val="32"/>
          <w:highlight w:val="none"/>
          <w:lang w:val="en-US" w:eastAsia="zh-CN" w:bidi="ar"/>
        </w:rPr>
        <w:t>18</w:t>
      </w:r>
      <w:r>
        <w:rPr>
          <w:rFonts w:hint="eastAsia" w:ascii="仿宋_GB2312" w:hAnsi="仿宋_GB2312" w:eastAsia="仿宋_GB2312" w:cs="仿宋_GB2312"/>
          <w:color w:val="auto"/>
          <w:sz w:val="32"/>
          <w:szCs w:val="32"/>
          <w:highlight w:val="none"/>
          <w:lang w:bidi="ar"/>
        </w:rPr>
        <w:t>.</w:t>
      </w:r>
      <w:r>
        <w:rPr>
          <w:rFonts w:hint="eastAsia" w:ascii="仿宋_GB2312" w:hAnsi="仿宋_GB2312" w:eastAsia="仿宋_GB2312" w:cs="仿宋_GB2312"/>
          <w:b w:val="0"/>
          <w:bCs w:val="0"/>
          <w:color w:val="auto"/>
          <w:sz w:val="32"/>
          <w:szCs w:val="32"/>
          <w:highlight w:val="none"/>
          <w:lang w:bidi="ar"/>
        </w:rPr>
        <w:t>预付款担保格式及履约担保格式</w:t>
      </w:r>
    </w:p>
    <w:p w14:paraId="569A1A57">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 w:hAnsi="仿宋" w:eastAsia="仿宋" w:cs="仿宋"/>
          <w:b w:val="0"/>
          <w:bCs w:val="0"/>
          <w:color w:val="auto"/>
          <w:sz w:val="32"/>
          <w:szCs w:val="32"/>
          <w:highlight w:val="none"/>
          <w:lang w:bidi="ar"/>
        </w:rPr>
      </w:pPr>
      <w:r>
        <w:rPr>
          <w:rFonts w:hint="eastAsia" w:ascii="仿宋_GB2312" w:hAnsi="仿宋_GB2312" w:eastAsia="仿宋_GB2312" w:cs="仿宋_GB2312"/>
          <w:b w:val="0"/>
          <w:bCs w:val="0"/>
          <w:color w:val="auto"/>
          <w:sz w:val="32"/>
          <w:szCs w:val="32"/>
          <w:highlight w:val="none"/>
          <w:lang w:val="en-US" w:eastAsia="zh-CN" w:bidi="ar"/>
        </w:rPr>
        <w:t>19.</w:t>
      </w:r>
      <w:r>
        <w:rPr>
          <w:rFonts w:hint="eastAsia" w:ascii="仿宋_GB2312" w:hAnsi="仿宋_GB2312" w:eastAsia="仿宋_GB2312" w:cs="仿宋_GB2312"/>
          <w:b w:val="0"/>
          <w:bCs w:val="0"/>
          <w:color w:val="auto"/>
          <w:sz w:val="32"/>
          <w:szCs w:val="32"/>
          <w:highlight w:val="none"/>
          <w:lang w:bidi="ar"/>
        </w:rPr>
        <w:t>施工承包人违约行为记分管理协议</w:t>
      </w:r>
    </w:p>
    <w:p w14:paraId="7ED60C27">
      <w:pPr>
        <w:pageBreakBefore w:val="0"/>
        <w:kinsoku/>
        <w:wordWrap/>
        <w:overflowPunct/>
        <w:topLinePunct w:val="0"/>
        <w:bidi w:val="0"/>
        <w:adjustRightInd w:val="0"/>
        <w:snapToGrid w:val="0"/>
        <w:spacing w:line="560" w:lineRule="exact"/>
        <w:jc w:val="both"/>
        <w:outlineLvl w:val="9"/>
        <w:rPr>
          <w:rFonts w:hint="eastAsia" w:ascii="仿宋" w:hAnsi="仿宋" w:eastAsia="仿宋" w:cs="仿宋"/>
          <w:color w:val="auto"/>
          <w:sz w:val="32"/>
          <w:szCs w:val="32"/>
          <w:highlight w:val="none"/>
        </w:rPr>
        <w:sectPr>
          <w:footerReference r:id="rId15" w:type="first"/>
          <w:footerReference r:id="rId14" w:type="default"/>
          <w:pgSz w:w="11906" w:h="16838"/>
          <w:pgMar w:top="2098" w:right="1474" w:bottom="1984" w:left="1587" w:header="851" w:footer="992" w:gutter="0"/>
          <w:pgNumType w:fmt="decimal" w:start="1"/>
          <w:cols w:space="720" w:num="1"/>
          <w:titlePg/>
          <w:docGrid w:type="lines" w:linePitch="312" w:charSpace="0"/>
        </w:sectPr>
      </w:pPr>
      <w:bookmarkStart w:id="2881" w:name="_Toc1008"/>
      <w:bookmarkStart w:id="2882" w:name="_Toc27579"/>
      <w:bookmarkStart w:id="2883" w:name="_Toc7995"/>
      <w:bookmarkStart w:id="2884" w:name="_Toc6323"/>
      <w:bookmarkStart w:id="2885" w:name="_Toc17985"/>
      <w:bookmarkStart w:id="2886" w:name="_Toc29654"/>
      <w:bookmarkStart w:id="2887" w:name="_Toc10309"/>
    </w:p>
    <w:p w14:paraId="34A5805F">
      <w:pPr>
        <w:snapToGrid/>
        <w:spacing w:line="240" w:lineRule="auto"/>
        <w:jc w:val="left"/>
        <w:outlineLvl w:val="2"/>
        <w:rPr>
          <w:rFonts w:hint="eastAsia" w:ascii="仿宋_GB2312" w:hAnsi="仿宋_GB2312" w:eastAsia="仿宋_GB2312" w:cs="仿宋_GB2312"/>
          <w:color w:val="auto"/>
          <w:sz w:val="32"/>
          <w:szCs w:val="32"/>
          <w:highlight w:val="none"/>
        </w:rPr>
      </w:pPr>
      <w:bookmarkStart w:id="2888" w:name="_Toc13954"/>
      <w:r>
        <w:rPr>
          <w:rFonts w:hint="eastAsia" w:ascii="黑体" w:hAnsi="黑体" w:eastAsia="黑体" w:cs="黑体"/>
          <w:color w:val="auto"/>
          <w:sz w:val="32"/>
          <w:szCs w:val="32"/>
          <w:highlight w:val="none"/>
          <w:lang w:val="en-US" w:eastAsia="zh-CN"/>
        </w:rPr>
        <w:t>附</w:t>
      </w:r>
      <w:r>
        <w:rPr>
          <w:rFonts w:hint="eastAsia" w:ascii="黑体" w:hAnsi="黑体" w:eastAsia="黑体" w:cs="黑体"/>
          <w:color w:val="auto"/>
          <w:sz w:val="32"/>
          <w:szCs w:val="32"/>
          <w:highlight w:val="none"/>
        </w:rPr>
        <w:t>件1</w:t>
      </w:r>
      <w:bookmarkEnd w:id="2881"/>
      <w:bookmarkEnd w:id="2882"/>
      <w:bookmarkEnd w:id="2883"/>
      <w:bookmarkEnd w:id="2884"/>
      <w:bookmarkEnd w:id="2885"/>
      <w:bookmarkEnd w:id="2886"/>
      <w:bookmarkEnd w:id="2887"/>
      <w:bookmarkEnd w:id="2888"/>
    </w:p>
    <w:p w14:paraId="76AA801F">
      <w:pPr>
        <w:snapToGrid w:val="0"/>
        <w:spacing w:line="360" w:lineRule="auto"/>
        <w:jc w:val="center"/>
        <w:rPr>
          <w:rFonts w:hint="eastAsia" w:ascii="方正小标宋简体" w:hAnsi="方正小标宋简体" w:eastAsia="方正小标宋简体" w:cs="方正小标宋简体"/>
          <w:b w:val="0"/>
          <w:bCs w:val="0"/>
          <w:color w:val="auto"/>
          <w:sz w:val="44"/>
          <w:szCs w:val="44"/>
          <w:highlight w:val="none"/>
        </w:rPr>
      </w:pPr>
      <w:r>
        <w:rPr>
          <w:rFonts w:hint="eastAsia" w:ascii="方正小标宋简体" w:hAnsi="方正小标宋简体" w:eastAsia="方正小标宋简体" w:cs="方正小标宋简体"/>
          <w:b w:val="0"/>
          <w:bCs w:val="0"/>
          <w:color w:val="auto"/>
          <w:sz w:val="44"/>
          <w:szCs w:val="44"/>
          <w:highlight w:val="none"/>
        </w:rPr>
        <w:t>承包人承揽工程项目一览表</w:t>
      </w:r>
    </w:p>
    <w:tbl>
      <w:tblPr>
        <w:tblStyle w:val="13"/>
        <w:tblW w:w="0" w:type="auto"/>
        <w:tblInd w:w="-39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166"/>
        <w:gridCol w:w="1683"/>
        <w:gridCol w:w="1294"/>
        <w:gridCol w:w="2201"/>
        <w:gridCol w:w="776"/>
        <w:gridCol w:w="1425"/>
        <w:gridCol w:w="1942"/>
        <w:gridCol w:w="1294"/>
        <w:gridCol w:w="777"/>
        <w:gridCol w:w="776"/>
      </w:tblGrid>
      <w:tr w14:paraId="018B4D2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638" w:hRule="atLeast"/>
        </w:trPr>
        <w:tc>
          <w:tcPr>
            <w:tcW w:w="1166" w:type="dxa"/>
            <w:tcBorders>
              <w:top w:val="single" w:color="auto" w:sz="12" w:space="0"/>
              <w:bottom w:val="double" w:color="auto" w:sz="6" w:space="0"/>
            </w:tcBorders>
            <w:noWrap w:val="0"/>
            <w:vAlign w:val="center"/>
          </w:tcPr>
          <w:p w14:paraId="429B29D2">
            <w:pPr>
              <w:pStyle w:val="5"/>
              <w:keepNext/>
              <w:snapToGrid w:val="0"/>
              <w:spacing w:after="0" w:line="360" w:lineRule="auto"/>
              <w:ind w:left="63" w:right="63"/>
              <w:rPr>
                <w:rFonts w:hint="eastAsia" w:ascii="仿宋_GB2312" w:hAnsi="仿宋_GB2312" w:eastAsia="仿宋_GB2312" w:cs="仿宋_GB2312"/>
                <w:color w:val="auto"/>
                <w:kern w:val="2"/>
                <w:sz w:val="32"/>
                <w:szCs w:val="32"/>
                <w:highlight w:val="none"/>
              </w:rPr>
            </w:pPr>
            <w:permStart w:id="96" w:edGrp="everyone"/>
            <w:r>
              <w:rPr>
                <w:rFonts w:hint="eastAsia" w:ascii="仿宋_GB2312" w:hAnsi="仿宋_GB2312" w:eastAsia="仿宋_GB2312" w:cs="仿宋_GB2312"/>
                <w:color w:val="auto"/>
                <w:kern w:val="2"/>
                <w:sz w:val="32"/>
                <w:szCs w:val="32"/>
                <w:highlight w:val="none"/>
              </w:rPr>
              <w:t>单位工程名称</w:t>
            </w:r>
          </w:p>
        </w:tc>
        <w:tc>
          <w:tcPr>
            <w:tcW w:w="1683" w:type="dxa"/>
            <w:tcBorders>
              <w:top w:val="single" w:color="auto" w:sz="12" w:space="0"/>
              <w:bottom w:val="double" w:color="auto" w:sz="6" w:space="0"/>
            </w:tcBorders>
            <w:noWrap w:val="0"/>
            <w:vAlign w:val="center"/>
          </w:tcPr>
          <w:p w14:paraId="55F5978D">
            <w:pPr>
              <w:pStyle w:val="5"/>
              <w:keepNext/>
              <w:snapToGrid w:val="0"/>
              <w:spacing w:after="0" w:line="360" w:lineRule="auto"/>
              <w:ind w:left="63" w:right="63"/>
              <w:rPr>
                <w:rFonts w:hint="eastAsia" w:ascii="仿宋_GB2312" w:hAnsi="仿宋_GB2312" w:eastAsia="仿宋_GB2312" w:cs="仿宋_GB2312"/>
                <w:color w:val="auto"/>
                <w:kern w:val="2"/>
                <w:sz w:val="32"/>
                <w:szCs w:val="32"/>
                <w:highlight w:val="none"/>
                <w:lang w:val="en-US" w:eastAsia="zh-CN"/>
              </w:rPr>
            </w:pPr>
            <w:r>
              <w:rPr>
                <w:rFonts w:hint="eastAsia" w:ascii="仿宋_GB2312" w:hAnsi="仿宋_GB2312" w:eastAsia="仿宋_GB2312" w:cs="仿宋_GB2312"/>
                <w:color w:val="auto"/>
                <w:kern w:val="2"/>
                <w:sz w:val="32"/>
                <w:szCs w:val="32"/>
                <w:highlight w:val="none"/>
              </w:rPr>
              <w:t>建设</w:t>
            </w:r>
            <w:r>
              <w:rPr>
                <w:rFonts w:hint="eastAsia" w:ascii="仿宋_GB2312" w:hAnsi="仿宋_GB2312" w:eastAsia="仿宋_GB2312" w:cs="仿宋_GB2312"/>
                <w:color w:val="auto"/>
                <w:kern w:val="2"/>
                <w:sz w:val="32"/>
                <w:szCs w:val="32"/>
                <w:highlight w:val="none"/>
                <w:lang w:val="en-US" w:eastAsia="zh-CN"/>
              </w:rPr>
              <w:t>规模</w:t>
            </w:r>
          </w:p>
        </w:tc>
        <w:tc>
          <w:tcPr>
            <w:tcW w:w="1294" w:type="dxa"/>
            <w:tcBorders>
              <w:top w:val="single" w:color="auto" w:sz="12" w:space="0"/>
              <w:bottom w:val="double" w:color="auto" w:sz="6" w:space="0"/>
            </w:tcBorders>
            <w:noWrap w:val="0"/>
            <w:vAlign w:val="center"/>
          </w:tcPr>
          <w:p w14:paraId="0017A732">
            <w:pPr>
              <w:pStyle w:val="5"/>
              <w:keepNext/>
              <w:snapToGrid w:val="0"/>
              <w:spacing w:after="0" w:line="360" w:lineRule="auto"/>
              <w:ind w:left="63" w:right="63"/>
              <w:rPr>
                <w:rFonts w:hint="eastAsia" w:ascii="仿宋_GB2312" w:hAnsi="仿宋_GB2312" w:eastAsia="仿宋_GB2312" w:cs="仿宋_GB2312"/>
                <w:color w:val="auto"/>
                <w:kern w:val="2"/>
                <w:sz w:val="32"/>
                <w:szCs w:val="32"/>
                <w:highlight w:val="none"/>
              </w:rPr>
            </w:pPr>
            <w:r>
              <w:rPr>
                <w:rFonts w:hint="eastAsia" w:ascii="仿宋_GB2312" w:hAnsi="仿宋_GB2312" w:eastAsia="仿宋_GB2312" w:cs="仿宋_GB2312"/>
                <w:color w:val="auto"/>
                <w:kern w:val="2"/>
                <w:sz w:val="32"/>
                <w:szCs w:val="32"/>
                <w:highlight w:val="none"/>
              </w:rPr>
              <w:t>建筑面积</w:t>
            </w:r>
            <w:r>
              <w:rPr>
                <w:rFonts w:hint="eastAsia" w:ascii="仿宋_GB2312" w:hAnsi="仿宋_GB2312" w:eastAsia="仿宋_GB2312" w:cs="仿宋_GB2312"/>
                <w:color w:val="auto"/>
                <w:kern w:val="2"/>
                <w:sz w:val="32"/>
                <w:szCs w:val="32"/>
                <w:highlight w:val="none"/>
                <w:lang w:eastAsia="zh-CN"/>
              </w:rPr>
              <w:t>（</w:t>
            </w:r>
            <w:r>
              <w:rPr>
                <w:rFonts w:hint="eastAsia" w:ascii="仿宋_GB2312" w:hAnsi="仿宋_GB2312" w:eastAsia="仿宋_GB2312" w:cs="仿宋_GB2312"/>
                <w:color w:val="auto"/>
                <w:kern w:val="2"/>
                <w:sz w:val="32"/>
                <w:szCs w:val="32"/>
                <w:highlight w:val="none"/>
              </w:rPr>
              <w:t>平方米</w:t>
            </w:r>
            <w:r>
              <w:rPr>
                <w:rFonts w:hint="eastAsia" w:ascii="仿宋_GB2312" w:hAnsi="仿宋_GB2312" w:eastAsia="仿宋_GB2312" w:cs="仿宋_GB2312"/>
                <w:color w:val="auto"/>
                <w:kern w:val="2"/>
                <w:sz w:val="32"/>
                <w:szCs w:val="32"/>
                <w:highlight w:val="none"/>
                <w:lang w:eastAsia="zh-CN"/>
              </w:rPr>
              <w:t>）</w:t>
            </w:r>
          </w:p>
        </w:tc>
        <w:tc>
          <w:tcPr>
            <w:tcW w:w="2201" w:type="dxa"/>
            <w:tcBorders>
              <w:top w:val="single" w:color="auto" w:sz="12" w:space="0"/>
              <w:bottom w:val="double" w:color="auto" w:sz="6" w:space="0"/>
            </w:tcBorders>
            <w:noWrap w:val="0"/>
            <w:vAlign w:val="center"/>
          </w:tcPr>
          <w:p w14:paraId="1A27C249">
            <w:pPr>
              <w:pStyle w:val="5"/>
              <w:keepNext/>
              <w:snapToGrid w:val="0"/>
              <w:spacing w:after="0" w:line="360" w:lineRule="auto"/>
              <w:ind w:left="63" w:right="63"/>
              <w:rPr>
                <w:rFonts w:hint="eastAsia" w:ascii="仿宋_GB2312" w:hAnsi="仿宋_GB2312" w:eastAsia="仿宋_GB2312" w:cs="仿宋_GB2312"/>
                <w:color w:val="auto"/>
                <w:kern w:val="2"/>
                <w:sz w:val="32"/>
                <w:szCs w:val="32"/>
                <w:highlight w:val="none"/>
              </w:rPr>
            </w:pPr>
            <w:r>
              <w:rPr>
                <w:rFonts w:hint="eastAsia" w:ascii="仿宋_GB2312" w:hAnsi="仿宋_GB2312" w:eastAsia="仿宋_GB2312" w:cs="仿宋_GB2312"/>
                <w:color w:val="auto"/>
                <w:kern w:val="2"/>
                <w:sz w:val="32"/>
                <w:szCs w:val="32"/>
                <w:highlight w:val="none"/>
              </w:rPr>
              <w:t>结构形式</w:t>
            </w:r>
          </w:p>
        </w:tc>
        <w:tc>
          <w:tcPr>
            <w:tcW w:w="776" w:type="dxa"/>
            <w:tcBorders>
              <w:top w:val="single" w:color="auto" w:sz="12" w:space="0"/>
              <w:bottom w:val="double" w:color="auto" w:sz="6" w:space="0"/>
            </w:tcBorders>
            <w:noWrap w:val="0"/>
            <w:vAlign w:val="center"/>
          </w:tcPr>
          <w:p w14:paraId="1118F33F">
            <w:pPr>
              <w:pStyle w:val="5"/>
              <w:keepNext/>
              <w:snapToGrid w:val="0"/>
              <w:spacing w:after="0" w:line="360" w:lineRule="auto"/>
              <w:ind w:left="63" w:right="63"/>
              <w:rPr>
                <w:rFonts w:hint="eastAsia" w:ascii="仿宋_GB2312" w:hAnsi="仿宋_GB2312" w:eastAsia="仿宋_GB2312" w:cs="仿宋_GB2312"/>
                <w:color w:val="auto"/>
                <w:kern w:val="2"/>
                <w:sz w:val="32"/>
                <w:szCs w:val="32"/>
                <w:highlight w:val="none"/>
              </w:rPr>
            </w:pPr>
            <w:r>
              <w:rPr>
                <w:rFonts w:hint="eastAsia" w:ascii="仿宋_GB2312" w:hAnsi="仿宋_GB2312" w:eastAsia="仿宋_GB2312" w:cs="仿宋_GB2312"/>
                <w:color w:val="auto"/>
                <w:kern w:val="2"/>
                <w:sz w:val="32"/>
                <w:szCs w:val="32"/>
                <w:highlight w:val="none"/>
              </w:rPr>
              <w:t>层数</w:t>
            </w:r>
          </w:p>
        </w:tc>
        <w:tc>
          <w:tcPr>
            <w:tcW w:w="1425" w:type="dxa"/>
            <w:tcBorders>
              <w:top w:val="single" w:color="auto" w:sz="12" w:space="0"/>
              <w:bottom w:val="double" w:color="auto" w:sz="6" w:space="0"/>
            </w:tcBorders>
            <w:noWrap w:val="0"/>
            <w:vAlign w:val="center"/>
          </w:tcPr>
          <w:p w14:paraId="271A08A4">
            <w:pPr>
              <w:pStyle w:val="5"/>
              <w:keepNext/>
              <w:snapToGrid w:val="0"/>
              <w:spacing w:after="0" w:line="360" w:lineRule="auto"/>
              <w:ind w:left="63" w:right="63"/>
              <w:rPr>
                <w:rFonts w:hint="eastAsia" w:ascii="仿宋_GB2312" w:hAnsi="仿宋_GB2312" w:eastAsia="仿宋_GB2312" w:cs="仿宋_GB2312"/>
                <w:color w:val="auto"/>
                <w:kern w:val="2"/>
                <w:sz w:val="32"/>
                <w:szCs w:val="32"/>
                <w:highlight w:val="none"/>
              </w:rPr>
            </w:pPr>
            <w:r>
              <w:rPr>
                <w:rFonts w:hint="eastAsia" w:ascii="仿宋_GB2312" w:hAnsi="仿宋_GB2312" w:eastAsia="仿宋_GB2312" w:cs="仿宋_GB2312"/>
                <w:color w:val="auto"/>
                <w:kern w:val="2"/>
                <w:sz w:val="32"/>
                <w:szCs w:val="32"/>
                <w:highlight w:val="none"/>
              </w:rPr>
              <w:t>生产能力</w:t>
            </w:r>
          </w:p>
        </w:tc>
        <w:tc>
          <w:tcPr>
            <w:tcW w:w="1942" w:type="dxa"/>
            <w:tcBorders>
              <w:top w:val="single" w:color="auto" w:sz="12" w:space="0"/>
              <w:bottom w:val="double" w:color="auto" w:sz="6" w:space="0"/>
            </w:tcBorders>
            <w:noWrap w:val="0"/>
            <w:vAlign w:val="center"/>
          </w:tcPr>
          <w:p w14:paraId="2DB1DE59">
            <w:pPr>
              <w:pStyle w:val="5"/>
              <w:keepNext/>
              <w:snapToGrid w:val="0"/>
              <w:spacing w:after="0" w:line="360" w:lineRule="auto"/>
              <w:ind w:left="63" w:right="63"/>
              <w:rPr>
                <w:rFonts w:hint="eastAsia" w:ascii="仿宋_GB2312" w:hAnsi="仿宋_GB2312" w:eastAsia="仿宋_GB2312" w:cs="仿宋_GB2312"/>
                <w:color w:val="auto"/>
                <w:kern w:val="2"/>
                <w:sz w:val="32"/>
                <w:szCs w:val="32"/>
                <w:highlight w:val="none"/>
              </w:rPr>
            </w:pPr>
            <w:r>
              <w:rPr>
                <w:rFonts w:hint="eastAsia" w:ascii="仿宋_GB2312" w:hAnsi="仿宋_GB2312" w:eastAsia="仿宋_GB2312" w:cs="仿宋_GB2312"/>
                <w:color w:val="auto"/>
                <w:kern w:val="2"/>
                <w:sz w:val="32"/>
                <w:szCs w:val="32"/>
                <w:highlight w:val="none"/>
              </w:rPr>
              <w:t>设备安装内容</w:t>
            </w:r>
          </w:p>
        </w:tc>
        <w:tc>
          <w:tcPr>
            <w:tcW w:w="1294" w:type="dxa"/>
            <w:tcBorders>
              <w:top w:val="single" w:color="auto" w:sz="12" w:space="0"/>
              <w:bottom w:val="double" w:color="auto" w:sz="6" w:space="0"/>
            </w:tcBorders>
            <w:noWrap w:val="0"/>
            <w:vAlign w:val="center"/>
          </w:tcPr>
          <w:p w14:paraId="3AF15C8D">
            <w:pPr>
              <w:pStyle w:val="5"/>
              <w:keepNext/>
              <w:snapToGrid w:val="0"/>
              <w:spacing w:after="0" w:line="360" w:lineRule="auto"/>
              <w:ind w:left="63" w:right="63"/>
              <w:rPr>
                <w:rFonts w:hint="eastAsia" w:ascii="仿宋_GB2312" w:hAnsi="仿宋_GB2312" w:eastAsia="仿宋_GB2312" w:cs="仿宋_GB2312"/>
                <w:color w:val="auto"/>
                <w:kern w:val="2"/>
                <w:sz w:val="32"/>
                <w:szCs w:val="32"/>
                <w:highlight w:val="none"/>
              </w:rPr>
            </w:pPr>
            <w:r>
              <w:rPr>
                <w:rFonts w:hint="eastAsia" w:ascii="仿宋_GB2312" w:hAnsi="仿宋_GB2312" w:eastAsia="仿宋_GB2312" w:cs="仿宋_GB2312"/>
                <w:color w:val="auto"/>
                <w:kern w:val="2"/>
                <w:sz w:val="32"/>
                <w:szCs w:val="32"/>
                <w:highlight w:val="none"/>
              </w:rPr>
              <w:t>合同价格（元）</w:t>
            </w:r>
          </w:p>
        </w:tc>
        <w:tc>
          <w:tcPr>
            <w:tcW w:w="777" w:type="dxa"/>
            <w:tcBorders>
              <w:top w:val="single" w:color="auto" w:sz="12" w:space="0"/>
              <w:bottom w:val="double" w:color="auto" w:sz="6" w:space="0"/>
            </w:tcBorders>
            <w:noWrap w:val="0"/>
            <w:vAlign w:val="center"/>
          </w:tcPr>
          <w:p w14:paraId="07D962A7">
            <w:pPr>
              <w:pStyle w:val="5"/>
              <w:keepNext/>
              <w:snapToGrid w:val="0"/>
              <w:spacing w:after="0" w:line="360" w:lineRule="auto"/>
              <w:ind w:left="63" w:right="63"/>
              <w:rPr>
                <w:rFonts w:hint="eastAsia" w:ascii="仿宋_GB2312" w:hAnsi="仿宋_GB2312" w:eastAsia="仿宋_GB2312" w:cs="仿宋_GB2312"/>
                <w:color w:val="auto"/>
                <w:kern w:val="2"/>
                <w:sz w:val="32"/>
                <w:szCs w:val="32"/>
                <w:highlight w:val="none"/>
              </w:rPr>
            </w:pPr>
            <w:r>
              <w:rPr>
                <w:rFonts w:hint="eastAsia" w:ascii="仿宋_GB2312" w:hAnsi="仿宋_GB2312" w:eastAsia="仿宋_GB2312" w:cs="仿宋_GB2312"/>
                <w:color w:val="auto"/>
                <w:kern w:val="2"/>
                <w:sz w:val="32"/>
                <w:szCs w:val="32"/>
                <w:highlight w:val="none"/>
              </w:rPr>
              <w:t>开工日期</w:t>
            </w:r>
          </w:p>
        </w:tc>
        <w:tc>
          <w:tcPr>
            <w:tcW w:w="776" w:type="dxa"/>
            <w:tcBorders>
              <w:top w:val="single" w:color="auto" w:sz="12" w:space="0"/>
              <w:bottom w:val="double" w:color="auto" w:sz="6" w:space="0"/>
            </w:tcBorders>
            <w:noWrap w:val="0"/>
            <w:vAlign w:val="center"/>
          </w:tcPr>
          <w:p w14:paraId="5968AD21">
            <w:pPr>
              <w:pStyle w:val="5"/>
              <w:keepNext/>
              <w:snapToGrid w:val="0"/>
              <w:spacing w:after="0" w:line="360" w:lineRule="auto"/>
              <w:ind w:left="63" w:right="63"/>
              <w:rPr>
                <w:rFonts w:hint="eastAsia" w:ascii="仿宋_GB2312" w:hAnsi="仿宋_GB2312" w:eastAsia="仿宋_GB2312" w:cs="仿宋_GB2312"/>
                <w:color w:val="auto"/>
                <w:kern w:val="2"/>
                <w:sz w:val="32"/>
                <w:szCs w:val="32"/>
                <w:highlight w:val="none"/>
              </w:rPr>
            </w:pPr>
            <w:r>
              <w:rPr>
                <w:rFonts w:hint="eastAsia" w:ascii="仿宋_GB2312" w:hAnsi="仿宋_GB2312" w:eastAsia="仿宋_GB2312" w:cs="仿宋_GB2312"/>
                <w:color w:val="auto"/>
                <w:kern w:val="2"/>
                <w:sz w:val="32"/>
                <w:szCs w:val="32"/>
                <w:highlight w:val="none"/>
              </w:rPr>
              <w:t>竣工日期</w:t>
            </w:r>
          </w:p>
        </w:tc>
      </w:tr>
      <w:tr w14:paraId="435E844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3" w:hRule="atLeast"/>
        </w:trPr>
        <w:tc>
          <w:tcPr>
            <w:tcW w:w="1166" w:type="dxa"/>
            <w:tcBorders>
              <w:top w:val="double" w:color="auto" w:sz="6" w:space="0"/>
              <w:bottom w:val="single" w:color="auto" w:sz="6" w:space="0"/>
            </w:tcBorders>
            <w:noWrap w:val="0"/>
            <w:vAlign w:val="center"/>
          </w:tcPr>
          <w:p w14:paraId="610EFDF8">
            <w:pPr>
              <w:pStyle w:val="5"/>
              <w:keepNext/>
              <w:snapToGrid w:val="0"/>
              <w:spacing w:after="0" w:line="360" w:lineRule="auto"/>
              <w:ind w:left="63" w:right="63"/>
              <w:rPr>
                <w:rFonts w:hint="eastAsia" w:ascii="仿宋_GB2312" w:hAnsi="仿宋_GB2312" w:eastAsia="仿宋_GB2312" w:cs="仿宋_GB2312"/>
                <w:color w:val="auto"/>
                <w:kern w:val="2"/>
                <w:sz w:val="32"/>
                <w:szCs w:val="32"/>
                <w:highlight w:val="none"/>
              </w:rPr>
            </w:pPr>
          </w:p>
        </w:tc>
        <w:tc>
          <w:tcPr>
            <w:tcW w:w="1683" w:type="dxa"/>
            <w:tcBorders>
              <w:top w:val="double" w:color="auto" w:sz="6" w:space="0"/>
              <w:bottom w:val="single" w:color="auto" w:sz="6" w:space="0"/>
            </w:tcBorders>
            <w:noWrap w:val="0"/>
            <w:vAlign w:val="center"/>
          </w:tcPr>
          <w:p w14:paraId="45A99A92">
            <w:pPr>
              <w:pStyle w:val="5"/>
              <w:keepNext/>
              <w:snapToGrid w:val="0"/>
              <w:spacing w:after="0" w:line="360" w:lineRule="auto"/>
              <w:ind w:left="63" w:right="63"/>
              <w:rPr>
                <w:rFonts w:hint="eastAsia" w:ascii="仿宋_GB2312" w:hAnsi="仿宋_GB2312" w:eastAsia="仿宋_GB2312" w:cs="仿宋_GB2312"/>
                <w:color w:val="auto"/>
                <w:kern w:val="2"/>
                <w:sz w:val="32"/>
                <w:szCs w:val="32"/>
                <w:highlight w:val="none"/>
              </w:rPr>
            </w:pPr>
          </w:p>
        </w:tc>
        <w:tc>
          <w:tcPr>
            <w:tcW w:w="1294" w:type="dxa"/>
            <w:tcBorders>
              <w:top w:val="double" w:color="auto" w:sz="6" w:space="0"/>
              <w:bottom w:val="single" w:color="auto" w:sz="6" w:space="0"/>
            </w:tcBorders>
            <w:noWrap w:val="0"/>
            <w:vAlign w:val="center"/>
          </w:tcPr>
          <w:p w14:paraId="216BC4AB">
            <w:pPr>
              <w:pStyle w:val="5"/>
              <w:keepNext/>
              <w:snapToGrid w:val="0"/>
              <w:spacing w:after="0" w:line="360" w:lineRule="auto"/>
              <w:ind w:left="63" w:right="63"/>
              <w:rPr>
                <w:rFonts w:hint="eastAsia" w:ascii="仿宋_GB2312" w:hAnsi="仿宋_GB2312" w:eastAsia="仿宋_GB2312" w:cs="仿宋_GB2312"/>
                <w:color w:val="auto"/>
                <w:kern w:val="2"/>
                <w:sz w:val="32"/>
                <w:szCs w:val="32"/>
                <w:highlight w:val="none"/>
              </w:rPr>
            </w:pPr>
          </w:p>
        </w:tc>
        <w:tc>
          <w:tcPr>
            <w:tcW w:w="2201" w:type="dxa"/>
            <w:tcBorders>
              <w:top w:val="double" w:color="auto" w:sz="6" w:space="0"/>
              <w:bottom w:val="single" w:color="auto" w:sz="6" w:space="0"/>
            </w:tcBorders>
            <w:noWrap w:val="0"/>
            <w:vAlign w:val="center"/>
          </w:tcPr>
          <w:p w14:paraId="39FD237F">
            <w:pPr>
              <w:pStyle w:val="5"/>
              <w:keepNext/>
              <w:snapToGrid w:val="0"/>
              <w:spacing w:after="0" w:line="360" w:lineRule="auto"/>
              <w:ind w:left="63" w:right="63"/>
              <w:rPr>
                <w:rFonts w:hint="eastAsia" w:ascii="仿宋_GB2312" w:hAnsi="仿宋_GB2312" w:eastAsia="仿宋_GB2312" w:cs="仿宋_GB2312"/>
                <w:color w:val="auto"/>
                <w:kern w:val="2"/>
                <w:sz w:val="32"/>
                <w:szCs w:val="32"/>
                <w:highlight w:val="none"/>
              </w:rPr>
            </w:pPr>
          </w:p>
        </w:tc>
        <w:tc>
          <w:tcPr>
            <w:tcW w:w="776" w:type="dxa"/>
            <w:tcBorders>
              <w:top w:val="double" w:color="auto" w:sz="6" w:space="0"/>
              <w:bottom w:val="single" w:color="auto" w:sz="6" w:space="0"/>
            </w:tcBorders>
            <w:noWrap w:val="0"/>
            <w:vAlign w:val="center"/>
          </w:tcPr>
          <w:p w14:paraId="0E2A3E94">
            <w:pPr>
              <w:pStyle w:val="5"/>
              <w:keepNext/>
              <w:snapToGrid w:val="0"/>
              <w:spacing w:after="0" w:line="360" w:lineRule="auto"/>
              <w:ind w:left="63" w:right="63"/>
              <w:rPr>
                <w:rFonts w:hint="eastAsia" w:ascii="仿宋_GB2312" w:hAnsi="仿宋_GB2312" w:eastAsia="仿宋_GB2312" w:cs="仿宋_GB2312"/>
                <w:color w:val="auto"/>
                <w:kern w:val="2"/>
                <w:sz w:val="32"/>
                <w:szCs w:val="32"/>
                <w:highlight w:val="none"/>
              </w:rPr>
            </w:pPr>
          </w:p>
        </w:tc>
        <w:tc>
          <w:tcPr>
            <w:tcW w:w="1425" w:type="dxa"/>
            <w:tcBorders>
              <w:top w:val="double" w:color="auto" w:sz="6" w:space="0"/>
              <w:bottom w:val="single" w:color="auto" w:sz="6" w:space="0"/>
            </w:tcBorders>
            <w:noWrap w:val="0"/>
            <w:vAlign w:val="center"/>
          </w:tcPr>
          <w:p w14:paraId="6B5FD7AF">
            <w:pPr>
              <w:pStyle w:val="5"/>
              <w:keepNext/>
              <w:snapToGrid w:val="0"/>
              <w:spacing w:after="0" w:line="360" w:lineRule="auto"/>
              <w:ind w:left="63" w:right="63"/>
              <w:rPr>
                <w:rFonts w:hint="eastAsia" w:ascii="仿宋_GB2312" w:hAnsi="仿宋_GB2312" w:eastAsia="仿宋_GB2312" w:cs="仿宋_GB2312"/>
                <w:color w:val="auto"/>
                <w:kern w:val="2"/>
                <w:sz w:val="32"/>
                <w:szCs w:val="32"/>
                <w:highlight w:val="none"/>
              </w:rPr>
            </w:pPr>
          </w:p>
        </w:tc>
        <w:tc>
          <w:tcPr>
            <w:tcW w:w="1942" w:type="dxa"/>
            <w:tcBorders>
              <w:top w:val="double" w:color="auto" w:sz="6" w:space="0"/>
              <w:bottom w:val="single" w:color="auto" w:sz="6" w:space="0"/>
            </w:tcBorders>
            <w:noWrap w:val="0"/>
            <w:vAlign w:val="center"/>
          </w:tcPr>
          <w:p w14:paraId="47549A3F">
            <w:pPr>
              <w:pStyle w:val="5"/>
              <w:keepNext/>
              <w:snapToGrid w:val="0"/>
              <w:spacing w:after="0" w:line="360" w:lineRule="auto"/>
              <w:ind w:left="63" w:right="63"/>
              <w:rPr>
                <w:rFonts w:hint="eastAsia" w:ascii="仿宋_GB2312" w:hAnsi="仿宋_GB2312" w:eastAsia="仿宋_GB2312" w:cs="仿宋_GB2312"/>
                <w:color w:val="auto"/>
                <w:kern w:val="2"/>
                <w:sz w:val="32"/>
                <w:szCs w:val="32"/>
                <w:highlight w:val="none"/>
              </w:rPr>
            </w:pPr>
          </w:p>
        </w:tc>
        <w:tc>
          <w:tcPr>
            <w:tcW w:w="1294" w:type="dxa"/>
            <w:tcBorders>
              <w:top w:val="double" w:color="auto" w:sz="6" w:space="0"/>
              <w:bottom w:val="single" w:color="auto" w:sz="6" w:space="0"/>
            </w:tcBorders>
            <w:noWrap w:val="0"/>
            <w:vAlign w:val="center"/>
          </w:tcPr>
          <w:p w14:paraId="1C846761">
            <w:pPr>
              <w:pStyle w:val="5"/>
              <w:keepNext/>
              <w:snapToGrid w:val="0"/>
              <w:spacing w:after="0" w:line="360" w:lineRule="auto"/>
              <w:ind w:left="63" w:right="63"/>
              <w:rPr>
                <w:rFonts w:hint="eastAsia" w:ascii="仿宋_GB2312" w:hAnsi="仿宋_GB2312" w:eastAsia="仿宋_GB2312" w:cs="仿宋_GB2312"/>
                <w:color w:val="auto"/>
                <w:kern w:val="2"/>
                <w:sz w:val="32"/>
                <w:szCs w:val="32"/>
                <w:highlight w:val="none"/>
              </w:rPr>
            </w:pPr>
          </w:p>
        </w:tc>
        <w:tc>
          <w:tcPr>
            <w:tcW w:w="777" w:type="dxa"/>
            <w:tcBorders>
              <w:top w:val="double" w:color="auto" w:sz="6" w:space="0"/>
              <w:bottom w:val="single" w:color="auto" w:sz="6" w:space="0"/>
            </w:tcBorders>
            <w:noWrap w:val="0"/>
            <w:vAlign w:val="center"/>
          </w:tcPr>
          <w:p w14:paraId="48E94AB2">
            <w:pPr>
              <w:pStyle w:val="5"/>
              <w:keepNext/>
              <w:snapToGrid w:val="0"/>
              <w:spacing w:after="0" w:line="360" w:lineRule="auto"/>
              <w:ind w:left="63" w:right="63"/>
              <w:rPr>
                <w:rFonts w:hint="eastAsia" w:ascii="仿宋_GB2312" w:hAnsi="仿宋_GB2312" w:eastAsia="仿宋_GB2312" w:cs="仿宋_GB2312"/>
                <w:color w:val="auto"/>
                <w:kern w:val="2"/>
                <w:sz w:val="32"/>
                <w:szCs w:val="32"/>
                <w:highlight w:val="none"/>
              </w:rPr>
            </w:pPr>
          </w:p>
        </w:tc>
        <w:tc>
          <w:tcPr>
            <w:tcW w:w="776" w:type="dxa"/>
            <w:tcBorders>
              <w:top w:val="double" w:color="auto" w:sz="6" w:space="0"/>
              <w:bottom w:val="single" w:color="auto" w:sz="6" w:space="0"/>
            </w:tcBorders>
            <w:noWrap w:val="0"/>
            <w:vAlign w:val="center"/>
          </w:tcPr>
          <w:p w14:paraId="5F3743C0">
            <w:pPr>
              <w:pStyle w:val="5"/>
              <w:keepNext/>
              <w:snapToGrid w:val="0"/>
              <w:spacing w:after="0" w:line="360" w:lineRule="auto"/>
              <w:ind w:left="63" w:right="63"/>
              <w:rPr>
                <w:rFonts w:hint="eastAsia" w:ascii="仿宋_GB2312" w:hAnsi="仿宋_GB2312" w:eastAsia="仿宋_GB2312" w:cs="仿宋_GB2312"/>
                <w:color w:val="auto"/>
                <w:kern w:val="2"/>
                <w:sz w:val="32"/>
                <w:szCs w:val="32"/>
                <w:highlight w:val="none"/>
              </w:rPr>
            </w:pPr>
          </w:p>
        </w:tc>
      </w:tr>
      <w:tr w14:paraId="33E1DA4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73" w:hRule="atLeast"/>
        </w:trPr>
        <w:tc>
          <w:tcPr>
            <w:tcW w:w="1166" w:type="dxa"/>
            <w:tcBorders>
              <w:top w:val="nil"/>
            </w:tcBorders>
            <w:noWrap w:val="0"/>
            <w:vAlign w:val="center"/>
          </w:tcPr>
          <w:p w14:paraId="12AA6916">
            <w:pPr>
              <w:pStyle w:val="5"/>
              <w:keepNext/>
              <w:snapToGrid w:val="0"/>
              <w:spacing w:after="0" w:line="360" w:lineRule="auto"/>
              <w:ind w:left="63" w:right="63"/>
              <w:rPr>
                <w:rFonts w:hint="eastAsia" w:ascii="仿宋_GB2312" w:hAnsi="仿宋_GB2312" w:eastAsia="仿宋_GB2312" w:cs="仿宋_GB2312"/>
                <w:color w:val="auto"/>
                <w:kern w:val="2"/>
                <w:sz w:val="32"/>
                <w:szCs w:val="32"/>
                <w:highlight w:val="none"/>
              </w:rPr>
            </w:pPr>
          </w:p>
        </w:tc>
        <w:tc>
          <w:tcPr>
            <w:tcW w:w="1683" w:type="dxa"/>
            <w:tcBorders>
              <w:top w:val="nil"/>
            </w:tcBorders>
            <w:noWrap w:val="0"/>
            <w:vAlign w:val="center"/>
          </w:tcPr>
          <w:p w14:paraId="66E29D44">
            <w:pPr>
              <w:pStyle w:val="5"/>
              <w:keepNext/>
              <w:snapToGrid w:val="0"/>
              <w:spacing w:after="0" w:line="360" w:lineRule="auto"/>
              <w:ind w:left="63" w:right="63"/>
              <w:rPr>
                <w:rFonts w:hint="eastAsia" w:ascii="仿宋_GB2312" w:hAnsi="仿宋_GB2312" w:eastAsia="仿宋_GB2312" w:cs="仿宋_GB2312"/>
                <w:color w:val="auto"/>
                <w:kern w:val="2"/>
                <w:sz w:val="32"/>
                <w:szCs w:val="32"/>
                <w:highlight w:val="none"/>
              </w:rPr>
            </w:pPr>
          </w:p>
        </w:tc>
        <w:tc>
          <w:tcPr>
            <w:tcW w:w="1294" w:type="dxa"/>
            <w:tcBorders>
              <w:top w:val="nil"/>
            </w:tcBorders>
            <w:noWrap w:val="0"/>
            <w:vAlign w:val="center"/>
          </w:tcPr>
          <w:p w14:paraId="16804D06">
            <w:pPr>
              <w:pStyle w:val="5"/>
              <w:keepNext/>
              <w:snapToGrid w:val="0"/>
              <w:spacing w:after="0" w:line="360" w:lineRule="auto"/>
              <w:ind w:left="63" w:right="63"/>
              <w:rPr>
                <w:rFonts w:hint="eastAsia" w:ascii="仿宋_GB2312" w:hAnsi="仿宋_GB2312" w:eastAsia="仿宋_GB2312" w:cs="仿宋_GB2312"/>
                <w:color w:val="auto"/>
                <w:kern w:val="2"/>
                <w:sz w:val="32"/>
                <w:szCs w:val="32"/>
                <w:highlight w:val="none"/>
              </w:rPr>
            </w:pPr>
          </w:p>
        </w:tc>
        <w:tc>
          <w:tcPr>
            <w:tcW w:w="2201" w:type="dxa"/>
            <w:tcBorders>
              <w:top w:val="nil"/>
            </w:tcBorders>
            <w:noWrap w:val="0"/>
            <w:vAlign w:val="center"/>
          </w:tcPr>
          <w:p w14:paraId="6642F83F">
            <w:pPr>
              <w:pStyle w:val="5"/>
              <w:keepNext/>
              <w:snapToGrid w:val="0"/>
              <w:spacing w:after="0" w:line="360" w:lineRule="auto"/>
              <w:ind w:left="63" w:right="63"/>
              <w:rPr>
                <w:rFonts w:hint="eastAsia" w:ascii="仿宋_GB2312" w:hAnsi="仿宋_GB2312" w:eastAsia="仿宋_GB2312" w:cs="仿宋_GB2312"/>
                <w:color w:val="auto"/>
                <w:kern w:val="2"/>
                <w:sz w:val="32"/>
                <w:szCs w:val="32"/>
                <w:highlight w:val="none"/>
              </w:rPr>
            </w:pPr>
          </w:p>
        </w:tc>
        <w:tc>
          <w:tcPr>
            <w:tcW w:w="776" w:type="dxa"/>
            <w:tcBorders>
              <w:top w:val="nil"/>
            </w:tcBorders>
            <w:noWrap w:val="0"/>
            <w:vAlign w:val="center"/>
          </w:tcPr>
          <w:p w14:paraId="251C2277">
            <w:pPr>
              <w:pStyle w:val="5"/>
              <w:keepNext/>
              <w:snapToGrid w:val="0"/>
              <w:spacing w:after="0" w:line="360" w:lineRule="auto"/>
              <w:ind w:left="63" w:right="63"/>
              <w:rPr>
                <w:rFonts w:hint="eastAsia" w:ascii="仿宋_GB2312" w:hAnsi="仿宋_GB2312" w:eastAsia="仿宋_GB2312" w:cs="仿宋_GB2312"/>
                <w:color w:val="auto"/>
                <w:kern w:val="2"/>
                <w:sz w:val="32"/>
                <w:szCs w:val="32"/>
                <w:highlight w:val="none"/>
              </w:rPr>
            </w:pPr>
          </w:p>
        </w:tc>
        <w:tc>
          <w:tcPr>
            <w:tcW w:w="1425" w:type="dxa"/>
            <w:tcBorders>
              <w:top w:val="nil"/>
            </w:tcBorders>
            <w:noWrap w:val="0"/>
            <w:vAlign w:val="center"/>
          </w:tcPr>
          <w:p w14:paraId="0C633888">
            <w:pPr>
              <w:pStyle w:val="5"/>
              <w:keepNext/>
              <w:snapToGrid w:val="0"/>
              <w:spacing w:after="0" w:line="360" w:lineRule="auto"/>
              <w:ind w:left="63" w:right="63"/>
              <w:rPr>
                <w:rFonts w:hint="eastAsia" w:ascii="仿宋_GB2312" w:hAnsi="仿宋_GB2312" w:eastAsia="仿宋_GB2312" w:cs="仿宋_GB2312"/>
                <w:color w:val="auto"/>
                <w:kern w:val="2"/>
                <w:sz w:val="32"/>
                <w:szCs w:val="32"/>
                <w:highlight w:val="none"/>
              </w:rPr>
            </w:pPr>
          </w:p>
        </w:tc>
        <w:tc>
          <w:tcPr>
            <w:tcW w:w="1942" w:type="dxa"/>
            <w:tcBorders>
              <w:top w:val="nil"/>
            </w:tcBorders>
            <w:noWrap w:val="0"/>
            <w:vAlign w:val="center"/>
          </w:tcPr>
          <w:p w14:paraId="60745371">
            <w:pPr>
              <w:pStyle w:val="5"/>
              <w:keepNext/>
              <w:snapToGrid w:val="0"/>
              <w:spacing w:after="0" w:line="360" w:lineRule="auto"/>
              <w:ind w:left="63" w:right="63"/>
              <w:rPr>
                <w:rFonts w:hint="eastAsia" w:ascii="仿宋_GB2312" w:hAnsi="仿宋_GB2312" w:eastAsia="仿宋_GB2312" w:cs="仿宋_GB2312"/>
                <w:color w:val="auto"/>
                <w:kern w:val="2"/>
                <w:sz w:val="32"/>
                <w:szCs w:val="32"/>
                <w:highlight w:val="none"/>
              </w:rPr>
            </w:pPr>
          </w:p>
        </w:tc>
        <w:tc>
          <w:tcPr>
            <w:tcW w:w="1294" w:type="dxa"/>
            <w:tcBorders>
              <w:top w:val="nil"/>
            </w:tcBorders>
            <w:noWrap w:val="0"/>
            <w:vAlign w:val="center"/>
          </w:tcPr>
          <w:p w14:paraId="4E845CB5">
            <w:pPr>
              <w:pStyle w:val="5"/>
              <w:keepNext/>
              <w:snapToGrid w:val="0"/>
              <w:spacing w:after="0" w:line="360" w:lineRule="auto"/>
              <w:ind w:left="63" w:right="63"/>
              <w:rPr>
                <w:rFonts w:hint="eastAsia" w:ascii="仿宋_GB2312" w:hAnsi="仿宋_GB2312" w:eastAsia="仿宋_GB2312" w:cs="仿宋_GB2312"/>
                <w:color w:val="auto"/>
                <w:kern w:val="2"/>
                <w:sz w:val="32"/>
                <w:szCs w:val="32"/>
                <w:highlight w:val="none"/>
              </w:rPr>
            </w:pPr>
          </w:p>
        </w:tc>
        <w:tc>
          <w:tcPr>
            <w:tcW w:w="777" w:type="dxa"/>
            <w:tcBorders>
              <w:top w:val="nil"/>
            </w:tcBorders>
            <w:noWrap w:val="0"/>
            <w:vAlign w:val="center"/>
          </w:tcPr>
          <w:p w14:paraId="26769C03">
            <w:pPr>
              <w:pStyle w:val="5"/>
              <w:keepNext/>
              <w:snapToGrid w:val="0"/>
              <w:spacing w:after="0" w:line="360" w:lineRule="auto"/>
              <w:ind w:left="63" w:right="63"/>
              <w:rPr>
                <w:rFonts w:hint="eastAsia" w:ascii="仿宋_GB2312" w:hAnsi="仿宋_GB2312" w:eastAsia="仿宋_GB2312" w:cs="仿宋_GB2312"/>
                <w:color w:val="auto"/>
                <w:kern w:val="2"/>
                <w:sz w:val="32"/>
                <w:szCs w:val="32"/>
                <w:highlight w:val="none"/>
              </w:rPr>
            </w:pPr>
          </w:p>
        </w:tc>
        <w:tc>
          <w:tcPr>
            <w:tcW w:w="776" w:type="dxa"/>
            <w:tcBorders>
              <w:top w:val="nil"/>
            </w:tcBorders>
            <w:noWrap w:val="0"/>
            <w:vAlign w:val="center"/>
          </w:tcPr>
          <w:p w14:paraId="15A11587">
            <w:pPr>
              <w:pStyle w:val="5"/>
              <w:keepNext/>
              <w:snapToGrid w:val="0"/>
              <w:spacing w:after="0" w:line="360" w:lineRule="auto"/>
              <w:ind w:left="63" w:right="63"/>
              <w:rPr>
                <w:rFonts w:hint="eastAsia" w:ascii="仿宋_GB2312" w:hAnsi="仿宋_GB2312" w:eastAsia="仿宋_GB2312" w:cs="仿宋_GB2312"/>
                <w:color w:val="auto"/>
                <w:kern w:val="2"/>
                <w:sz w:val="32"/>
                <w:szCs w:val="32"/>
                <w:highlight w:val="none"/>
              </w:rPr>
            </w:pPr>
          </w:p>
        </w:tc>
      </w:tr>
      <w:tr w14:paraId="7551E5A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73" w:hRule="atLeast"/>
        </w:trPr>
        <w:tc>
          <w:tcPr>
            <w:tcW w:w="1166" w:type="dxa"/>
            <w:tcBorders>
              <w:top w:val="nil"/>
            </w:tcBorders>
            <w:noWrap w:val="0"/>
            <w:vAlign w:val="center"/>
          </w:tcPr>
          <w:p w14:paraId="1E1539D1">
            <w:pPr>
              <w:pStyle w:val="5"/>
              <w:keepNext/>
              <w:snapToGrid w:val="0"/>
              <w:spacing w:after="0" w:line="360" w:lineRule="auto"/>
              <w:ind w:left="63" w:right="63"/>
              <w:rPr>
                <w:rFonts w:hint="eastAsia" w:ascii="仿宋_GB2312" w:hAnsi="仿宋_GB2312" w:eastAsia="仿宋_GB2312" w:cs="仿宋_GB2312"/>
                <w:color w:val="auto"/>
                <w:kern w:val="2"/>
                <w:sz w:val="32"/>
                <w:szCs w:val="32"/>
                <w:highlight w:val="none"/>
              </w:rPr>
            </w:pPr>
          </w:p>
        </w:tc>
        <w:tc>
          <w:tcPr>
            <w:tcW w:w="1683" w:type="dxa"/>
            <w:tcBorders>
              <w:top w:val="nil"/>
            </w:tcBorders>
            <w:noWrap w:val="0"/>
            <w:vAlign w:val="center"/>
          </w:tcPr>
          <w:p w14:paraId="32C5C342">
            <w:pPr>
              <w:pStyle w:val="5"/>
              <w:keepNext/>
              <w:snapToGrid w:val="0"/>
              <w:spacing w:after="0" w:line="360" w:lineRule="auto"/>
              <w:ind w:left="63" w:right="63"/>
              <w:rPr>
                <w:rFonts w:hint="eastAsia" w:ascii="仿宋_GB2312" w:hAnsi="仿宋_GB2312" w:eastAsia="仿宋_GB2312" w:cs="仿宋_GB2312"/>
                <w:color w:val="auto"/>
                <w:kern w:val="2"/>
                <w:sz w:val="32"/>
                <w:szCs w:val="32"/>
                <w:highlight w:val="none"/>
              </w:rPr>
            </w:pPr>
          </w:p>
        </w:tc>
        <w:tc>
          <w:tcPr>
            <w:tcW w:w="1294" w:type="dxa"/>
            <w:tcBorders>
              <w:top w:val="nil"/>
            </w:tcBorders>
            <w:noWrap w:val="0"/>
            <w:vAlign w:val="center"/>
          </w:tcPr>
          <w:p w14:paraId="639FC6D7">
            <w:pPr>
              <w:pStyle w:val="5"/>
              <w:keepNext/>
              <w:snapToGrid w:val="0"/>
              <w:spacing w:after="0" w:line="360" w:lineRule="auto"/>
              <w:ind w:left="63" w:right="63"/>
              <w:rPr>
                <w:rFonts w:hint="eastAsia" w:ascii="仿宋_GB2312" w:hAnsi="仿宋_GB2312" w:eastAsia="仿宋_GB2312" w:cs="仿宋_GB2312"/>
                <w:color w:val="auto"/>
                <w:kern w:val="2"/>
                <w:sz w:val="32"/>
                <w:szCs w:val="32"/>
                <w:highlight w:val="none"/>
              </w:rPr>
            </w:pPr>
          </w:p>
        </w:tc>
        <w:tc>
          <w:tcPr>
            <w:tcW w:w="2201" w:type="dxa"/>
            <w:tcBorders>
              <w:top w:val="nil"/>
            </w:tcBorders>
            <w:noWrap w:val="0"/>
            <w:vAlign w:val="center"/>
          </w:tcPr>
          <w:p w14:paraId="5FD9029C">
            <w:pPr>
              <w:pStyle w:val="5"/>
              <w:keepNext/>
              <w:snapToGrid w:val="0"/>
              <w:spacing w:after="0" w:line="360" w:lineRule="auto"/>
              <w:ind w:left="63" w:right="63"/>
              <w:rPr>
                <w:rFonts w:hint="eastAsia" w:ascii="仿宋_GB2312" w:hAnsi="仿宋_GB2312" w:eastAsia="仿宋_GB2312" w:cs="仿宋_GB2312"/>
                <w:color w:val="auto"/>
                <w:kern w:val="2"/>
                <w:sz w:val="32"/>
                <w:szCs w:val="32"/>
                <w:highlight w:val="none"/>
              </w:rPr>
            </w:pPr>
          </w:p>
        </w:tc>
        <w:tc>
          <w:tcPr>
            <w:tcW w:w="776" w:type="dxa"/>
            <w:tcBorders>
              <w:top w:val="nil"/>
            </w:tcBorders>
            <w:noWrap w:val="0"/>
            <w:vAlign w:val="center"/>
          </w:tcPr>
          <w:p w14:paraId="139EC0BA">
            <w:pPr>
              <w:pStyle w:val="5"/>
              <w:keepNext/>
              <w:snapToGrid w:val="0"/>
              <w:spacing w:after="0" w:line="360" w:lineRule="auto"/>
              <w:ind w:left="63" w:right="63"/>
              <w:rPr>
                <w:rFonts w:hint="eastAsia" w:ascii="仿宋_GB2312" w:hAnsi="仿宋_GB2312" w:eastAsia="仿宋_GB2312" w:cs="仿宋_GB2312"/>
                <w:color w:val="auto"/>
                <w:kern w:val="2"/>
                <w:sz w:val="32"/>
                <w:szCs w:val="32"/>
                <w:highlight w:val="none"/>
              </w:rPr>
            </w:pPr>
          </w:p>
        </w:tc>
        <w:tc>
          <w:tcPr>
            <w:tcW w:w="1425" w:type="dxa"/>
            <w:tcBorders>
              <w:top w:val="nil"/>
            </w:tcBorders>
            <w:noWrap w:val="0"/>
            <w:vAlign w:val="center"/>
          </w:tcPr>
          <w:p w14:paraId="6C302194">
            <w:pPr>
              <w:pStyle w:val="5"/>
              <w:keepNext/>
              <w:snapToGrid w:val="0"/>
              <w:spacing w:after="0" w:line="360" w:lineRule="auto"/>
              <w:ind w:left="63" w:right="63"/>
              <w:rPr>
                <w:rFonts w:hint="eastAsia" w:ascii="仿宋_GB2312" w:hAnsi="仿宋_GB2312" w:eastAsia="仿宋_GB2312" w:cs="仿宋_GB2312"/>
                <w:color w:val="auto"/>
                <w:kern w:val="2"/>
                <w:sz w:val="32"/>
                <w:szCs w:val="32"/>
                <w:highlight w:val="none"/>
              </w:rPr>
            </w:pPr>
          </w:p>
        </w:tc>
        <w:tc>
          <w:tcPr>
            <w:tcW w:w="1942" w:type="dxa"/>
            <w:tcBorders>
              <w:top w:val="nil"/>
            </w:tcBorders>
            <w:noWrap w:val="0"/>
            <w:vAlign w:val="center"/>
          </w:tcPr>
          <w:p w14:paraId="4A00A0A5">
            <w:pPr>
              <w:pStyle w:val="5"/>
              <w:keepNext/>
              <w:snapToGrid w:val="0"/>
              <w:spacing w:after="0" w:line="360" w:lineRule="auto"/>
              <w:ind w:left="63" w:right="63"/>
              <w:rPr>
                <w:rFonts w:hint="eastAsia" w:ascii="仿宋_GB2312" w:hAnsi="仿宋_GB2312" w:eastAsia="仿宋_GB2312" w:cs="仿宋_GB2312"/>
                <w:color w:val="auto"/>
                <w:kern w:val="2"/>
                <w:sz w:val="32"/>
                <w:szCs w:val="32"/>
                <w:highlight w:val="none"/>
              </w:rPr>
            </w:pPr>
          </w:p>
        </w:tc>
        <w:tc>
          <w:tcPr>
            <w:tcW w:w="1294" w:type="dxa"/>
            <w:tcBorders>
              <w:top w:val="nil"/>
            </w:tcBorders>
            <w:noWrap w:val="0"/>
            <w:vAlign w:val="center"/>
          </w:tcPr>
          <w:p w14:paraId="4A7EA647">
            <w:pPr>
              <w:pStyle w:val="5"/>
              <w:keepNext/>
              <w:snapToGrid w:val="0"/>
              <w:spacing w:after="0" w:line="360" w:lineRule="auto"/>
              <w:ind w:left="63" w:right="63"/>
              <w:rPr>
                <w:rFonts w:hint="eastAsia" w:ascii="仿宋_GB2312" w:hAnsi="仿宋_GB2312" w:eastAsia="仿宋_GB2312" w:cs="仿宋_GB2312"/>
                <w:color w:val="auto"/>
                <w:kern w:val="2"/>
                <w:sz w:val="32"/>
                <w:szCs w:val="32"/>
                <w:highlight w:val="none"/>
              </w:rPr>
            </w:pPr>
          </w:p>
        </w:tc>
        <w:tc>
          <w:tcPr>
            <w:tcW w:w="777" w:type="dxa"/>
            <w:tcBorders>
              <w:top w:val="nil"/>
            </w:tcBorders>
            <w:noWrap w:val="0"/>
            <w:vAlign w:val="center"/>
          </w:tcPr>
          <w:p w14:paraId="79FEAC14">
            <w:pPr>
              <w:pStyle w:val="5"/>
              <w:keepNext/>
              <w:snapToGrid w:val="0"/>
              <w:spacing w:after="0" w:line="360" w:lineRule="auto"/>
              <w:ind w:left="63" w:right="63"/>
              <w:rPr>
                <w:rFonts w:hint="eastAsia" w:ascii="仿宋_GB2312" w:hAnsi="仿宋_GB2312" w:eastAsia="仿宋_GB2312" w:cs="仿宋_GB2312"/>
                <w:color w:val="auto"/>
                <w:kern w:val="2"/>
                <w:sz w:val="32"/>
                <w:szCs w:val="32"/>
                <w:highlight w:val="none"/>
              </w:rPr>
            </w:pPr>
          </w:p>
        </w:tc>
        <w:tc>
          <w:tcPr>
            <w:tcW w:w="776" w:type="dxa"/>
            <w:tcBorders>
              <w:top w:val="nil"/>
            </w:tcBorders>
            <w:noWrap w:val="0"/>
            <w:vAlign w:val="center"/>
          </w:tcPr>
          <w:p w14:paraId="75D3BC38">
            <w:pPr>
              <w:pStyle w:val="5"/>
              <w:keepNext/>
              <w:snapToGrid w:val="0"/>
              <w:spacing w:after="0" w:line="360" w:lineRule="auto"/>
              <w:ind w:left="63" w:right="63"/>
              <w:rPr>
                <w:rFonts w:hint="eastAsia" w:ascii="仿宋_GB2312" w:hAnsi="仿宋_GB2312" w:eastAsia="仿宋_GB2312" w:cs="仿宋_GB2312"/>
                <w:color w:val="auto"/>
                <w:kern w:val="2"/>
                <w:sz w:val="32"/>
                <w:szCs w:val="32"/>
                <w:highlight w:val="none"/>
              </w:rPr>
            </w:pPr>
          </w:p>
        </w:tc>
      </w:tr>
      <w:tr w14:paraId="52C9FB6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73" w:hRule="atLeast"/>
        </w:trPr>
        <w:tc>
          <w:tcPr>
            <w:tcW w:w="1166" w:type="dxa"/>
            <w:noWrap w:val="0"/>
            <w:vAlign w:val="center"/>
          </w:tcPr>
          <w:p w14:paraId="0ECB181C">
            <w:pPr>
              <w:pStyle w:val="5"/>
              <w:keepNext/>
              <w:snapToGrid w:val="0"/>
              <w:spacing w:after="0" w:line="360" w:lineRule="auto"/>
              <w:ind w:left="63" w:right="63"/>
              <w:rPr>
                <w:rFonts w:hint="eastAsia" w:ascii="仿宋_GB2312" w:hAnsi="仿宋_GB2312" w:eastAsia="仿宋_GB2312" w:cs="仿宋_GB2312"/>
                <w:color w:val="auto"/>
                <w:kern w:val="2"/>
                <w:sz w:val="32"/>
                <w:szCs w:val="32"/>
                <w:highlight w:val="none"/>
              </w:rPr>
            </w:pPr>
          </w:p>
        </w:tc>
        <w:tc>
          <w:tcPr>
            <w:tcW w:w="1683" w:type="dxa"/>
            <w:noWrap w:val="0"/>
            <w:vAlign w:val="center"/>
          </w:tcPr>
          <w:p w14:paraId="149863D5">
            <w:pPr>
              <w:pStyle w:val="5"/>
              <w:keepNext/>
              <w:snapToGrid w:val="0"/>
              <w:spacing w:after="0" w:line="360" w:lineRule="auto"/>
              <w:ind w:left="63" w:right="63"/>
              <w:rPr>
                <w:rFonts w:hint="eastAsia" w:ascii="仿宋_GB2312" w:hAnsi="仿宋_GB2312" w:eastAsia="仿宋_GB2312" w:cs="仿宋_GB2312"/>
                <w:color w:val="auto"/>
                <w:kern w:val="2"/>
                <w:sz w:val="32"/>
                <w:szCs w:val="32"/>
                <w:highlight w:val="none"/>
              </w:rPr>
            </w:pPr>
          </w:p>
        </w:tc>
        <w:tc>
          <w:tcPr>
            <w:tcW w:w="1294" w:type="dxa"/>
            <w:noWrap w:val="0"/>
            <w:vAlign w:val="center"/>
          </w:tcPr>
          <w:p w14:paraId="6449D9A5">
            <w:pPr>
              <w:pStyle w:val="5"/>
              <w:keepNext/>
              <w:snapToGrid w:val="0"/>
              <w:spacing w:after="0" w:line="360" w:lineRule="auto"/>
              <w:ind w:left="63" w:right="63"/>
              <w:rPr>
                <w:rFonts w:hint="eastAsia" w:ascii="仿宋_GB2312" w:hAnsi="仿宋_GB2312" w:eastAsia="仿宋_GB2312" w:cs="仿宋_GB2312"/>
                <w:color w:val="auto"/>
                <w:kern w:val="2"/>
                <w:sz w:val="32"/>
                <w:szCs w:val="32"/>
                <w:highlight w:val="none"/>
              </w:rPr>
            </w:pPr>
          </w:p>
        </w:tc>
        <w:tc>
          <w:tcPr>
            <w:tcW w:w="2201" w:type="dxa"/>
            <w:noWrap w:val="0"/>
            <w:vAlign w:val="center"/>
          </w:tcPr>
          <w:p w14:paraId="4D66F814">
            <w:pPr>
              <w:pStyle w:val="5"/>
              <w:keepNext/>
              <w:snapToGrid w:val="0"/>
              <w:spacing w:after="0" w:line="360" w:lineRule="auto"/>
              <w:ind w:left="63" w:right="63"/>
              <w:rPr>
                <w:rFonts w:hint="eastAsia" w:ascii="仿宋_GB2312" w:hAnsi="仿宋_GB2312" w:eastAsia="仿宋_GB2312" w:cs="仿宋_GB2312"/>
                <w:color w:val="auto"/>
                <w:kern w:val="2"/>
                <w:sz w:val="32"/>
                <w:szCs w:val="32"/>
                <w:highlight w:val="none"/>
              </w:rPr>
            </w:pPr>
          </w:p>
        </w:tc>
        <w:tc>
          <w:tcPr>
            <w:tcW w:w="776" w:type="dxa"/>
            <w:noWrap w:val="0"/>
            <w:vAlign w:val="center"/>
          </w:tcPr>
          <w:p w14:paraId="64183B7E">
            <w:pPr>
              <w:pStyle w:val="5"/>
              <w:keepNext/>
              <w:snapToGrid w:val="0"/>
              <w:spacing w:after="0" w:line="360" w:lineRule="auto"/>
              <w:ind w:left="63" w:right="63"/>
              <w:rPr>
                <w:rFonts w:hint="eastAsia" w:ascii="仿宋_GB2312" w:hAnsi="仿宋_GB2312" w:eastAsia="仿宋_GB2312" w:cs="仿宋_GB2312"/>
                <w:color w:val="auto"/>
                <w:kern w:val="2"/>
                <w:sz w:val="32"/>
                <w:szCs w:val="32"/>
                <w:highlight w:val="none"/>
              </w:rPr>
            </w:pPr>
          </w:p>
        </w:tc>
        <w:tc>
          <w:tcPr>
            <w:tcW w:w="1425" w:type="dxa"/>
            <w:noWrap w:val="0"/>
            <w:vAlign w:val="center"/>
          </w:tcPr>
          <w:p w14:paraId="1284796E">
            <w:pPr>
              <w:pStyle w:val="5"/>
              <w:keepNext/>
              <w:snapToGrid w:val="0"/>
              <w:spacing w:after="0" w:line="360" w:lineRule="auto"/>
              <w:ind w:left="63" w:right="63"/>
              <w:rPr>
                <w:rFonts w:hint="eastAsia" w:ascii="仿宋_GB2312" w:hAnsi="仿宋_GB2312" w:eastAsia="仿宋_GB2312" w:cs="仿宋_GB2312"/>
                <w:color w:val="auto"/>
                <w:kern w:val="2"/>
                <w:sz w:val="32"/>
                <w:szCs w:val="32"/>
                <w:highlight w:val="none"/>
              </w:rPr>
            </w:pPr>
          </w:p>
        </w:tc>
        <w:tc>
          <w:tcPr>
            <w:tcW w:w="1942" w:type="dxa"/>
            <w:noWrap w:val="0"/>
            <w:vAlign w:val="center"/>
          </w:tcPr>
          <w:p w14:paraId="59267B92">
            <w:pPr>
              <w:pStyle w:val="5"/>
              <w:keepNext/>
              <w:snapToGrid w:val="0"/>
              <w:spacing w:after="0" w:line="360" w:lineRule="auto"/>
              <w:ind w:left="63" w:right="63"/>
              <w:rPr>
                <w:rFonts w:hint="eastAsia" w:ascii="仿宋_GB2312" w:hAnsi="仿宋_GB2312" w:eastAsia="仿宋_GB2312" w:cs="仿宋_GB2312"/>
                <w:color w:val="auto"/>
                <w:kern w:val="2"/>
                <w:sz w:val="32"/>
                <w:szCs w:val="32"/>
                <w:highlight w:val="none"/>
              </w:rPr>
            </w:pPr>
          </w:p>
        </w:tc>
        <w:tc>
          <w:tcPr>
            <w:tcW w:w="1294" w:type="dxa"/>
            <w:noWrap w:val="0"/>
            <w:vAlign w:val="center"/>
          </w:tcPr>
          <w:p w14:paraId="7CE1EEF3">
            <w:pPr>
              <w:pStyle w:val="5"/>
              <w:keepNext/>
              <w:snapToGrid w:val="0"/>
              <w:spacing w:after="0" w:line="360" w:lineRule="auto"/>
              <w:ind w:left="63" w:right="63"/>
              <w:rPr>
                <w:rFonts w:hint="eastAsia" w:ascii="仿宋_GB2312" w:hAnsi="仿宋_GB2312" w:eastAsia="仿宋_GB2312" w:cs="仿宋_GB2312"/>
                <w:color w:val="auto"/>
                <w:kern w:val="2"/>
                <w:sz w:val="32"/>
                <w:szCs w:val="32"/>
                <w:highlight w:val="none"/>
              </w:rPr>
            </w:pPr>
          </w:p>
        </w:tc>
        <w:tc>
          <w:tcPr>
            <w:tcW w:w="777" w:type="dxa"/>
            <w:noWrap w:val="0"/>
            <w:vAlign w:val="center"/>
          </w:tcPr>
          <w:p w14:paraId="7E1B7E73">
            <w:pPr>
              <w:pStyle w:val="5"/>
              <w:keepNext/>
              <w:snapToGrid w:val="0"/>
              <w:spacing w:after="0" w:line="360" w:lineRule="auto"/>
              <w:ind w:left="63" w:right="63"/>
              <w:rPr>
                <w:rFonts w:hint="eastAsia" w:ascii="仿宋_GB2312" w:hAnsi="仿宋_GB2312" w:eastAsia="仿宋_GB2312" w:cs="仿宋_GB2312"/>
                <w:color w:val="auto"/>
                <w:kern w:val="2"/>
                <w:sz w:val="32"/>
                <w:szCs w:val="32"/>
                <w:highlight w:val="none"/>
              </w:rPr>
            </w:pPr>
          </w:p>
        </w:tc>
        <w:tc>
          <w:tcPr>
            <w:tcW w:w="776" w:type="dxa"/>
            <w:noWrap w:val="0"/>
            <w:vAlign w:val="center"/>
          </w:tcPr>
          <w:p w14:paraId="08AC6B44">
            <w:pPr>
              <w:pStyle w:val="5"/>
              <w:keepNext/>
              <w:snapToGrid w:val="0"/>
              <w:spacing w:after="0" w:line="360" w:lineRule="auto"/>
              <w:ind w:left="63" w:right="63"/>
              <w:rPr>
                <w:rFonts w:hint="eastAsia" w:ascii="仿宋_GB2312" w:hAnsi="仿宋_GB2312" w:eastAsia="仿宋_GB2312" w:cs="仿宋_GB2312"/>
                <w:color w:val="auto"/>
                <w:kern w:val="2"/>
                <w:sz w:val="32"/>
                <w:szCs w:val="32"/>
                <w:highlight w:val="none"/>
              </w:rPr>
            </w:pPr>
          </w:p>
        </w:tc>
      </w:tr>
      <w:tr w14:paraId="0A35F81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73" w:hRule="atLeast"/>
        </w:trPr>
        <w:tc>
          <w:tcPr>
            <w:tcW w:w="1166" w:type="dxa"/>
            <w:tcBorders>
              <w:top w:val="nil"/>
            </w:tcBorders>
            <w:noWrap w:val="0"/>
            <w:vAlign w:val="center"/>
          </w:tcPr>
          <w:p w14:paraId="0AC3819F">
            <w:pPr>
              <w:pStyle w:val="5"/>
              <w:keepNext/>
              <w:snapToGrid w:val="0"/>
              <w:spacing w:after="0" w:line="360" w:lineRule="auto"/>
              <w:ind w:left="63" w:right="63"/>
              <w:rPr>
                <w:rFonts w:hint="eastAsia" w:ascii="仿宋_GB2312" w:hAnsi="仿宋_GB2312" w:eastAsia="仿宋_GB2312" w:cs="仿宋_GB2312"/>
                <w:color w:val="auto"/>
                <w:kern w:val="2"/>
                <w:sz w:val="32"/>
                <w:szCs w:val="32"/>
                <w:highlight w:val="none"/>
              </w:rPr>
            </w:pPr>
          </w:p>
        </w:tc>
        <w:tc>
          <w:tcPr>
            <w:tcW w:w="1683" w:type="dxa"/>
            <w:tcBorders>
              <w:top w:val="nil"/>
            </w:tcBorders>
            <w:noWrap w:val="0"/>
            <w:vAlign w:val="center"/>
          </w:tcPr>
          <w:p w14:paraId="3A9748BB">
            <w:pPr>
              <w:pStyle w:val="5"/>
              <w:keepNext/>
              <w:snapToGrid w:val="0"/>
              <w:spacing w:after="0" w:line="360" w:lineRule="auto"/>
              <w:ind w:left="63" w:right="63"/>
              <w:rPr>
                <w:rFonts w:hint="eastAsia" w:ascii="仿宋_GB2312" w:hAnsi="仿宋_GB2312" w:eastAsia="仿宋_GB2312" w:cs="仿宋_GB2312"/>
                <w:color w:val="auto"/>
                <w:kern w:val="2"/>
                <w:sz w:val="32"/>
                <w:szCs w:val="32"/>
                <w:highlight w:val="none"/>
              </w:rPr>
            </w:pPr>
          </w:p>
        </w:tc>
        <w:tc>
          <w:tcPr>
            <w:tcW w:w="1294" w:type="dxa"/>
            <w:tcBorders>
              <w:top w:val="nil"/>
            </w:tcBorders>
            <w:noWrap w:val="0"/>
            <w:vAlign w:val="center"/>
          </w:tcPr>
          <w:p w14:paraId="15327FEF">
            <w:pPr>
              <w:pStyle w:val="5"/>
              <w:keepNext/>
              <w:snapToGrid w:val="0"/>
              <w:spacing w:after="0" w:line="360" w:lineRule="auto"/>
              <w:ind w:left="63" w:right="63"/>
              <w:rPr>
                <w:rFonts w:hint="eastAsia" w:ascii="仿宋_GB2312" w:hAnsi="仿宋_GB2312" w:eastAsia="仿宋_GB2312" w:cs="仿宋_GB2312"/>
                <w:color w:val="auto"/>
                <w:kern w:val="2"/>
                <w:sz w:val="32"/>
                <w:szCs w:val="32"/>
                <w:highlight w:val="none"/>
              </w:rPr>
            </w:pPr>
          </w:p>
        </w:tc>
        <w:tc>
          <w:tcPr>
            <w:tcW w:w="2201" w:type="dxa"/>
            <w:tcBorders>
              <w:top w:val="nil"/>
            </w:tcBorders>
            <w:noWrap w:val="0"/>
            <w:vAlign w:val="center"/>
          </w:tcPr>
          <w:p w14:paraId="29FB649A">
            <w:pPr>
              <w:pStyle w:val="5"/>
              <w:keepNext/>
              <w:snapToGrid w:val="0"/>
              <w:spacing w:after="0" w:line="360" w:lineRule="auto"/>
              <w:ind w:left="63" w:right="63"/>
              <w:rPr>
                <w:rFonts w:hint="eastAsia" w:ascii="仿宋_GB2312" w:hAnsi="仿宋_GB2312" w:eastAsia="仿宋_GB2312" w:cs="仿宋_GB2312"/>
                <w:color w:val="auto"/>
                <w:kern w:val="2"/>
                <w:sz w:val="32"/>
                <w:szCs w:val="32"/>
                <w:highlight w:val="none"/>
              </w:rPr>
            </w:pPr>
          </w:p>
        </w:tc>
        <w:tc>
          <w:tcPr>
            <w:tcW w:w="776" w:type="dxa"/>
            <w:tcBorders>
              <w:top w:val="nil"/>
            </w:tcBorders>
            <w:noWrap w:val="0"/>
            <w:vAlign w:val="center"/>
          </w:tcPr>
          <w:p w14:paraId="774813F2">
            <w:pPr>
              <w:pStyle w:val="5"/>
              <w:keepNext/>
              <w:snapToGrid w:val="0"/>
              <w:spacing w:after="0" w:line="360" w:lineRule="auto"/>
              <w:ind w:left="63" w:right="63"/>
              <w:rPr>
                <w:rFonts w:hint="eastAsia" w:ascii="仿宋_GB2312" w:hAnsi="仿宋_GB2312" w:eastAsia="仿宋_GB2312" w:cs="仿宋_GB2312"/>
                <w:color w:val="auto"/>
                <w:kern w:val="2"/>
                <w:sz w:val="32"/>
                <w:szCs w:val="32"/>
                <w:highlight w:val="none"/>
              </w:rPr>
            </w:pPr>
          </w:p>
        </w:tc>
        <w:tc>
          <w:tcPr>
            <w:tcW w:w="1425" w:type="dxa"/>
            <w:tcBorders>
              <w:top w:val="nil"/>
            </w:tcBorders>
            <w:noWrap w:val="0"/>
            <w:vAlign w:val="center"/>
          </w:tcPr>
          <w:p w14:paraId="65F81DF0">
            <w:pPr>
              <w:pStyle w:val="5"/>
              <w:keepNext/>
              <w:snapToGrid w:val="0"/>
              <w:spacing w:after="0" w:line="360" w:lineRule="auto"/>
              <w:ind w:left="63" w:right="63"/>
              <w:rPr>
                <w:rFonts w:hint="eastAsia" w:ascii="仿宋_GB2312" w:hAnsi="仿宋_GB2312" w:eastAsia="仿宋_GB2312" w:cs="仿宋_GB2312"/>
                <w:color w:val="auto"/>
                <w:kern w:val="2"/>
                <w:sz w:val="32"/>
                <w:szCs w:val="32"/>
                <w:highlight w:val="none"/>
              </w:rPr>
            </w:pPr>
          </w:p>
        </w:tc>
        <w:tc>
          <w:tcPr>
            <w:tcW w:w="1942" w:type="dxa"/>
            <w:tcBorders>
              <w:top w:val="nil"/>
            </w:tcBorders>
            <w:noWrap w:val="0"/>
            <w:vAlign w:val="center"/>
          </w:tcPr>
          <w:p w14:paraId="4914DF98">
            <w:pPr>
              <w:pStyle w:val="5"/>
              <w:keepNext/>
              <w:snapToGrid w:val="0"/>
              <w:spacing w:after="0" w:line="360" w:lineRule="auto"/>
              <w:ind w:left="63" w:right="63"/>
              <w:rPr>
                <w:rFonts w:hint="eastAsia" w:ascii="仿宋_GB2312" w:hAnsi="仿宋_GB2312" w:eastAsia="仿宋_GB2312" w:cs="仿宋_GB2312"/>
                <w:color w:val="auto"/>
                <w:kern w:val="2"/>
                <w:sz w:val="32"/>
                <w:szCs w:val="32"/>
                <w:highlight w:val="none"/>
              </w:rPr>
            </w:pPr>
          </w:p>
        </w:tc>
        <w:tc>
          <w:tcPr>
            <w:tcW w:w="1294" w:type="dxa"/>
            <w:tcBorders>
              <w:top w:val="nil"/>
            </w:tcBorders>
            <w:noWrap w:val="0"/>
            <w:vAlign w:val="center"/>
          </w:tcPr>
          <w:p w14:paraId="251FF566">
            <w:pPr>
              <w:pStyle w:val="5"/>
              <w:keepNext/>
              <w:snapToGrid w:val="0"/>
              <w:spacing w:after="0" w:line="360" w:lineRule="auto"/>
              <w:ind w:left="63" w:right="63"/>
              <w:rPr>
                <w:rFonts w:hint="eastAsia" w:ascii="仿宋_GB2312" w:hAnsi="仿宋_GB2312" w:eastAsia="仿宋_GB2312" w:cs="仿宋_GB2312"/>
                <w:color w:val="auto"/>
                <w:kern w:val="2"/>
                <w:sz w:val="32"/>
                <w:szCs w:val="32"/>
                <w:highlight w:val="none"/>
              </w:rPr>
            </w:pPr>
          </w:p>
        </w:tc>
        <w:tc>
          <w:tcPr>
            <w:tcW w:w="777" w:type="dxa"/>
            <w:tcBorders>
              <w:top w:val="nil"/>
            </w:tcBorders>
            <w:noWrap w:val="0"/>
            <w:vAlign w:val="center"/>
          </w:tcPr>
          <w:p w14:paraId="17184546">
            <w:pPr>
              <w:pStyle w:val="5"/>
              <w:keepNext/>
              <w:snapToGrid w:val="0"/>
              <w:spacing w:after="0" w:line="360" w:lineRule="auto"/>
              <w:ind w:left="63" w:right="63"/>
              <w:rPr>
                <w:rFonts w:hint="eastAsia" w:ascii="仿宋_GB2312" w:hAnsi="仿宋_GB2312" w:eastAsia="仿宋_GB2312" w:cs="仿宋_GB2312"/>
                <w:color w:val="auto"/>
                <w:kern w:val="2"/>
                <w:sz w:val="32"/>
                <w:szCs w:val="32"/>
                <w:highlight w:val="none"/>
              </w:rPr>
            </w:pPr>
          </w:p>
        </w:tc>
        <w:tc>
          <w:tcPr>
            <w:tcW w:w="776" w:type="dxa"/>
            <w:tcBorders>
              <w:top w:val="nil"/>
            </w:tcBorders>
            <w:noWrap w:val="0"/>
            <w:vAlign w:val="center"/>
          </w:tcPr>
          <w:p w14:paraId="0186E71D">
            <w:pPr>
              <w:pStyle w:val="5"/>
              <w:keepNext/>
              <w:snapToGrid w:val="0"/>
              <w:spacing w:after="0" w:line="360" w:lineRule="auto"/>
              <w:ind w:left="63" w:right="63"/>
              <w:rPr>
                <w:rFonts w:hint="eastAsia" w:ascii="仿宋_GB2312" w:hAnsi="仿宋_GB2312" w:eastAsia="仿宋_GB2312" w:cs="仿宋_GB2312"/>
                <w:color w:val="auto"/>
                <w:kern w:val="2"/>
                <w:sz w:val="32"/>
                <w:szCs w:val="32"/>
                <w:highlight w:val="none"/>
              </w:rPr>
            </w:pPr>
          </w:p>
        </w:tc>
      </w:tr>
      <w:tr w14:paraId="2602E07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73" w:hRule="atLeast"/>
        </w:trPr>
        <w:tc>
          <w:tcPr>
            <w:tcW w:w="1166" w:type="dxa"/>
            <w:noWrap w:val="0"/>
            <w:vAlign w:val="center"/>
          </w:tcPr>
          <w:p w14:paraId="4AF16D84">
            <w:pPr>
              <w:pStyle w:val="5"/>
              <w:keepNext/>
              <w:snapToGrid w:val="0"/>
              <w:spacing w:after="0" w:line="360" w:lineRule="auto"/>
              <w:ind w:left="63" w:right="63"/>
              <w:rPr>
                <w:rFonts w:hint="eastAsia" w:ascii="仿宋_GB2312" w:hAnsi="仿宋_GB2312" w:eastAsia="仿宋_GB2312" w:cs="仿宋_GB2312"/>
                <w:color w:val="auto"/>
                <w:kern w:val="2"/>
                <w:sz w:val="32"/>
                <w:szCs w:val="32"/>
                <w:highlight w:val="none"/>
              </w:rPr>
            </w:pPr>
          </w:p>
        </w:tc>
        <w:tc>
          <w:tcPr>
            <w:tcW w:w="1683" w:type="dxa"/>
            <w:noWrap w:val="0"/>
            <w:vAlign w:val="center"/>
          </w:tcPr>
          <w:p w14:paraId="2BFA22DF">
            <w:pPr>
              <w:pStyle w:val="5"/>
              <w:keepNext/>
              <w:snapToGrid w:val="0"/>
              <w:spacing w:after="0" w:line="360" w:lineRule="auto"/>
              <w:ind w:left="63" w:right="63"/>
              <w:rPr>
                <w:rFonts w:hint="eastAsia" w:ascii="仿宋_GB2312" w:hAnsi="仿宋_GB2312" w:eastAsia="仿宋_GB2312" w:cs="仿宋_GB2312"/>
                <w:color w:val="auto"/>
                <w:kern w:val="2"/>
                <w:sz w:val="32"/>
                <w:szCs w:val="32"/>
                <w:highlight w:val="none"/>
              </w:rPr>
            </w:pPr>
          </w:p>
        </w:tc>
        <w:tc>
          <w:tcPr>
            <w:tcW w:w="1294" w:type="dxa"/>
            <w:noWrap w:val="0"/>
            <w:vAlign w:val="center"/>
          </w:tcPr>
          <w:p w14:paraId="3CF6B98F">
            <w:pPr>
              <w:pStyle w:val="5"/>
              <w:keepNext/>
              <w:snapToGrid w:val="0"/>
              <w:spacing w:after="0" w:line="360" w:lineRule="auto"/>
              <w:ind w:left="63" w:right="63"/>
              <w:rPr>
                <w:rFonts w:hint="eastAsia" w:ascii="仿宋_GB2312" w:hAnsi="仿宋_GB2312" w:eastAsia="仿宋_GB2312" w:cs="仿宋_GB2312"/>
                <w:color w:val="auto"/>
                <w:kern w:val="2"/>
                <w:sz w:val="32"/>
                <w:szCs w:val="32"/>
                <w:highlight w:val="none"/>
              </w:rPr>
            </w:pPr>
          </w:p>
        </w:tc>
        <w:tc>
          <w:tcPr>
            <w:tcW w:w="2201" w:type="dxa"/>
            <w:noWrap w:val="0"/>
            <w:vAlign w:val="center"/>
          </w:tcPr>
          <w:p w14:paraId="17FDB242">
            <w:pPr>
              <w:pStyle w:val="5"/>
              <w:keepNext/>
              <w:snapToGrid w:val="0"/>
              <w:spacing w:after="0" w:line="360" w:lineRule="auto"/>
              <w:ind w:left="63" w:right="63"/>
              <w:rPr>
                <w:rFonts w:hint="eastAsia" w:ascii="仿宋_GB2312" w:hAnsi="仿宋_GB2312" w:eastAsia="仿宋_GB2312" w:cs="仿宋_GB2312"/>
                <w:color w:val="auto"/>
                <w:kern w:val="2"/>
                <w:sz w:val="32"/>
                <w:szCs w:val="32"/>
                <w:highlight w:val="none"/>
              </w:rPr>
            </w:pPr>
          </w:p>
        </w:tc>
        <w:tc>
          <w:tcPr>
            <w:tcW w:w="776" w:type="dxa"/>
            <w:noWrap w:val="0"/>
            <w:vAlign w:val="center"/>
          </w:tcPr>
          <w:p w14:paraId="2FEE255F">
            <w:pPr>
              <w:pStyle w:val="5"/>
              <w:keepNext/>
              <w:snapToGrid w:val="0"/>
              <w:spacing w:after="0" w:line="360" w:lineRule="auto"/>
              <w:ind w:left="63" w:right="63"/>
              <w:rPr>
                <w:rFonts w:hint="eastAsia" w:ascii="仿宋_GB2312" w:hAnsi="仿宋_GB2312" w:eastAsia="仿宋_GB2312" w:cs="仿宋_GB2312"/>
                <w:color w:val="auto"/>
                <w:kern w:val="2"/>
                <w:sz w:val="32"/>
                <w:szCs w:val="32"/>
                <w:highlight w:val="none"/>
              </w:rPr>
            </w:pPr>
          </w:p>
        </w:tc>
        <w:tc>
          <w:tcPr>
            <w:tcW w:w="1425" w:type="dxa"/>
            <w:noWrap w:val="0"/>
            <w:vAlign w:val="center"/>
          </w:tcPr>
          <w:p w14:paraId="39D18C3D">
            <w:pPr>
              <w:pStyle w:val="5"/>
              <w:keepNext/>
              <w:snapToGrid w:val="0"/>
              <w:spacing w:after="0" w:line="360" w:lineRule="auto"/>
              <w:ind w:left="63" w:right="63"/>
              <w:rPr>
                <w:rFonts w:hint="eastAsia" w:ascii="仿宋_GB2312" w:hAnsi="仿宋_GB2312" w:eastAsia="仿宋_GB2312" w:cs="仿宋_GB2312"/>
                <w:color w:val="auto"/>
                <w:kern w:val="2"/>
                <w:sz w:val="32"/>
                <w:szCs w:val="32"/>
                <w:highlight w:val="none"/>
              </w:rPr>
            </w:pPr>
          </w:p>
        </w:tc>
        <w:tc>
          <w:tcPr>
            <w:tcW w:w="1942" w:type="dxa"/>
            <w:noWrap w:val="0"/>
            <w:vAlign w:val="center"/>
          </w:tcPr>
          <w:p w14:paraId="771FF76A">
            <w:pPr>
              <w:pStyle w:val="5"/>
              <w:keepNext/>
              <w:snapToGrid w:val="0"/>
              <w:spacing w:after="0" w:line="360" w:lineRule="auto"/>
              <w:ind w:left="63" w:right="63"/>
              <w:rPr>
                <w:rFonts w:hint="eastAsia" w:ascii="仿宋_GB2312" w:hAnsi="仿宋_GB2312" w:eastAsia="仿宋_GB2312" w:cs="仿宋_GB2312"/>
                <w:color w:val="auto"/>
                <w:kern w:val="2"/>
                <w:sz w:val="32"/>
                <w:szCs w:val="32"/>
                <w:highlight w:val="none"/>
              </w:rPr>
            </w:pPr>
          </w:p>
        </w:tc>
        <w:tc>
          <w:tcPr>
            <w:tcW w:w="1294" w:type="dxa"/>
            <w:noWrap w:val="0"/>
            <w:vAlign w:val="center"/>
          </w:tcPr>
          <w:p w14:paraId="63D921D8">
            <w:pPr>
              <w:pStyle w:val="5"/>
              <w:keepNext/>
              <w:snapToGrid w:val="0"/>
              <w:spacing w:after="0" w:line="360" w:lineRule="auto"/>
              <w:ind w:left="63" w:right="63"/>
              <w:rPr>
                <w:rFonts w:hint="eastAsia" w:ascii="仿宋_GB2312" w:hAnsi="仿宋_GB2312" w:eastAsia="仿宋_GB2312" w:cs="仿宋_GB2312"/>
                <w:color w:val="auto"/>
                <w:kern w:val="2"/>
                <w:sz w:val="32"/>
                <w:szCs w:val="32"/>
                <w:highlight w:val="none"/>
              </w:rPr>
            </w:pPr>
          </w:p>
        </w:tc>
        <w:tc>
          <w:tcPr>
            <w:tcW w:w="777" w:type="dxa"/>
            <w:noWrap w:val="0"/>
            <w:vAlign w:val="center"/>
          </w:tcPr>
          <w:p w14:paraId="62AA8A0B">
            <w:pPr>
              <w:pStyle w:val="5"/>
              <w:keepNext/>
              <w:snapToGrid w:val="0"/>
              <w:spacing w:after="0" w:line="360" w:lineRule="auto"/>
              <w:ind w:left="63" w:right="63"/>
              <w:rPr>
                <w:rFonts w:hint="eastAsia" w:ascii="仿宋_GB2312" w:hAnsi="仿宋_GB2312" w:eastAsia="仿宋_GB2312" w:cs="仿宋_GB2312"/>
                <w:color w:val="auto"/>
                <w:kern w:val="2"/>
                <w:sz w:val="32"/>
                <w:szCs w:val="32"/>
                <w:highlight w:val="none"/>
              </w:rPr>
            </w:pPr>
          </w:p>
        </w:tc>
        <w:tc>
          <w:tcPr>
            <w:tcW w:w="776" w:type="dxa"/>
            <w:noWrap w:val="0"/>
            <w:vAlign w:val="center"/>
          </w:tcPr>
          <w:p w14:paraId="3EABC588">
            <w:pPr>
              <w:pStyle w:val="5"/>
              <w:keepNext/>
              <w:snapToGrid w:val="0"/>
              <w:spacing w:after="0" w:line="360" w:lineRule="auto"/>
              <w:ind w:left="63" w:right="63"/>
              <w:rPr>
                <w:rFonts w:hint="eastAsia" w:ascii="仿宋_GB2312" w:hAnsi="仿宋_GB2312" w:eastAsia="仿宋_GB2312" w:cs="仿宋_GB2312"/>
                <w:color w:val="auto"/>
                <w:kern w:val="2"/>
                <w:sz w:val="32"/>
                <w:szCs w:val="32"/>
                <w:highlight w:val="none"/>
              </w:rPr>
            </w:pPr>
          </w:p>
        </w:tc>
      </w:tr>
      <w:tr w14:paraId="63A09E2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73" w:hRule="atLeast"/>
        </w:trPr>
        <w:tc>
          <w:tcPr>
            <w:tcW w:w="1166" w:type="dxa"/>
            <w:tcBorders>
              <w:top w:val="nil"/>
            </w:tcBorders>
            <w:noWrap w:val="0"/>
            <w:vAlign w:val="center"/>
          </w:tcPr>
          <w:p w14:paraId="592E1ADE">
            <w:pPr>
              <w:pStyle w:val="5"/>
              <w:keepNext/>
              <w:snapToGrid w:val="0"/>
              <w:spacing w:after="0" w:line="360" w:lineRule="auto"/>
              <w:ind w:left="63" w:right="63"/>
              <w:rPr>
                <w:rFonts w:hint="eastAsia" w:ascii="仿宋_GB2312" w:hAnsi="仿宋_GB2312" w:eastAsia="仿宋_GB2312" w:cs="仿宋_GB2312"/>
                <w:color w:val="auto"/>
                <w:kern w:val="2"/>
                <w:sz w:val="32"/>
                <w:szCs w:val="32"/>
                <w:highlight w:val="none"/>
              </w:rPr>
            </w:pPr>
          </w:p>
        </w:tc>
        <w:tc>
          <w:tcPr>
            <w:tcW w:w="1683" w:type="dxa"/>
            <w:tcBorders>
              <w:top w:val="nil"/>
            </w:tcBorders>
            <w:noWrap w:val="0"/>
            <w:vAlign w:val="center"/>
          </w:tcPr>
          <w:p w14:paraId="2DD69803">
            <w:pPr>
              <w:pStyle w:val="5"/>
              <w:keepNext/>
              <w:snapToGrid w:val="0"/>
              <w:spacing w:after="0" w:line="360" w:lineRule="auto"/>
              <w:ind w:left="63" w:right="63"/>
              <w:rPr>
                <w:rFonts w:hint="eastAsia" w:ascii="仿宋_GB2312" w:hAnsi="仿宋_GB2312" w:eastAsia="仿宋_GB2312" w:cs="仿宋_GB2312"/>
                <w:color w:val="auto"/>
                <w:kern w:val="2"/>
                <w:sz w:val="32"/>
                <w:szCs w:val="32"/>
                <w:highlight w:val="none"/>
              </w:rPr>
            </w:pPr>
          </w:p>
        </w:tc>
        <w:tc>
          <w:tcPr>
            <w:tcW w:w="1294" w:type="dxa"/>
            <w:tcBorders>
              <w:top w:val="nil"/>
            </w:tcBorders>
            <w:noWrap w:val="0"/>
            <w:vAlign w:val="center"/>
          </w:tcPr>
          <w:p w14:paraId="4677FA1D">
            <w:pPr>
              <w:pStyle w:val="5"/>
              <w:keepNext/>
              <w:snapToGrid w:val="0"/>
              <w:spacing w:after="0" w:line="360" w:lineRule="auto"/>
              <w:ind w:left="63" w:right="63"/>
              <w:rPr>
                <w:rFonts w:hint="eastAsia" w:ascii="仿宋_GB2312" w:hAnsi="仿宋_GB2312" w:eastAsia="仿宋_GB2312" w:cs="仿宋_GB2312"/>
                <w:color w:val="auto"/>
                <w:kern w:val="2"/>
                <w:sz w:val="32"/>
                <w:szCs w:val="32"/>
                <w:highlight w:val="none"/>
              </w:rPr>
            </w:pPr>
          </w:p>
        </w:tc>
        <w:tc>
          <w:tcPr>
            <w:tcW w:w="2201" w:type="dxa"/>
            <w:tcBorders>
              <w:top w:val="nil"/>
            </w:tcBorders>
            <w:noWrap w:val="0"/>
            <w:vAlign w:val="center"/>
          </w:tcPr>
          <w:p w14:paraId="0589761A">
            <w:pPr>
              <w:pStyle w:val="5"/>
              <w:keepNext/>
              <w:snapToGrid w:val="0"/>
              <w:spacing w:after="0" w:line="360" w:lineRule="auto"/>
              <w:ind w:left="63" w:right="63"/>
              <w:rPr>
                <w:rFonts w:hint="eastAsia" w:ascii="仿宋_GB2312" w:hAnsi="仿宋_GB2312" w:eastAsia="仿宋_GB2312" w:cs="仿宋_GB2312"/>
                <w:color w:val="auto"/>
                <w:kern w:val="2"/>
                <w:sz w:val="32"/>
                <w:szCs w:val="32"/>
                <w:highlight w:val="none"/>
              </w:rPr>
            </w:pPr>
          </w:p>
        </w:tc>
        <w:tc>
          <w:tcPr>
            <w:tcW w:w="776" w:type="dxa"/>
            <w:tcBorders>
              <w:top w:val="nil"/>
            </w:tcBorders>
            <w:noWrap w:val="0"/>
            <w:vAlign w:val="center"/>
          </w:tcPr>
          <w:p w14:paraId="1617A04D">
            <w:pPr>
              <w:pStyle w:val="5"/>
              <w:keepNext/>
              <w:snapToGrid w:val="0"/>
              <w:spacing w:after="0" w:line="360" w:lineRule="auto"/>
              <w:ind w:left="63" w:right="63"/>
              <w:rPr>
                <w:rFonts w:hint="eastAsia" w:ascii="仿宋_GB2312" w:hAnsi="仿宋_GB2312" w:eastAsia="仿宋_GB2312" w:cs="仿宋_GB2312"/>
                <w:color w:val="auto"/>
                <w:kern w:val="2"/>
                <w:sz w:val="32"/>
                <w:szCs w:val="32"/>
                <w:highlight w:val="none"/>
              </w:rPr>
            </w:pPr>
          </w:p>
        </w:tc>
        <w:tc>
          <w:tcPr>
            <w:tcW w:w="1425" w:type="dxa"/>
            <w:tcBorders>
              <w:top w:val="nil"/>
            </w:tcBorders>
            <w:noWrap w:val="0"/>
            <w:vAlign w:val="center"/>
          </w:tcPr>
          <w:p w14:paraId="2A944157">
            <w:pPr>
              <w:pStyle w:val="5"/>
              <w:keepNext/>
              <w:snapToGrid w:val="0"/>
              <w:spacing w:after="0" w:line="360" w:lineRule="auto"/>
              <w:ind w:left="63" w:right="63"/>
              <w:rPr>
                <w:rFonts w:hint="eastAsia" w:ascii="仿宋_GB2312" w:hAnsi="仿宋_GB2312" w:eastAsia="仿宋_GB2312" w:cs="仿宋_GB2312"/>
                <w:color w:val="auto"/>
                <w:kern w:val="2"/>
                <w:sz w:val="32"/>
                <w:szCs w:val="32"/>
                <w:highlight w:val="none"/>
              </w:rPr>
            </w:pPr>
          </w:p>
        </w:tc>
        <w:tc>
          <w:tcPr>
            <w:tcW w:w="1942" w:type="dxa"/>
            <w:tcBorders>
              <w:top w:val="nil"/>
            </w:tcBorders>
            <w:noWrap w:val="0"/>
            <w:vAlign w:val="center"/>
          </w:tcPr>
          <w:p w14:paraId="29B3BB83">
            <w:pPr>
              <w:pStyle w:val="5"/>
              <w:keepNext/>
              <w:snapToGrid w:val="0"/>
              <w:spacing w:after="0" w:line="360" w:lineRule="auto"/>
              <w:ind w:left="63" w:right="63"/>
              <w:rPr>
                <w:rFonts w:hint="eastAsia" w:ascii="仿宋_GB2312" w:hAnsi="仿宋_GB2312" w:eastAsia="仿宋_GB2312" w:cs="仿宋_GB2312"/>
                <w:color w:val="auto"/>
                <w:kern w:val="2"/>
                <w:sz w:val="32"/>
                <w:szCs w:val="32"/>
                <w:highlight w:val="none"/>
              </w:rPr>
            </w:pPr>
          </w:p>
        </w:tc>
        <w:tc>
          <w:tcPr>
            <w:tcW w:w="1294" w:type="dxa"/>
            <w:tcBorders>
              <w:top w:val="nil"/>
            </w:tcBorders>
            <w:noWrap w:val="0"/>
            <w:vAlign w:val="center"/>
          </w:tcPr>
          <w:p w14:paraId="39811839">
            <w:pPr>
              <w:pStyle w:val="5"/>
              <w:keepNext/>
              <w:snapToGrid w:val="0"/>
              <w:spacing w:after="0" w:line="360" w:lineRule="auto"/>
              <w:ind w:left="63" w:right="63"/>
              <w:rPr>
                <w:rFonts w:hint="eastAsia" w:ascii="仿宋_GB2312" w:hAnsi="仿宋_GB2312" w:eastAsia="仿宋_GB2312" w:cs="仿宋_GB2312"/>
                <w:color w:val="auto"/>
                <w:kern w:val="2"/>
                <w:sz w:val="32"/>
                <w:szCs w:val="32"/>
                <w:highlight w:val="none"/>
              </w:rPr>
            </w:pPr>
          </w:p>
        </w:tc>
        <w:tc>
          <w:tcPr>
            <w:tcW w:w="777" w:type="dxa"/>
            <w:tcBorders>
              <w:top w:val="nil"/>
            </w:tcBorders>
            <w:noWrap w:val="0"/>
            <w:vAlign w:val="center"/>
          </w:tcPr>
          <w:p w14:paraId="3EA8BD07">
            <w:pPr>
              <w:pStyle w:val="5"/>
              <w:keepNext/>
              <w:snapToGrid w:val="0"/>
              <w:spacing w:after="0" w:line="360" w:lineRule="auto"/>
              <w:ind w:left="63" w:right="63"/>
              <w:rPr>
                <w:rFonts w:hint="eastAsia" w:ascii="仿宋_GB2312" w:hAnsi="仿宋_GB2312" w:eastAsia="仿宋_GB2312" w:cs="仿宋_GB2312"/>
                <w:color w:val="auto"/>
                <w:kern w:val="2"/>
                <w:sz w:val="32"/>
                <w:szCs w:val="32"/>
                <w:highlight w:val="none"/>
              </w:rPr>
            </w:pPr>
          </w:p>
        </w:tc>
        <w:tc>
          <w:tcPr>
            <w:tcW w:w="776" w:type="dxa"/>
            <w:tcBorders>
              <w:top w:val="nil"/>
            </w:tcBorders>
            <w:noWrap w:val="0"/>
            <w:vAlign w:val="center"/>
          </w:tcPr>
          <w:p w14:paraId="2FD989D8">
            <w:pPr>
              <w:pStyle w:val="5"/>
              <w:keepNext/>
              <w:snapToGrid w:val="0"/>
              <w:spacing w:after="0" w:line="360" w:lineRule="auto"/>
              <w:ind w:left="63" w:right="63"/>
              <w:rPr>
                <w:rFonts w:hint="eastAsia" w:ascii="仿宋_GB2312" w:hAnsi="仿宋_GB2312" w:eastAsia="仿宋_GB2312" w:cs="仿宋_GB2312"/>
                <w:color w:val="auto"/>
                <w:kern w:val="2"/>
                <w:sz w:val="32"/>
                <w:szCs w:val="32"/>
                <w:highlight w:val="none"/>
              </w:rPr>
            </w:pPr>
          </w:p>
        </w:tc>
      </w:tr>
      <w:permEnd w:id="96"/>
    </w:tbl>
    <w:p w14:paraId="6CFDF13F">
      <w:pPr>
        <w:snapToGrid w:val="0"/>
        <w:spacing w:line="360" w:lineRule="auto"/>
        <w:rPr>
          <w:rFonts w:ascii="仿宋" w:hAnsi="仿宋" w:eastAsia="仿宋" w:cs="仿宋"/>
          <w:b/>
          <w:color w:val="auto"/>
          <w:sz w:val="32"/>
          <w:szCs w:val="32"/>
          <w:highlight w:val="none"/>
        </w:rPr>
        <w:sectPr>
          <w:pgSz w:w="16838" w:h="11906" w:orient="landscape"/>
          <w:pgMar w:top="1440" w:right="1803" w:bottom="1440" w:left="1803" w:header="851" w:footer="992" w:gutter="0"/>
          <w:pgNumType w:fmt="decimal"/>
          <w:cols w:space="720" w:num="1"/>
          <w:titlePg/>
          <w:docGrid w:type="lines" w:linePitch="312" w:charSpace="0"/>
        </w:sectPr>
      </w:pPr>
    </w:p>
    <w:p w14:paraId="4BC4436A">
      <w:pPr>
        <w:snapToGrid/>
        <w:spacing w:line="576" w:lineRule="exact"/>
        <w:jc w:val="left"/>
        <w:outlineLvl w:val="2"/>
        <w:rPr>
          <w:rFonts w:hint="eastAsia" w:ascii="仿宋_GB2312" w:hAnsi="仿宋_GB2312" w:eastAsia="仿宋_GB2312" w:cs="仿宋_GB2312"/>
          <w:color w:val="auto"/>
          <w:sz w:val="32"/>
          <w:szCs w:val="32"/>
          <w:highlight w:val="none"/>
        </w:rPr>
      </w:pPr>
      <w:bookmarkStart w:id="2889" w:name="_Toc296346726"/>
      <w:bookmarkStart w:id="2890" w:name="_Toc9932"/>
      <w:bookmarkStart w:id="2891" w:name="_Toc8039"/>
      <w:bookmarkStart w:id="2892" w:name="_Toc24253"/>
      <w:bookmarkStart w:id="2893" w:name="_Toc32288"/>
      <w:bookmarkStart w:id="2894" w:name="_Toc267261692"/>
      <w:bookmarkStart w:id="2895" w:name="_Toc10565"/>
      <w:bookmarkStart w:id="2896" w:name="_Toc18788"/>
      <w:bookmarkStart w:id="2897" w:name="_Toc296891265"/>
      <w:bookmarkStart w:id="2898" w:name="_Toc296347224"/>
      <w:bookmarkStart w:id="2899" w:name="_Toc24216"/>
      <w:bookmarkStart w:id="2900" w:name="_Toc296891053"/>
      <w:bookmarkStart w:id="2901" w:name="_Toc296503225"/>
      <w:bookmarkStart w:id="2902" w:name="_Toc296944564"/>
      <w:bookmarkStart w:id="2903" w:name="_Toc15723"/>
      <w:r>
        <w:rPr>
          <w:rFonts w:hint="eastAsia" w:ascii="黑体" w:hAnsi="黑体" w:eastAsia="黑体" w:cs="黑体"/>
          <w:color w:val="auto"/>
          <w:sz w:val="32"/>
          <w:szCs w:val="32"/>
          <w:highlight w:val="none"/>
        </w:rPr>
        <w:t>附件2</w:t>
      </w:r>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p>
    <w:p w14:paraId="43E7395B">
      <w:pPr>
        <w:snapToGrid/>
        <w:spacing w:line="576" w:lineRule="exact"/>
        <w:jc w:val="center"/>
        <w:rPr>
          <w:rFonts w:hint="eastAsia" w:ascii="方正小标宋简体" w:hAnsi="方正小标宋简体" w:eastAsia="方正小标宋简体" w:cs="方正小标宋简体"/>
          <w:b w:val="0"/>
          <w:bCs w:val="0"/>
          <w:color w:val="auto"/>
          <w:sz w:val="44"/>
          <w:szCs w:val="44"/>
          <w:highlight w:val="none"/>
        </w:rPr>
      </w:pPr>
      <w:r>
        <w:rPr>
          <w:rFonts w:hint="eastAsia" w:ascii="方正小标宋简体" w:hAnsi="方正小标宋简体" w:eastAsia="方正小标宋简体" w:cs="方正小标宋简体"/>
          <w:b w:val="0"/>
          <w:bCs w:val="0"/>
          <w:color w:val="auto"/>
          <w:sz w:val="44"/>
          <w:szCs w:val="44"/>
          <w:highlight w:val="none"/>
        </w:rPr>
        <w:t>发包人供应材料设备一览表</w:t>
      </w:r>
    </w:p>
    <w:p w14:paraId="0E0896EF">
      <w:pPr>
        <w:autoSpaceDN w:val="0"/>
        <w:snapToGrid/>
        <w:spacing w:line="576" w:lineRule="exact"/>
        <w:jc w:val="center"/>
        <w:rPr>
          <w:rFonts w:ascii="仿宋" w:hAnsi="仿宋" w:eastAsia="仿宋" w:cs="仿宋"/>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 xml:space="preserve">     </w:t>
      </w:r>
      <w:bookmarkStart w:id="2904" w:name="_Toc296347225"/>
      <w:bookmarkStart w:id="2905" w:name="_Toc296891054"/>
      <w:bookmarkStart w:id="2906" w:name="_Toc296503226"/>
      <w:bookmarkStart w:id="2907" w:name="_Toc296891266"/>
      <w:bookmarkStart w:id="2908" w:name="_Toc296346727"/>
      <w:bookmarkStart w:id="2909" w:name="_Toc267261693"/>
      <w:bookmarkStart w:id="2910" w:name="_Toc296944565"/>
    </w:p>
    <w:p w14:paraId="461F7A3A">
      <w:pPr>
        <w:snapToGrid w:val="0"/>
        <w:spacing w:line="360" w:lineRule="auto"/>
        <w:jc w:val="left"/>
        <w:outlineLvl w:val="2"/>
        <w:rPr>
          <w:rFonts w:hint="eastAsia" w:ascii="仿宋_GB2312" w:hAnsi="仿宋_GB2312" w:eastAsia="仿宋_GB2312" w:cs="仿宋_GB2312"/>
          <w:color w:val="auto"/>
          <w:sz w:val="32"/>
          <w:szCs w:val="32"/>
          <w:highlight w:val="none"/>
        </w:rPr>
      </w:pPr>
      <w:bookmarkStart w:id="2911" w:name="_Toc29574"/>
      <w:bookmarkStart w:id="2912" w:name="_Toc4163"/>
      <w:bookmarkStart w:id="2913" w:name="_Toc8849"/>
      <w:bookmarkStart w:id="2914" w:name="_Toc19192"/>
      <w:bookmarkStart w:id="2915" w:name="_Toc3375"/>
      <w:bookmarkStart w:id="2916" w:name="_Toc20738"/>
      <w:bookmarkStart w:id="2917" w:name="_Toc24761"/>
      <w:r>
        <w:rPr>
          <w:rFonts w:hint="eastAsia" w:ascii="仿宋" w:hAnsi="仿宋" w:eastAsia="仿宋" w:cs="仿宋"/>
          <w:color w:val="auto"/>
          <w:sz w:val="32"/>
          <w:szCs w:val="32"/>
          <w:highlight w:val="none"/>
        </w:rPr>
        <w:br w:type="page"/>
      </w:r>
      <w:bookmarkStart w:id="2918" w:name="_Toc1585"/>
      <w:r>
        <w:rPr>
          <w:rFonts w:hint="eastAsia" w:ascii="黑体" w:hAnsi="黑体" w:eastAsia="黑体" w:cs="黑体"/>
          <w:color w:val="auto"/>
          <w:sz w:val="32"/>
          <w:szCs w:val="32"/>
          <w:highlight w:val="none"/>
        </w:rPr>
        <w:t>附件3</w:t>
      </w:r>
      <w:bookmarkEnd w:id="2911"/>
      <w:bookmarkEnd w:id="2912"/>
      <w:bookmarkEnd w:id="2913"/>
      <w:bookmarkEnd w:id="2914"/>
      <w:bookmarkEnd w:id="2915"/>
      <w:bookmarkEnd w:id="2916"/>
      <w:bookmarkEnd w:id="2917"/>
      <w:bookmarkEnd w:id="2918"/>
    </w:p>
    <w:p w14:paraId="43044C90">
      <w:pPr>
        <w:keepNext/>
        <w:keepLines/>
        <w:snapToGrid w:val="0"/>
        <w:spacing w:line="360" w:lineRule="auto"/>
        <w:jc w:val="center"/>
        <w:rPr>
          <w:rFonts w:hint="eastAsia" w:ascii="方正小标宋简体" w:hAnsi="方正小标宋简体" w:eastAsia="方正小标宋简体" w:cs="方正小标宋简体"/>
          <w:b w:val="0"/>
          <w:bCs w:val="0"/>
          <w:color w:val="auto"/>
          <w:sz w:val="44"/>
          <w:szCs w:val="44"/>
          <w:highlight w:val="none"/>
        </w:rPr>
      </w:pPr>
      <w:r>
        <w:rPr>
          <w:rFonts w:hint="eastAsia" w:ascii="方正小标宋简体" w:hAnsi="方正小标宋简体" w:eastAsia="方正小标宋简体" w:cs="方正小标宋简体"/>
          <w:b w:val="0"/>
          <w:bCs w:val="0"/>
          <w:color w:val="auto"/>
          <w:sz w:val="44"/>
          <w:szCs w:val="44"/>
          <w:highlight w:val="none"/>
        </w:rPr>
        <w:t>主要建设工程文件目录</w:t>
      </w:r>
    </w:p>
    <w:tbl>
      <w:tblPr>
        <w:tblStyle w:val="13"/>
        <w:tblW w:w="900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00"/>
        <w:gridCol w:w="1500"/>
        <w:gridCol w:w="1500"/>
        <w:gridCol w:w="1501"/>
        <w:gridCol w:w="1501"/>
        <w:gridCol w:w="1501"/>
      </w:tblGrid>
      <w:tr w14:paraId="46094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0" w:type="dxa"/>
            <w:noWrap w:val="0"/>
            <w:vAlign w:val="top"/>
          </w:tcPr>
          <w:p w14:paraId="361867B7">
            <w:pPr>
              <w:autoSpaceDN w:val="0"/>
              <w:snapToGrid w:val="0"/>
              <w:spacing w:line="360" w:lineRule="auto"/>
              <w:ind w:firstLine="32" w:firstLineChars="10"/>
              <w:rPr>
                <w:rFonts w:hint="eastAsia" w:ascii="仿宋_GB2312" w:hAnsi="仿宋_GB2312" w:eastAsia="仿宋_GB2312" w:cs="仿宋_GB2312"/>
                <w:color w:val="auto"/>
                <w:sz w:val="32"/>
                <w:szCs w:val="32"/>
                <w:highlight w:val="none"/>
              </w:rPr>
            </w:pPr>
            <w:permStart w:id="97" w:edGrp="everyone"/>
            <w:r>
              <w:rPr>
                <w:rFonts w:hint="eastAsia" w:ascii="仿宋_GB2312" w:hAnsi="仿宋_GB2312" w:eastAsia="仿宋_GB2312" w:cs="仿宋_GB2312"/>
                <w:color w:val="auto"/>
                <w:sz w:val="32"/>
                <w:szCs w:val="32"/>
                <w:highlight w:val="none"/>
              </w:rPr>
              <w:t>文件名称</w:t>
            </w:r>
          </w:p>
        </w:tc>
        <w:tc>
          <w:tcPr>
            <w:tcW w:w="1500" w:type="dxa"/>
            <w:noWrap w:val="0"/>
            <w:vAlign w:val="top"/>
          </w:tcPr>
          <w:p w14:paraId="268666A9">
            <w:pPr>
              <w:autoSpaceDN w:val="0"/>
              <w:snapToGrid w:val="0"/>
              <w:spacing w:line="360" w:lineRule="auto"/>
              <w:ind w:firstLine="32" w:firstLineChars="1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套数</w:t>
            </w:r>
          </w:p>
        </w:tc>
        <w:tc>
          <w:tcPr>
            <w:tcW w:w="1500" w:type="dxa"/>
            <w:noWrap w:val="0"/>
            <w:vAlign w:val="top"/>
          </w:tcPr>
          <w:p w14:paraId="6A6E2B63">
            <w:pPr>
              <w:autoSpaceDN w:val="0"/>
              <w:snapToGrid w:val="0"/>
              <w:spacing w:line="360" w:lineRule="auto"/>
              <w:ind w:firstLine="32" w:firstLineChars="1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费用（元）</w:t>
            </w:r>
          </w:p>
        </w:tc>
        <w:tc>
          <w:tcPr>
            <w:tcW w:w="1501" w:type="dxa"/>
            <w:noWrap w:val="0"/>
            <w:vAlign w:val="top"/>
          </w:tcPr>
          <w:p w14:paraId="1BFF41AA">
            <w:pPr>
              <w:autoSpaceDN w:val="0"/>
              <w:snapToGrid w:val="0"/>
              <w:spacing w:line="360" w:lineRule="auto"/>
              <w:ind w:firstLine="32" w:firstLineChars="1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质量</w:t>
            </w:r>
          </w:p>
        </w:tc>
        <w:tc>
          <w:tcPr>
            <w:tcW w:w="1501" w:type="dxa"/>
            <w:noWrap w:val="0"/>
            <w:vAlign w:val="top"/>
          </w:tcPr>
          <w:p w14:paraId="4F484187">
            <w:pPr>
              <w:autoSpaceDN w:val="0"/>
              <w:snapToGrid w:val="0"/>
              <w:spacing w:line="360" w:lineRule="auto"/>
              <w:ind w:firstLine="32" w:firstLineChars="1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移交时间</w:t>
            </w:r>
          </w:p>
        </w:tc>
        <w:tc>
          <w:tcPr>
            <w:tcW w:w="1501" w:type="dxa"/>
            <w:noWrap w:val="0"/>
            <w:vAlign w:val="top"/>
          </w:tcPr>
          <w:p w14:paraId="49BD8954">
            <w:pPr>
              <w:autoSpaceDN w:val="0"/>
              <w:snapToGrid w:val="0"/>
              <w:spacing w:line="360" w:lineRule="auto"/>
              <w:ind w:firstLine="32" w:firstLineChars="1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责任人</w:t>
            </w:r>
          </w:p>
        </w:tc>
      </w:tr>
      <w:tr w14:paraId="458D0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0" w:type="dxa"/>
            <w:noWrap w:val="0"/>
            <w:vAlign w:val="top"/>
          </w:tcPr>
          <w:p w14:paraId="543DE260">
            <w:pPr>
              <w:autoSpaceDN w:val="0"/>
              <w:snapToGrid w:val="0"/>
              <w:spacing w:line="360" w:lineRule="auto"/>
              <w:ind w:firstLine="32" w:firstLineChars="1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图纸</w:t>
            </w:r>
          </w:p>
        </w:tc>
        <w:tc>
          <w:tcPr>
            <w:tcW w:w="1500" w:type="dxa"/>
            <w:noWrap w:val="0"/>
            <w:vAlign w:val="top"/>
          </w:tcPr>
          <w:p w14:paraId="3F3A31FA">
            <w:pPr>
              <w:autoSpaceDN w:val="0"/>
              <w:snapToGrid w:val="0"/>
              <w:spacing w:line="360" w:lineRule="auto"/>
              <w:ind w:firstLine="32" w:firstLineChars="1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 </w:t>
            </w:r>
          </w:p>
        </w:tc>
        <w:tc>
          <w:tcPr>
            <w:tcW w:w="1500" w:type="dxa"/>
            <w:noWrap w:val="0"/>
            <w:vAlign w:val="top"/>
          </w:tcPr>
          <w:p w14:paraId="52CCF3E7">
            <w:pPr>
              <w:autoSpaceDN w:val="0"/>
              <w:snapToGrid w:val="0"/>
              <w:spacing w:line="360" w:lineRule="auto"/>
              <w:ind w:firstLine="32" w:firstLineChars="10"/>
              <w:rPr>
                <w:rFonts w:hint="eastAsia" w:ascii="仿宋_GB2312" w:hAnsi="仿宋_GB2312" w:eastAsia="仿宋_GB2312" w:cs="仿宋_GB2312"/>
                <w:color w:val="auto"/>
                <w:sz w:val="32"/>
                <w:szCs w:val="32"/>
                <w:highlight w:val="none"/>
              </w:rPr>
            </w:pPr>
          </w:p>
        </w:tc>
        <w:tc>
          <w:tcPr>
            <w:tcW w:w="1501" w:type="dxa"/>
            <w:noWrap w:val="0"/>
            <w:vAlign w:val="top"/>
          </w:tcPr>
          <w:p w14:paraId="128AD0D1">
            <w:pPr>
              <w:autoSpaceDN w:val="0"/>
              <w:snapToGrid w:val="0"/>
              <w:spacing w:line="360" w:lineRule="auto"/>
              <w:ind w:firstLine="32" w:firstLineChars="10"/>
              <w:rPr>
                <w:rFonts w:hint="eastAsia" w:ascii="仿宋_GB2312" w:hAnsi="仿宋_GB2312" w:eastAsia="仿宋_GB2312" w:cs="仿宋_GB2312"/>
                <w:color w:val="auto"/>
                <w:sz w:val="32"/>
                <w:szCs w:val="32"/>
                <w:highlight w:val="none"/>
              </w:rPr>
            </w:pPr>
          </w:p>
        </w:tc>
        <w:tc>
          <w:tcPr>
            <w:tcW w:w="1501" w:type="dxa"/>
            <w:noWrap w:val="0"/>
            <w:vAlign w:val="top"/>
          </w:tcPr>
          <w:p w14:paraId="28B98604">
            <w:pPr>
              <w:autoSpaceDN w:val="0"/>
              <w:snapToGrid w:val="0"/>
              <w:spacing w:line="360" w:lineRule="auto"/>
              <w:ind w:firstLine="32" w:firstLineChars="10"/>
              <w:rPr>
                <w:rFonts w:hint="eastAsia" w:ascii="仿宋_GB2312" w:hAnsi="仿宋_GB2312" w:eastAsia="仿宋_GB2312" w:cs="仿宋_GB2312"/>
                <w:color w:val="auto"/>
                <w:sz w:val="32"/>
                <w:szCs w:val="32"/>
                <w:highlight w:val="none"/>
              </w:rPr>
            </w:pPr>
          </w:p>
        </w:tc>
        <w:tc>
          <w:tcPr>
            <w:tcW w:w="1501" w:type="dxa"/>
            <w:noWrap w:val="0"/>
            <w:vAlign w:val="top"/>
          </w:tcPr>
          <w:p w14:paraId="581CC985">
            <w:pPr>
              <w:autoSpaceDN w:val="0"/>
              <w:snapToGrid w:val="0"/>
              <w:spacing w:line="360" w:lineRule="auto"/>
              <w:ind w:firstLine="32" w:firstLineChars="10"/>
              <w:rPr>
                <w:rFonts w:hint="eastAsia" w:ascii="仿宋_GB2312" w:hAnsi="仿宋_GB2312" w:eastAsia="仿宋_GB2312" w:cs="仿宋_GB2312"/>
                <w:color w:val="auto"/>
                <w:sz w:val="32"/>
                <w:szCs w:val="32"/>
                <w:highlight w:val="none"/>
              </w:rPr>
            </w:pPr>
          </w:p>
        </w:tc>
      </w:tr>
      <w:tr w14:paraId="0ACC6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0" w:type="dxa"/>
            <w:noWrap w:val="0"/>
            <w:vAlign w:val="top"/>
          </w:tcPr>
          <w:p w14:paraId="0B6E85BD">
            <w:pPr>
              <w:autoSpaceDN w:val="0"/>
              <w:snapToGrid w:val="0"/>
              <w:spacing w:line="360" w:lineRule="auto"/>
              <w:ind w:firstLine="32" w:firstLineChars="1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竣工结算资料</w:t>
            </w:r>
          </w:p>
        </w:tc>
        <w:tc>
          <w:tcPr>
            <w:tcW w:w="1500" w:type="dxa"/>
            <w:noWrap w:val="0"/>
            <w:vAlign w:val="top"/>
          </w:tcPr>
          <w:p w14:paraId="5C3E2656">
            <w:pPr>
              <w:autoSpaceDN w:val="0"/>
              <w:snapToGrid w:val="0"/>
              <w:spacing w:line="360" w:lineRule="auto"/>
              <w:ind w:firstLine="32" w:firstLineChars="10"/>
              <w:rPr>
                <w:rFonts w:hint="eastAsia" w:ascii="仿宋_GB2312" w:hAnsi="仿宋_GB2312" w:eastAsia="仿宋_GB2312" w:cs="仿宋_GB2312"/>
                <w:color w:val="auto"/>
                <w:sz w:val="32"/>
                <w:szCs w:val="32"/>
                <w:highlight w:val="none"/>
              </w:rPr>
            </w:pPr>
          </w:p>
        </w:tc>
        <w:tc>
          <w:tcPr>
            <w:tcW w:w="1500" w:type="dxa"/>
            <w:noWrap w:val="0"/>
            <w:vAlign w:val="top"/>
          </w:tcPr>
          <w:p w14:paraId="2D9F1496">
            <w:pPr>
              <w:autoSpaceDN w:val="0"/>
              <w:snapToGrid w:val="0"/>
              <w:spacing w:line="360" w:lineRule="auto"/>
              <w:ind w:firstLine="32" w:firstLineChars="10"/>
              <w:rPr>
                <w:rFonts w:hint="eastAsia" w:ascii="仿宋_GB2312" w:hAnsi="仿宋_GB2312" w:eastAsia="仿宋_GB2312" w:cs="仿宋_GB2312"/>
                <w:color w:val="auto"/>
                <w:sz w:val="32"/>
                <w:szCs w:val="32"/>
                <w:highlight w:val="none"/>
              </w:rPr>
            </w:pPr>
          </w:p>
        </w:tc>
        <w:tc>
          <w:tcPr>
            <w:tcW w:w="1501" w:type="dxa"/>
            <w:noWrap w:val="0"/>
            <w:vAlign w:val="top"/>
          </w:tcPr>
          <w:p w14:paraId="7EF92760">
            <w:pPr>
              <w:autoSpaceDN w:val="0"/>
              <w:snapToGrid w:val="0"/>
              <w:spacing w:line="360" w:lineRule="auto"/>
              <w:ind w:firstLine="32" w:firstLineChars="10"/>
              <w:rPr>
                <w:rFonts w:hint="eastAsia" w:ascii="仿宋_GB2312" w:hAnsi="仿宋_GB2312" w:eastAsia="仿宋_GB2312" w:cs="仿宋_GB2312"/>
                <w:color w:val="auto"/>
                <w:sz w:val="32"/>
                <w:szCs w:val="32"/>
                <w:highlight w:val="none"/>
              </w:rPr>
            </w:pPr>
          </w:p>
        </w:tc>
        <w:tc>
          <w:tcPr>
            <w:tcW w:w="1501" w:type="dxa"/>
            <w:noWrap w:val="0"/>
            <w:vAlign w:val="top"/>
          </w:tcPr>
          <w:p w14:paraId="2FB47C33">
            <w:pPr>
              <w:autoSpaceDN w:val="0"/>
              <w:snapToGrid w:val="0"/>
              <w:spacing w:line="360" w:lineRule="auto"/>
              <w:ind w:firstLine="32" w:firstLineChars="10"/>
              <w:rPr>
                <w:rFonts w:hint="eastAsia" w:ascii="仿宋_GB2312" w:hAnsi="仿宋_GB2312" w:eastAsia="仿宋_GB2312" w:cs="仿宋_GB2312"/>
                <w:color w:val="auto"/>
                <w:sz w:val="32"/>
                <w:szCs w:val="32"/>
                <w:highlight w:val="none"/>
              </w:rPr>
            </w:pPr>
          </w:p>
        </w:tc>
        <w:tc>
          <w:tcPr>
            <w:tcW w:w="1501" w:type="dxa"/>
            <w:noWrap w:val="0"/>
            <w:vAlign w:val="top"/>
          </w:tcPr>
          <w:p w14:paraId="7F2EA9A4">
            <w:pPr>
              <w:autoSpaceDN w:val="0"/>
              <w:snapToGrid w:val="0"/>
              <w:spacing w:line="360" w:lineRule="auto"/>
              <w:ind w:firstLine="32" w:firstLineChars="10"/>
              <w:rPr>
                <w:rFonts w:hint="eastAsia" w:ascii="仿宋_GB2312" w:hAnsi="仿宋_GB2312" w:eastAsia="仿宋_GB2312" w:cs="仿宋_GB2312"/>
                <w:color w:val="auto"/>
                <w:sz w:val="32"/>
                <w:szCs w:val="32"/>
                <w:highlight w:val="none"/>
              </w:rPr>
            </w:pPr>
          </w:p>
        </w:tc>
      </w:tr>
      <w:tr w14:paraId="2CC43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0" w:type="dxa"/>
            <w:noWrap w:val="0"/>
            <w:vAlign w:val="top"/>
          </w:tcPr>
          <w:p w14:paraId="5024A204">
            <w:pPr>
              <w:autoSpaceDN w:val="0"/>
              <w:snapToGrid w:val="0"/>
              <w:spacing w:line="360" w:lineRule="auto"/>
              <w:ind w:firstLine="32" w:firstLineChars="10"/>
              <w:rPr>
                <w:rFonts w:hint="eastAsia" w:ascii="仿宋_GB2312" w:hAnsi="仿宋_GB2312" w:eastAsia="仿宋_GB2312" w:cs="仿宋_GB2312"/>
                <w:color w:val="auto"/>
                <w:sz w:val="32"/>
                <w:szCs w:val="32"/>
                <w:highlight w:val="none"/>
              </w:rPr>
            </w:pPr>
          </w:p>
        </w:tc>
        <w:tc>
          <w:tcPr>
            <w:tcW w:w="1500" w:type="dxa"/>
            <w:noWrap w:val="0"/>
            <w:vAlign w:val="top"/>
          </w:tcPr>
          <w:p w14:paraId="1B5BA5B1">
            <w:pPr>
              <w:autoSpaceDN w:val="0"/>
              <w:snapToGrid w:val="0"/>
              <w:spacing w:line="360" w:lineRule="auto"/>
              <w:ind w:firstLine="32" w:firstLineChars="10"/>
              <w:rPr>
                <w:rFonts w:hint="eastAsia" w:ascii="仿宋_GB2312" w:hAnsi="仿宋_GB2312" w:eastAsia="仿宋_GB2312" w:cs="仿宋_GB2312"/>
                <w:color w:val="auto"/>
                <w:sz w:val="32"/>
                <w:szCs w:val="32"/>
                <w:highlight w:val="none"/>
              </w:rPr>
            </w:pPr>
          </w:p>
        </w:tc>
        <w:tc>
          <w:tcPr>
            <w:tcW w:w="1500" w:type="dxa"/>
            <w:noWrap w:val="0"/>
            <w:vAlign w:val="top"/>
          </w:tcPr>
          <w:p w14:paraId="0C480262">
            <w:pPr>
              <w:autoSpaceDN w:val="0"/>
              <w:snapToGrid w:val="0"/>
              <w:spacing w:line="360" w:lineRule="auto"/>
              <w:ind w:firstLine="32" w:firstLineChars="10"/>
              <w:rPr>
                <w:rFonts w:hint="eastAsia" w:ascii="仿宋_GB2312" w:hAnsi="仿宋_GB2312" w:eastAsia="仿宋_GB2312" w:cs="仿宋_GB2312"/>
                <w:color w:val="auto"/>
                <w:sz w:val="32"/>
                <w:szCs w:val="32"/>
                <w:highlight w:val="none"/>
              </w:rPr>
            </w:pPr>
          </w:p>
        </w:tc>
        <w:tc>
          <w:tcPr>
            <w:tcW w:w="1501" w:type="dxa"/>
            <w:noWrap w:val="0"/>
            <w:vAlign w:val="top"/>
          </w:tcPr>
          <w:p w14:paraId="15A67144">
            <w:pPr>
              <w:autoSpaceDN w:val="0"/>
              <w:snapToGrid w:val="0"/>
              <w:spacing w:line="360" w:lineRule="auto"/>
              <w:ind w:firstLine="32" w:firstLineChars="10"/>
              <w:rPr>
                <w:rFonts w:hint="eastAsia" w:ascii="仿宋_GB2312" w:hAnsi="仿宋_GB2312" w:eastAsia="仿宋_GB2312" w:cs="仿宋_GB2312"/>
                <w:color w:val="auto"/>
                <w:sz w:val="32"/>
                <w:szCs w:val="32"/>
                <w:highlight w:val="none"/>
              </w:rPr>
            </w:pPr>
          </w:p>
        </w:tc>
        <w:tc>
          <w:tcPr>
            <w:tcW w:w="1501" w:type="dxa"/>
            <w:noWrap w:val="0"/>
            <w:vAlign w:val="top"/>
          </w:tcPr>
          <w:p w14:paraId="1BD1CE3B">
            <w:pPr>
              <w:autoSpaceDN w:val="0"/>
              <w:snapToGrid w:val="0"/>
              <w:spacing w:line="360" w:lineRule="auto"/>
              <w:ind w:firstLine="32" w:firstLineChars="10"/>
              <w:rPr>
                <w:rFonts w:hint="eastAsia" w:ascii="仿宋_GB2312" w:hAnsi="仿宋_GB2312" w:eastAsia="仿宋_GB2312" w:cs="仿宋_GB2312"/>
                <w:color w:val="auto"/>
                <w:sz w:val="32"/>
                <w:szCs w:val="32"/>
                <w:highlight w:val="none"/>
              </w:rPr>
            </w:pPr>
          </w:p>
        </w:tc>
        <w:tc>
          <w:tcPr>
            <w:tcW w:w="1501" w:type="dxa"/>
            <w:noWrap w:val="0"/>
            <w:vAlign w:val="top"/>
          </w:tcPr>
          <w:p w14:paraId="2185DAF4">
            <w:pPr>
              <w:autoSpaceDN w:val="0"/>
              <w:snapToGrid w:val="0"/>
              <w:spacing w:line="360" w:lineRule="auto"/>
              <w:ind w:firstLine="32" w:firstLineChars="10"/>
              <w:rPr>
                <w:rFonts w:hint="eastAsia" w:ascii="仿宋_GB2312" w:hAnsi="仿宋_GB2312" w:eastAsia="仿宋_GB2312" w:cs="仿宋_GB2312"/>
                <w:color w:val="auto"/>
                <w:sz w:val="32"/>
                <w:szCs w:val="32"/>
                <w:highlight w:val="none"/>
              </w:rPr>
            </w:pPr>
          </w:p>
        </w:tc>
      </w:tr>
      <w:tr w14:paraId="317E5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0" w:type="dxa"/>
            <w:noWrap w:val="0"/>
            <w:vAlign w:val="top"/>
          </w:tcPr>
          <w:p w14:paraId="7E995CB9">
            <w:pPr>
              <w:autoSpaceDN w:val="0"/>
              <w:snapToGrid w:val="0"/>
              <w:spacing w:line="360" w:lineRule="auto"/>
              <w:ind w:firstLine="32" w:firstLineChars="10"/>
              <w:rPr>
                <w:rFonts w:hint="eastAsia" w:ascii="仿宋_GB2312" w:hAnsi="仿宋_GB2312" w:eastAsia="仿宋_GB2312" w:cs="仿宋_GB2312"/>
                <w:color w:val="auto"/>
                <w:sz w:val="32"/>
                <w:szCs w:val="32"/>
                <w:highlight w:val="none"/>
              </w:rPr>
            </w:pPr>
          </w:p>
        </w:tc>
        <w:tc>
          <w:tcPr>
            <w:tcW w:w="1500" w:type="dxa"/>
            <w:noWrap w:val="0"/>
            <w:vAlign w:val="top"/>
          </w:tcPr>
          <w:p w14:paraId="0F51E6D6">
            <w:pPr>
              <w:autoSpaceDN w:val="0"/>
              <w:snapToGrid w:val="0"/>
              <w:spacing w:line="360" w:lineRule="auto"/>
              <w:ind w:firstLine="32" w:firstLineChars="10"/>
              <w:rPr>
                <w:rFonts w:hint="eastAsia" w:ascii="仿宋_GB2312" w:hAnsi="仿宋_GB2312" w:eastAsia="仿宋_GB2312" w:cs="仿宋_GB2312"/>
                <w:color w:val="auto"/>
                <w:sz w:val="32"/>
                <w:szCs w:val="32"/>
                <w:highlight w:val="none"/>
              </w:rPr>
            </w:pPr>
          </w:p>
        </w:tc>
        <w:tc>
          <w:tcPr>
            <w:tcW w:w="1500" w:type="dxa"/>
            <w:noWrap w:val="0"/>
            <w:vAlign w:val="top"/>
          </w:tcPr>
          <w:p w14:paraId="4A7EE332">
            <w:pPr>
              <w:autoSpaceDN w:val="0"/>
              <w:snapToGrid w:val="0"/>
              <w:spacing w:line="360" w:lineRule="auto"/>
              <w:ind w:firstLine="32" w:firstLineChars="10"/>
              <w:rPr>
                <w:rFonts w:hint="eastAsia" w:ascii="仿宋_GB2312" w:hAnsi="仿宋_GB2312" w:eastAsia="仿宋_GB2312" w:cs="仿宋_GB2312"/>
                <w:color w:val="auto"/>
                <w:sz w:val="32"/>
                <w:szCs w:val="32"/>
                <w:highlight w:val="none"/>
              </w:rPr>
            </w:pPr>
          </w:p>
        </w:tc>
        <w:tc>
          <w:tcPr>
            <w:tcW w:w="1501" w:type="dxa"/>
            <w:noWrap w:val="0"/>
            <w:vAlign w:val="top"/>
          </w:tcPr>
          <w:p w14:paraId="7535AD84">
            <w:pPr>
              <w:autoSpaceDN w:val="0"/>
              <w:snapToGrid w:val="0"/>
              <w:spacing w:line="360" w:lineRule="auto"/>
              <w:ind w:firstLine="32" w:firstLineChars="10"/>
              <w:rPr>
                <w:rFonts w:hint="eastAsia" w:ascii="仿宋_GB2312" w:hAnsi="仿宋_GB2312" w:eastAsia="仿宋_GB2312" w:cs="仿宋_GB2312"/>
                <w:color w:val="auto"/>
                <w:sz w:val="32"/>
                <w:szCs w:val="32"/>
                <w:highlight w:val="none"/>
              </w:rPr>
            </w:pPr>
          </w:p>
        </w:tc>
        <w:tc>
          <w:tcPr>
            <w:tcW w:w="1501" w:type="dxa"/>
            <w:noWrap w:val="0"/>
            <w:vAlign w:val="top"/>
          </w:tcPr>
          <w:p w14:paraId="5F0DBB49">
            <w:pPr>
              <w:autoSpaceDN w:val="0"/>
              <w:snapToGrid w:val="0"/>
              <w:spacing w:line="360" w:lineRule="auto"/>
              <w:ind w:firstLine="32" w:firstLineChars="10"/>
              <w:rPr>
                <w:rFonts w:hint="eastAsia" w:ascii="仿宋_GB2312" w:hAnsi="仿宋_GB2312" w:eastAsia="仿宋_GB2312" w:cs="仿宋_GB2312"/>
                <w:color w:val="auto"/>
                <w:sz w:val="32"/>
                <w:szCs w:val="32"/>
                <w:highlight w:val="none"/>
              </w:rPr>
            </w:pPr>
          </w:p>
        </w:tc>
        <w:tc>
          <w:tcPr>
            <w:tcW w:w="1501" w:type="dxa"/>
            <w:noWrap w:val="0"/>
            <w:vAlign w:val="top"/>
          </w:tcPr>
          <w:p w14:paraId="7AB5DCAA">
            <w:pPr>
              <w:autoSpaceDN w:val="0"/>
              <w:snapToGrid w:val="0"/>
              <w:spacing w:line="360" w:lineRule="auto"/>
              <w:ind w:firstLine="32" w:firstLineChars="10"/>
              <w:rPr>
                <w:rFonts w:hint="eastAsia" w:ascii="仿宋_GB2312" w:hAnsi="仿宋_GB2312" w:eastAsia="仿宋_GB2312" w:cs="仿宋_GB2312"/>
                <w:color w:val="auto"/>
                <w:sz w:val="32"/>
                <w:szCs w:val="32"/>
                <w:highlight w:val="none"/>
              </w:rPr>
            </w:pPr>
          </w:p>
        </w:tc>
      </w:tr>
      <w:tr w14:paraId="67008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0" w:type="dxa"/>
            <w:noWrap w:val="0"/>
            <w:vAlign w:val="top"/>
          </w:tcPr>
          <w:p w14:paraId="22C275F3">
            <w:pPr>
              <w:autoSpaceDN w:val="0"/>
              <w:snapToGrid w:val="0"/>
              <w:spacing w:line="360" w:lineRule="auto"/>
              <w:ind w:firstLine="32" w:firstLineChars="10"/>
              <w:rPr>
                <w:rFonts w:hint="eastAsia" w:ascii="仿宋_GB2312" w:hAnsi="仿宋_GB2312" w:eastAsia="仿宋_GB2312" w:cs="仿宋_GB2312"/>
                <w:color w:val="auto"/>
                <w:sz w:val="32"/>
                <w:szCs w:val="32"/>
                <w:highlight w:val="none"/>
              </w:rPr>
            </w:pPr>
          </w:p>
        </w:tc>
        <w:tc>
          <w:tcPr>
            <w:tcW w:w="1500" w:type="dxa"/>
            <w:noWrap w:val="0"/>
            <w:vAlign w:val="top"/>
          </w:tcPr>
          <w:p w14:paraId="4472C9AB">
            <w:pPr>
              <w:autoSpaceDN w:val="0"/>
              <w:snapToGrid w:val="0"/>
              <w:spacing w:line="360" w:lineRule="auto"/>
              <w:ind w:firstLine="32" w:firstLineChars="10"/>
              <w:rPr>
                <w:rFonts w:hint="eastAsia" w:ascii="仿宋_GB2312" w:hAnsi="仿宋_GB2312" w:eastAsia="仿宋_GB2312" w:cs="仿宋_GB2312"/>
                <w:color w:val="auto"/>
                <w:sz w:val="32"/>
                <w:szCs w:val="32"/>
                <w:highlight w:val="none"/>
              </w:rPr>
            </w:pPr>
          </w:p>
        </w:tc>
        <w:tc>
          <w:tcPr>
            <w:tcW w:w="1500" w:type="dxa"/>
            <w:noWrap w:val="0"/>
            <w:vAlign w:val="top"/>
          </w:tcPr>
          <w:p w14:paraId="77C6BB5B">
            <w:pPr>
              <w:autoSpaceDN w:val="0"/>
              <w:snapToGrid w:val="0"/>
              <w:spacing w:line="360" w:lineRule="auto"/>
              <w:ind w:firstLine="32" w:firstLineChars="10"/>
              <w:rPr>
                <w:rFonts w:hint="eastAsia" w:ascii="仿宋_GB2312" w:hAnsi="仿宋_GB2312" w:eastAsia="仿宋_GB2312" w:cs="仿宋_GB2312"/>
                <w:color w:val="auto"/>
                <w:sz w:val="32"/>
                <w:szCs w:val="32"/>
                <w:highlight w:val="none"/>
              </w:rPr>
            </w:pPr>
          </w:p>
        </w:tc>
        <w:tc>
          <w:tcPr>
            <w:tcW w:w="1501" w:type="dxa"/>
            <w:noWrap w:val="0"/>
            <w:vAlign w:val="top"/>
          </w:tcPr>
          <w:p w14:paraId="7DA89062">
            <w:pPr>
              <w:autoSpaceDN w:val="0"/>
              <w:snapToGrid w:val="0"/>
              <w:spacing w:line="360" w:lineRule="auto"/>
              <w:ind w:firstLine="32" w:firstLineChars="10"/>
              <w:rPr>
                <w:rFonts w:hint="eastAsia" w:ascii="仿宋_GB2312" w:hAnsi="仿宋_GB2312" w:eastAsia="仿宋_GB2312" w:cs="仿宋_GB2312"/>
                <w:color w:val="auto"/>
                <w:sz w:val="32"/>
                <w:szCs w:val="32"/>
                <w:highlight w:val="none"/>
              </w:rPr>
            </w:pPr>
          </w:p>
        </w:tc>
        <w:tc>
          <w:tcPr>
            <w:tcW w:w="1501" w:type="dxa"/>
            <w:noWrap w:val="0"/>
            <w:vAlign w:val="top"/>
          </w:tcPr>
          <w:p w14:paraId="74A6D3EA">
            <w:pPr>
              <w:autoSpaceDN w:val="0"/>
              <w:snapToGrid w:val="0"/>
              <w:spacing w:line="360" w:lineRule="auto"/>
              <w:ind w:firstLine="32" w:firstLineChars="10"/>
              <w:rPr>
                <w:rFonts w:hint="eastAsia" w:ascii="仿宋_GB2312" w:hAnsi="仿宋_GB2312" w:eastAsia="仿宋_GB2312" w:cs="仿宋_GB2312"/>
                <w:color w:val="auto"/>
                <w:sz w:val="32"/>
                <w:szCs w:val="32"/>
                <w:highlight w:val="none"/>
              </w:rPr>
            </w:pPr>
          </w:p>
        </w:tc>
        <w:tc>
          <w:tcPr>
            <w:tcW w:w="1501" w:type="dxa"/>
            <w:noWrap w:val="0"/>
            <w:vAlign w:val="top"/>
          </w:tcPr>
          <w:p w14:paraId="472476B1">
            <w:pPr>
              <w:autoSpaceDN w:val="0"/>
              <w:snapToGrid w:val="0"/>
              <w:spacing w:line="360" w:lineRule="auto"/>
              <w:ind w:firstLine="32" w:firstLineChars="10"/>
              <w:rPr>
                <w:rFonts w:hint="eastAsia" w:ascii="仿宋_GB2312" w:hAnsi="仿宋_GB2312" w:eastAsia="仿宋_GB2312" w:cs="仿宋_GB2312"/>
                <w:color w:val="auto"/>
                <w:sz w:val="32"/>
                <w:szCs w:val="32"/>
                <w:highlight w:val="none"/>
              </w:rPr>
            </w:pPr>
          </w:p>
        </w:tc>
      </w:tr>
      <w:tr w14:paraId="6185B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0" w:type="dxa"/>
            <w:noWrap w:val="0"/>
            <w:vAlign w:val="top"/>
          </w:tcPr>
          <w:p w14:paraId="1740DE0A">
            <w:pPr>
              <w:autoSpaceDN w:val="0"/>
              <w:snapToGrid w:val="0"/>
              <w:spacing w:line="360" w:lineRule="auto"/>
              <w:ind w:firstLine="32" w:firstLineChars="10"/>
              <w:rPr>
                <w:rFonts w:hint="eastAsia" w:ascii="仿宋_GB2312" w:hAnsi="仿宋_GB2312" w:eastAsia="仿宋_GB2312" w:cs="仿宋_GB2312"/>
                <w:color w:val="auto"/>
                <w:sz w:val="32"/>
                <w:szCs w:val="32"/>
                <w:highlight w:val="none"/>
              </w:rPr>
            </w:pPr>
          </w:p>
        </w:tc>
        <w:tc>
          <w:tcPr>
            <w:tcW w:w="1500" w:type="dxa"/>
            <w:noWrap w:val="0"/>
            <w:vAlign w:val="top"/>
          </w:tcPr>
          <w:p w14:paraId="776FEBA8">
            <w:pPr>
              <w:autoSpaceDN w:val="0"/>
              <w:snapToGrid w:val="0"/>
              <w:spacing w:line="360" w:lineRule="auto"/>
              <w:ind w:firstLine="32" w:firstLineChars="10"/>
              <w:rPr>
                <w:rFonts w:hint="eastAsia" w:ascii="仿宋_GB2312" w:hAnsi="仿宋_GB2312" w:eastAsia="仿宋_GB2312" w:cs="仿宋_GB2312"/>
                <w:color w:val="auto"/>
                <w:sz w:val="32"/>
                <w:szCs w:val="32"/>
                <w:highlight w:val="none"/>
              </w:rPr>
            </w:pPr>
          </w:p>
        </w:tc>
        <w:tc>
          <w:tcPr>
            <w:tcW w:w="1500" w:type="dxa"/>
            <w:noWrap w:val="0"/>
            <w:vAlign w:val="top"/>
          </w:tcPr>
          <w:p w14:paraId="47BE1F20">
            <w:pPr>
              <w:autoSpaceDN w:val="0"/>
              <w:snapToGrid w:val="0"/>
              <w:spacing w:line="360" w:lineRule="auto"/>
              <w:ind w:firstLine="32" w:firstLineChars="10"/>
              <w:rPr>
                <w:rFonts w:hint="eastAsia" w:ascii="仿宋_GB2312" w:hAnsi="仿宋_GB2312" w:eastAsia="仿宋_GB2312" w:cs="仿宋_GB2312"/>
                <w:color w:val="auto"/>
                <w:sz w:val="32"/>
                <w:szCs w:val="32"/>
                <w:highlight w:val="none"/>
              </w:rPr>
            </w:pPr>
          </w:p>
        </w:tc>
        <w:tc>
          <w:tcPr>
            <w:tcW w:w="1501" w:type="dxa"/>
            <w:noWrap w:val="0"/>
            <w:vAlign w:val="top"/>
          </w:tcPr>
          <w:p w14:paraId="07CD5E5B">
            <w:pPr>
              <w:autoSpaceDN w:val="0"/>
              <w:snapToGrid w:val="0"/>
              <w:spacing w:line="360" w:lineRule="auto"/>
              <w:ind w:firstLine="32" w:firstLineChars="10"/>
              <w:rPr>
                <w:rFonts w:hint="eastAsia" w:ascii="仿宋_GB2312" w:hAnsi="仿宋_GB2312" w:eastAsia="仿宋_GB2312" w:cs="仿宋_GB2312"/>
                <w:color w:val="auto"/>
                <w:sz w:val="32"/>
                <w:szCs w:val="32"/>
                <w:highlight w:val="none"/>
              </w:rPr>
            </w:pPr>
          </w:p>
        </w:tc>
        <w:tc>
          <w:tcPr>
            <w:tcW w:w="1501" w:type="dxa"/>
            <w:noWrap w:val="0"/>
            <w:vAlign w:val="top"/>
          </w:tcPr>
          <w:p w14:paraId="01A6A1AF">
            <w:pPr>
              <w:autoSpaceDN w:val="0"/>
              <w:snapToGrid w:val="0"/>
              <w:spacing w:line="360" w:lineRule="auto"/>
              <w:ind w:firstLine="32" w:firstLineChars="10"/>
              <w:rPr>
                <w:rFonts w:hint="eastAsia" w:ascii="仿宋_GB2312" w:hAnsi="仿宋_GB2312" w:eastAsia="仿宋_GB2312" w:cs="仿宋_GB2312"/>
                <w:color w:val="auto"/>
                <w:sz w:val="32"/>
                <w:szCs w:val="32"/>
                <w:highlight w:val="none"/>
              </w:rPr>
            </w:pPr>
          </w:p>
        </w:tc>
        <w:tc>
          <w:tcPr>
            <w:tcW w:w="1501" w:type="dxa"/>
            <w:noWrap w:val="0"/>
            <w:vAlign w:val="top"/>
          </w:tcPr>
          <w:p w14:paraId="5986352A">
            <w:pPr>
              <w:autoSpaceDN w:val="0"/>
              <w:snapToGrid w:val="0"/>
              <w:spacing w:line="360" w:lineRule="auto"/>
              <w:ind w:firstLine="32" w:firstLineChars="10"/>
              <w:rPr>
                <w:rFonts w:hint="eastAsia" w:ascii="仿宋_GB2312" w:hAnsi="仿宋_GB2312" w:eastAsia="仿宋_GB2312" w:cs="仿宋_GB2312"/>
                <w:color w:val="auto"/>
                <w:sz w:val="32"/>
                <w:szCs w:val="32"/>
                <w:highlight w:val="none"/>
              </w:rPr>
            </w:pPr>
          </w:p>
        </w:tc>
      </w:tr>
      <w:tr w14:paraId="072B7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0" w:type="dxa"/>
            <w:noWrap w:val="0"/>
            <w:vAlign w:val="top"/>
          </w:tcPr>
          <w:p w14:paraId="371696CF">
            <w:pPr>
              <w:autoSpaceDN w:val="0"/>
              <w:snapToGrid w:val="0"/>
              <w:spacing w:line="360" w:lineRule="auto"/>
              <w:ind w:firstLine="32" w:firstLineChars="10"/>
              <w:rPr>
                <w:rFonts w:hint="eastAsia" w:ascii="仿宋_GB2312" w:hAnsi="仿宋_GB2312" w:eastAsia="仿宋_GB2312" w:cs="仿宋_GB2312"/>
                <w:color w:val="auto"/>
                <w:sz w:val="32"/>
                <w:szCs w:val="32"/>
                <w:highlight w:val="none"/>
              </w:rPr>
            </w:pPr>
          </w:p>
        </w:tc>
        <w:tc>
          <w:tcPr>
            <w:tcW w:w="1500" w:type="dxa"/>
            <w:noWrap w:val="0"/>
            <w:vAlign w:val="top"/>
          </w:tcPr>
          <w:p w14:paraId="6152313A">
            <w:pPr>
              <w:autoSpaceDN w:val="0"/>
              <w:snapToGrid w:val="0"/>
              <w:spacing w:line="360" w:lineRule="auto"/>
              <w:ind w:firstLine="32" w:firstLineChars="10"/>
              <w:rPr>
                <w:rFonts w:hint="eastAsia" w:ascii="仿宋_GB2312" w:hAnsi="仿宋_GB2312" w:eastAsia="仿宋_GB2312" w:cs="仿宋_GB2312"/>
                <w:color w:val="auto"/>
                <w:sz w:val="32"/>
                <w:szCs w:val="32"/>
                <w:highlight w:val="none"/>
              </w:rPr>
            </w:pPr>
          </w:p>
        </w:tc>
        <w:tc>
          <w:tcPr>
            <w:tcW w:w="1500" w:type="dxa"/>
            <w:noWrap w:val="0"/>
            <w:vAlign w:val="top"/>
          </w:tcPr>
          <w:p w14:paraId="69A4A35E">
            <w:pPr>
              <w:autoSpaceDN w:val="0"/>
              <w:snapToGrid w:val="0"/>
              <w:spacing w:line="360" w:lineRule="auto"/>
              <w:ind w:firstLine="32" w:firstLineChars="10"/>
              <w:rPr>
                <w:rFonts w:hint="eastAsia" w:ascii="仿宋_GB2312" w:hAnsi="仿宋_GB2312" w:eastAsia="仿宋_GB2312" w:cs="仿宋_GB2312"/>
                <w:color w:val="auto"/>
                <w:sz w:val="32"/>
                <w:szCs w:val="32"/>
                <w:highlight w:val="none"/>
              </w:rPr>
            </w:pPr>
          </w:p>
        </w:tc>
        <w:tc>
          <w:tcPr>
            <w:tcW w:w="1501" w:type="dxa"/>
            <w:noWrap w:val="0"/>
            <w:vAlign w:val="top"/>
          </w:tcPr>
          <w:p w14:paraId="463DF1A0">
            <w:pPr>
              <w:autoSpaceDN w:val="0"/>
              <w:snapToGrid w:val="0"/>
              <w:spacing w:line="360" w:lineRule="auto"/>
              <w:ind w:firstLine="32" w:firstLineChars="10"/>
              <w:rPr>
                <w:rFonts w:hint="eastAsia" w:ascii="仿宋_GB2312" w:hAnsi="仿宋_GB2312" w:eastAsia="仿宋_GB2312" w:cs="仿宋_GB2312"/>
                <w:color w:val="auto"/>
                <w:sz w:val="32"/>
                <w:szCs w:val="32"/>
                <w:highlight w:val="none"/>
              </w:rPr>
            </w:pPr>
          </w:p>
        </w:tc>
        <w:tc>
          <w:tcPr>
            <w:tcW w:w="1501" w:type="dxa"/>
            <w:noWrap w:val="0"/>
            <w:vAlign w:val="top"/>
          </w:tcPr>
          <w:p w14:paraId="5230C5F6">
            <w:pPr>
              <w:autoSpaceDN w:val="0"/>
              <w:snapToGrid w:val="0"/>
              <w:spacing w:line="360" w:lineRule="auto"/>
              <w:ind w:firstLine="32" w:firstLineChars="10"/>
              <w:rPr>
                <w:rFonts w:hint="eastAsia" w:ascii="仿宋_GB2312" w:hAnsi="仿宋_GB2312" w:eastAsia="仿宋_GB2312" w:cs="仿宋_GB2312"/>
                <w:color w:val="auto"/>
                <w:sz w:val="32"/>
                <w:szCs w:val="32"/>
                <w:highlight w:val="none"/>
              </w:rPr>
            </w:pPr>
          </w:p>
        </w:tc>
        <w:tc>
          <w:tcPr>
            <w:tcW w:w="1501" w:type="dxa"/>
            <w:noWrap w:val="0"/>
            <w:vAlign w:val="top"/>
          </w:tcPr>
          <w:p w14:paraId="244F1D1D">
            <w:pPr>
              <w:autoSpaceDN w:val="0"/>
              <w:snapToGrid w:val="0"/>
              <w:spacing w:line="360" w:lineRule="auto"/>
              <w:ind w:firstLine="32" w:firstLineChars="10"/>
              <w:rPr>
                <w:rFonts w:hint="eastAsia" w:ascii="仿宋_GB2312" w:hAnsi="仿宋_GB2312" w:eastAsia="仿宋_GB2312" w:cs="仿宋_GB2312"/>
                <w:color w:val="auto"/>
                <w:sz w:val="32"/>
                <w:szCs w:val="32"/>
                <w:highlight w:val="none"/>
              </w:rPr>
            </w:pPr>
          </w:p>
        </w:tc>
      </w:tr>
      <w:tr w14:paraId="6A13A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0" w:type="dxa"/>
            <w:noWrap w:val="0"/>
            <w:vAlign w:val="top"/>
          </w:tcPr>
          <w:p w14:paraId="17BFECAA">
            <w:pPr>
              <w:autoSpaceDN w:val="0"/>
              <w:snapToGrid w:val="0"/>
              <w:spacing w:line="360" w:lineRule="auto"/>
              <w:ind w:firstLine="32" w:firstLineChars="10"/>
              <w:rPr>
                <w:rFonts w:hint="eastAsia" w:ascii="仿宋_GB2312" w:hAnsi="仿宋_GB2312" w:eastAsia="仿宋_GB2312" w:cs="仿宋_GB2312"/>
                <w:color w:val="auto"/>
                <w:sz w:val="32"/>
                <w:szCs w:val="32"/>
                <w:highlight w:val="none"/>
              </w:rPr>
            </w:pPr>
          </w:p>
        </w:tc>
        <w:tc>
          <w:tcPr>
            <w:tcW w:w="1500" w:type="dxa"/>
            <w:noWrap w:val="0"/>
            <w:vAlign w:val="top"/>
          </w:tcPr>
          <w:p w14:paraId="7EE4F565">
            <w:pPr>
              <w:autoSpaceDN w:val="0"/>
              <w:snapToGrid w:val="0"/>
              <w:spacing w:line="360" w:lineRule="auto"/>
              <w:ind w:firstLine="32" w:firstLineChars="10"/>
              <w:rPr>
                <w:rFonts w:hint="eastAsia" w:ascii="仿宋_GB2312" w:hAnsi="仿宋_GB2312" w:eastAsia="仿宋_GB2312" w:cs="仿宋_GB2312"/>
                <w:color w:val="auto"/>
                <w:sz w:val="32"/>
                <w:szCs w:val="32"/>
                <w:highlight w:val="none"/>
              </w:rPr>
            </w:pPr>
          </w:p>
        </w:tc>
        <w:tc>
          <w:tcPr>
            <w:tcW w:w="1500" w:type="dxa"/>
            <w:noWrap w:val="0"/>
            <w:vAlign w:val="top"/>
          </w:tcPr>
          <w:p w14:paraId="54D49E71">
            <w:pPr>
              <w:autoSpaceDN w:val="0"/>
              <w:snapToGrid w:val="0"/>
              <w:spacing w:line="360" w:lineRule="auto"/>
              <w:ind w:firstLine="32" w:firstLineChars="10"/>
              <w:rPr>
                <w:rFonts w:hint="eastAsia" w:ascii="仿宋_GB2312" w:hAnsi="仿宋_GB2312" w:eastAsia="仿宋_GB2312" w:cs="仿宋_GB2312"/>
                <w:color w:val="auto"/>
                <w:sz w:val="32"/>
                <w:szCs w:val="32"/>
                <w:highlight w:val="none"/>
              </w:rPr>
            </w:pPr>
          </w:p>
        </w:tc>
        <w:tc>
          <w:tcPr>
            <w:tcW w:w="1501" w:type="dxa"/>
            <w:noWrap w:val="0"/>
            <w:vAlign w:val="top"/>
          </w:tcPr>
          <w:p w14:paraId="222E8244">
            <w:pPr>
              <w:autoSpaceDN w:val="0"/>
              <w:snapToGrid w:val="0"/>
              <w:spacing w:line="360" w:lineRule="auto"/>
              <w:ind w:firstLine="32" w:firstLineChars="10"/>
              <w:rPr>
                <w:rFonts w:hint="eastAsia" w:ascii="仿宋_GB2312" w:hAnsi="仿宋_GB2312" w:eastAsia="仿宋_GB2312" w:cs="仿宋_GB2312"/>
                <w:color w:val="auto"/>
                <w:sz w:val="32"/>
                <w:szCs w:val="32"/>
                <w:highlight w:val="none"/>
              </w:rPr>
            </w:pPr>
          </w:p>
        </w:tc>
        <w:tc>
          <w:tcPr>
            <w:tcW w:w="1501" w:type="dxa"/>
            <w:noWrap w:val="0"/>
            <w:vAlign w:val="top"/>
          </w:tcPr>
          <w:p w14:paraId="24C6DB1E">
            <w:pPr>
              <w:autoSpaceDN w:val="0"/>
              <w:snapToGrid w:val="0"/>
              <w:spacing w:line="360" w:lineRule="auto"/>
              <w:ind w:firstLine="32" w:firstLineChars="10"/>
              <w:rPr>
                <w:rFonts w:hint="eastAsia" w:ascii="仿宋_GB2312" w:hAnsi="仿宋_GB2312" w:eastAsia="仿宋_GB2312" w:cs="仿宋_GB2312"/>
                <w:color w:val="auto"/>
                <w:sz w:val="32"/>
                <w:szCs w:val="32"/>
                <w:highlight w:val="none"/>
              </w:rPr>
            </w:pPr>
          </w:p>
        </w:tc>
        <w:tc>
          <w:tcPr>
            <w:tcW w:w="1501" w:type="dxa"/>
            <w:noWrap w:val="0"/>
            <w:vAlign w:val="top"/>
          </w:tcPr>
          <w:p w14:paraId="187B8CD5">
            <w:pPr>
              <w:autoSpaceDN w:val="0"/>
              <w:snapToGrid w:val="0"/>
              <w:spacing w:line="360" w:lineRule="auto"/>
              <w:ind w:firstLine="32" w:firstLineChars="10"/>
              <w:rPr>
                <w:rFonts w:hint="eastAsia" w:ascii="仿宋_GB2312" w:hAnsi="仿宋_GB2312" w:eastAsia="仿宋_GB2312" w:cs="仿宋_GB2312"/>
                <w:color w:val="auto"/>
                <w:sz w:val="32"/>
                <w:szCs w:val="32"/>
                <w:highlight w:val="none"/>
              </w:rPr>
            </w:pPr>
          </w:p>
        </w:tc>
      </w:tr>
      <w:tr w14:paraId="4F66E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0" w:type="dxa"/>
            <w:noWrap w:val="0"/>
            <w:vAlign w:val="top"/>
          </w:tcPr>
          <w:p w14:paraId="2E2A38FA">
            <w:pPr>
              <w:autoSpaceDN w:val="0"/>
              <w:snapToGrid w:val="0"/>
              <w:spacing w:line="360" w:lineRule="auto"/>
              <w:ind w:firstLine="32" w:firstLineChars="10"/>
              <w:rPr>
                <w:rFonts w:hint="eastAsia" w:ascii="仿宋_GB2312" w:hAnsi="仿宋_GB2312" w:eastAsia="仿宋_GB2312" w:cs="仿宋_GB2312"/>
                <w:color w:val="auto"/>
                <w:sz w:val="32"/>
                <w:szCs w:val="32"/>
                <w:highlight w:val="none"/>
              </w:rPr>
            </w:pPr>
          </w:p>
        </w:tc>
        <w:tc>
          <w:tcPr>
            <w:tcW w:w="1500" w:type="dxa"/>
            <w:noWrap w:val="0"/>
            <w:vAlign w:val="top"/>
          </w:tcPr>
          <w:p w14:paraId="2BD1EF5A">
            <w:pPr>
              <w:autoSpaceDN w:val="0"/>
              <w:snapToGrid w:val="0"/>
              <w:spacing w:line="360" w:lineRule="auto"/>
              <w:ind w:firstLine="32" w:firstLineChars="10"/>
              <w:rPr>
                <w:rFonts w:hint="eastAsia" w:ascii="仿宋_GB2312" w:hAnsi="仿宋_GB2312" w:eastAsia="仿宋_GB2312" w:cs="仿宋_GB2312"/>
                <w:color w:val="auto"/>
                <w:sz w:val="32"/>
                <w:szCs w:val="32"/>
                <w:highlight w:val="none"/>
              </w:rPr>
            </w:pPr>
          </w:p>
        </w:tc>
        <w:tc>
          <w:tcPr>
            <w:tcW w:w="1500" w:type="dxa"/>
            <w:noWrap w:val="0"/>
            <w:vAlign w:val="top"/>
          </w:tcPr>
          <w:p w14:paraId="5D6C80C0">
            <w:pPr>
              <w:autoSpaceDN w:val="0"/>
              <w:snapToGrid w:val="0"/>
              <w:spacing w:line="360" w:lineRule="auto"/>
              <w:ind w:firstLine="32" w:firstLineChars="10"/>
              <w:rPr>
                <w:rFonts w:hint="eastAsia" w:ascii="仿宋_GB2312" w:hAnsi="仿宋_GB2312" w:eastAsia="仿宋_GB2312" w:cs="仿宋_GB2312"/>
                <w:color w:val="auto"/>
                <w:sz w:val="32"/>
                <w:szCs w:val="32"/>
                <w:highlight w:val="none"/>
              </w:rPr>
            </w:pPr>
          </w:p>
        </w:tc>
        <w:tc>
          <w:tcPr>
            <w:tcW w:w="1501" w:type="dxa"/>
            <w:noWrap w:val="0"/>
            <w:vAlign w:val="top"/>
          </w:tcPr>
          <w:p w14:paraId="23874B51">
            <w:pPr>
              <w:autoSpaceDN w:val="0"/>
              <w:snapToGrid w:val="0"/>
              <w:spacing w:line="360" w:lineRule="auto"/>
              <w:ind w:firstLine="32" w:firstLineChars="10"/>
              <w:rPr>
                <w:rFonts w:hint="eastAsia" w:ascii="仿宋_GB2312" w:hAnsi="仿宋_GB2312" w:eastAsia="仿宋_GB2312" w:cs="仿宋_GB2312"/>
                <w:color w:val="auto"/>
                <w:sz w:val="32"/>
                <w:szCs w:val="32"/>
                <w:highlight w:val="none"/>
              </w:rPr>
            </w:pPr>
          </w:p>
        </w:tc>
        <w:tc>
          <w:tcPr>
            <w:tcW w:w="1501" w:type="dxa"/>
            <w:noWrap w:val="0"/>
            <w:vAlign w:val="top"/>
          </w:tcPr>
          <w:p w14:paraId="13F61791">
            <w:pPr>
              <w:autoSpaceDN w:val="0"/>
              <w:snapToGrid w:val="0"/>
              <w:spacing w:line="360" w:lineRule="auto"/>
              <w:ind w:firstLine="32" w:firstLineChars="10"/>
              <w:rPr>
                <w:rFonts w:hint="eastAsia" w:ascii="仿宋_GB2312" w:hAnsi="仿宋_GB2312" w:eastAsia="仿宋_GB2312" w:cs="仿宋_GB2312"/>
                <w:color w:val="auto"/>
                <w:sz w:val="32"/>
                <w:szCs w:val="32"/>
                <w:highlight w:val="none"/>
              </w:rPr>
            </w:pPr>
          </w:p>
        </w:tc>
        <w:tc>
          <w:tcPr>
            <w:tcW w:w="1501" w:type="dxa"/>
            <w:noWrap w:val="0"/>
            <w:vAlign w:val="top"/>
          </w:tcPr>
          <w:p w14:paraId="03CE61CB">
            <w:pPr>
              <w:autoSpaceDN w:val="0"/>
              <w:snapToGrid w:val="0"/>
              <w:spacing w:line="360" w:lineRule="auto"/>
              <w:ind w:firstLine="32" w:firstLineChars="10"/>
              <w:rPr>
                <w:rFonts w:hint="eastAsia" w:ascii="仿宋_GB2312" w:hAnsi="仿宋_GB2312" w:eastAsia="仿宋_GB2312" w:cs="仿宋_GB2312"/>
                <w:color w:val="auto"/>
                <w:sz w:val="32"/>
                <w:szCs w:val="32"/>
                <w:highlight w:val="none"/>
              </w:rPr>
            </w:pPr>
          </w:p>
        </w:tc>
      </w:tr>
      <w:tr w14:paraId="00E9B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0" w:type="dxa"/>
            <w:noWrap w:val="0"/>
            <w:vAlign w:val="top"/>
          </w:tcPr>
          <w:p w14:paraId="3F2E7D20">
            <w:pPr>
              <w:autoSpaceDN w:val="0"/>
              <w:snapToGrid w:val="0"/>
              <w:spacing w:line="360" w:lineRule="auto"/>
              <w:ind w:firstLine="32" w:firstLineChars="10"/>
              <w:rPr>
                <w:rFonts w:hint="eastAsia" w:ascii="仿宋_GB2312" w:hAnsi="仿宋_GB2312" w:eastAsia="仿宋_GB2312" w:cs="仿宋_GB2312"/>
                <w:color w:val="auto"/>
                <w:sz w:val="32"/>
                <w:szCs w:val="32"/>
                <w:highlight w:val="none"/>
              </w:rPr>
            </w:pPr>
          </w:p>
        </w:tc>
        <w:tc>
          <w:tcPr>
            <w:tcW w:w="1500" w:type="dxa"/>
            <w:noWrap w:val="0"/>
            <w:vAlign w:val="top"/>
          </w:tcPr>
          <w:p w14:paraId="25EFD1EC">
            <w:pPr>
              <w:autoSpaceDN w:val="0"/>
              <w:snapToGrid w:val="0"/>
              <w:spacing w:line="360" w:lineRule="auto"/>
              <w:ind w:firstLine="32" w:firstLineChars="10"/>
              <w:rPr>
                <w:rFonts w:hint="eastAsia" w:ascii="仿宋_GB2312" w:hAnsi="仿宋_GB2312" w:eastAsia="仿宋_GB2312" w:cs="仿宋_GB2312"/>
                <w:color w:val="auto"/>
                <w:sz w:val="32"/>
                <w:szCs w:val="32"/>
                <w:highlight w:val="none"/>
              </w:rPr>
            </w:pPr>
          </w:p>
        </w:tc>
        <w:tc>
          <w:tcPr>
            <w:tcW w:w="1500" w:type="dxa"/>
            <w:noWrap w:val="0"/>
            <w:vAlign w:val="top"/>
          </w:tcPr>
          <w:p w14:paraId="51BDB802">
            <w:pPr>
              <w:autoSpaceDN w:val="0"/>
              <w:snapToGrid w:val="0"/>
              <w:spacing w:line="360" w:lineRule="auto"/>
              <w:ind w:firstLine="32" w:firstLineChars="10"/>
              <w:rPr>
                <w:rFonts w:hint="eastAsia" w:ascii="仿宋_GB2312" w:hAnsi="仿宋_GB2312" w:eastAsia="仿宋_GB2312" w:cs="仿宋_GB2312"/>
                <w:color w:val="auto"/>
                <w:sz w:val="32"/>
                <w:szCs w:val="32"/>
                <w:highlight w:val="none"/>
              </w:rPr>
            </w:pPr>
          </w:p>
        </w:tc>
        <w:tc>
          <w:tcPr>
            <w:tcW w:w="1501" w:type="dxa"/>
            <w:noWrap w:val="0"/>
            <w:vAlign w:val="top"/>
          </w:tcPr>
          <w:p w14:paraId="1ED258A0">
            <w:pPr>
              <w:autoSpaceDN w:val="0"/>
              <w:snapToGrid w:val="0"/>
              <w:spacing w:line="360" w:lineRule="auto"/>
              <w:ind w:firstLine="32" w:firstLineChars="10"/>
              <w:rPr>
                <w:rFonts w:hint="eastAsia" w:ascii="仿宋_GB2312" w:hAnsi="仿宋_GB2312" w:eastAsia="仿宋_GB2312" w:cs="仿宋_GB2312"/>
                <w:color w:val="auto"/>
                <w:sz w:val="32"/>
                <w:szCs w:val="32"/>
                <w:highlight w:val="none"/>
              </w:rPr>
            </w:pPr>
          </w:p>
        </w:tc>
        <w:tc>
          <w:tcPr>
            <w:tcW w:w="1501" w:type="dxa"/>
            <w:noWrap w:val="0"/>
            <w:vAlign w:val="top"/>
          </w:tcPr>
          <w:p w14:paraId="0A3B0545">
            <w:pPr>
              <w:autoSpaceDN w:val="0"/>
              <w:snapToGrid w:val="0"/>
              <w:spacing w:line="360" w:lineRule="auto"/>
              <w:ind w:firstLine="32" w:firstLineChars="10"/>
              <w:rPr>
                <w:rFonts w:hint="eastAsia" w:ascii="仿宋_GB2312" w:hAnsi="仿宋_GB2312" w:eastAsia="仿宋_GB2312" w:cs="仿宋_GB2312"/>
                <w:color w:val="auto"/>
                <w:sz w:val="32"/>
                <w:szCs w:val="32"/>
                <w:highlight w:val="none"/>
              </w:rPr>
            </w:pPr>
          </w:p>
        </w:tc>
        <w:tc>
          <w:tcPr>
            <w:tcW w:w="1501" w:type="dxa"/>
            <w:noWrap w:val="0"/>
            <w:vAlign w:val="top"/>
          </w:tcPr>
          <w:p w14:paraId="7CD6C976">
            <w:pPr>
              <w:autoSpaceDN w:val="0"/>
              <w:snapToGrid w:val="0"/>
              <w:spacing w:line="360" w:lineRule="auto"/>
              <w:ind w:firstLine="32" w:firstLineChars="10"/>
              <w:rPr>
                <w:rFonts w:hint="eastAsia" w:ascii="仿宋_GB2312" w:hAnsi="仿宋_GB2312" w:eastAsia="仿宋_GB2312" w:cs="仿宋_GB2312"/>
                <w:color w:val="auto"/>
                <w:sz w:val="32"/>
                <w:szCs w:val="32"/>
                <w:highlight w:val="none"/>
              </w:rPr>
            </w:pPr>
          </w:p>
        </w:tc>
      </w:tr>
      <w:tr w14:paraId="41170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0" w:type="dxa"/>
            <w:noWrap w:val="0"/>
            <w:vAlign w:val="top"/>
          </w:tcPr>
          <w:p w14:paraId="539264E3">
            <w:pPr>
              <w:autoSpaceDN w:val="0"/>
              <w:snapToGrid w:val="0"/>
              <w:spacing w:line="360" w:lineRule="auto"/>
              <w:ind w:firstLine="32" w:firstLineChars="10"/>
              <w:rPr>
                <w:rFonts w:hint="eastAsia" w:ascii="仿宋_GB2312" w:hAnsi="仿宋_GB2312" w:eastAsia="仿宋_GB2312" w:cs="仿宋_GB2312"/>
                <w:color w:val="auto"/>
                <w:sz w:val="32"/>
                <w:szCs w:val="32"/>
                <w:highlight w:val="none"/>
              </w:rPr>
            </w:pPr>
          </w:p>
        </w:tc>
        <w:tc>
          <w:tcPr>
            <w:tcW w:w="1500" w:type="dxa"/>
            <w:noWrap w:val="0"/>
            <w:vAlign w:val="top"/>
          </w:tcPr>
          <w:p w14:paraId="511454F4">
            <w:pPr>
              <w:autoSpaceDN w:val="0"/>
              <w:snapToGrid w:val="0"/>
              <w:spacing w:line="360" w:lineRule="auto"/>
              <w:ind w:firstLine="32" w:firstLineChars="10"/>
              <w:rPr>
                <w:rFonts w:hint="eastAsia" w:ascii="仿宋_GB2312" w:hAnsi="仿宋_GB2312" w:eastAsia="仿宋_GB2312" w:cs="仿宋_GB2312"/>
                <w:color w:val="auto"/>
                <w:sz w:val="32"/>
                <w:szCs w:val="32"/>
                <w:highlight w:val="none"/>
              </w:rPr>
            </w:pPr>
          </w:p>
        </w:tc>
        <w:tc>
          <w:tcPr>
            <w:tcW w:w="1500" w:type="dxa"/>
            <w:noWrap w:val="0"/>
            <w:vAlign w:val="top"/>
          </w:tcPr>
          <w:p w14:paraId="513C92EE">
            <w:pPr>
              <w:autoSpaceDN w:val="0"/>
              <w:snapToGrid w:val="0"/>
              <w:spacing w:line="360" w:lineRule="auto"/>
              <w:ind w:firstLine="32" w:firstLineChars="10"/>
              <w:rPr>
                <w:rFonts w:hint="eastAsia" w:ascii="仿宋_GB2312" w:hAnsi="仿宋_GB2312" w:eastAsia="仿宋_GB2312" w:cs="仿宋_GB2312"/>
                <w:color w:val="auto"/>
                <w:sz w:val="32"/>
                <w:szCs w:val="32"/>
                <w:highlight w:val="none"/>
              </w:rPr>
            </w:pPr>
          </w:p>
        </w:tc>
        <w:tc>
          <w:tcPr>
            <w:tcW w:w="1501" w:type="dxa"/>
            <w:noWrap w:val="0"/>
            <w:vAlign w:val="top"/>
          </w:tcPr>
          <w:p w14:paraId="7B57C7BE">
            <w:pPr>
              <w:autoSpaceDN w:val="0"/>
              <w:snapToGrid w:val="0"/>
              <w:spacing w:line="360" w:lineRule="auto"/>
              <w:ind w:firstLine="32" w:firstLineChars="10"/>
              <w:rPr>
                <w:rFonts w:hint="eastAsia" w:ascii="仿宋_GB2312" w:hAnsi="仿宋_GB2312" w:eastAsia="仿宋_GB2312" w:cs="仿宋_GB2312"/>
                <w:color w:val="auto"/>
                <w:sz w:val="32"/>
                <w:szCs w:val="32"/>
                <w:highlight w:val="none"/>
              </w:rPr>
            </w:pPr>
          </w:p>
        </w:tc>
        <w:tc>
          <w:tcPr>
            <w:tcW w:w="1501" w:type="dxa"/>
            <w:noWrap w:val="0"/>
            <w:vAlign w:val="top"/>
          </w:tcPr>
          <w:p w14:paraId="178A1244">
            <w:pPr>
              <w:autoSpaceDN w:val="0"/>
              <w:snapToGrid w:val="0"/>
              <w:spacing w:line="360" w:lineRule="auto"/>
              <w:ind w:firstLine="32" w:firstLineChars="10"/>
              <w:rPr>
                <w:rFonts w:hint="eastAsia" w:ascii="仿宋_GB2312" w:hAnsi="仿宋_GB2312" w:eastAsia="仿宋_GB2312" w:cs="仿宋_GB2312"/>
                <w:color w:val="auto"/>
                <w:sz w:val="32"/>
                <w:szCs w:val="32"/>
                <w:highlight w:val="none"/>
              </w:rPr>
            </w:pPr>
          </w:p>
        </w:tc>
        <w:tc>
          <w:tcPr>
            <w:tcW w:w="1501" w:type="dxa"/>
            <w:noWrap w:val="0"/>
            <w:vAlign w:val="top"/>
          </w:tcPr>
          <w:p w14:paraId="638286F0">
            <w:pPr>
              <w:autoSpaceDN w:val="0"/>
              <w:snapToGrid w:val="0"/>
              <w:spacing w:line="360" w:lineRule="auto"/>
              <w:ind w:firstLine="32" w:firstLineChars="10"/>
              <w:rPr>
                <w:rFonts w:hint="eastAsia" w:ascii="仿宋_GB2312" w:hAnsi="仿宋_GB2312" w:eastAsia="仿宋_GB2312" w:cs="仿宋_GB2312"/>
                <w:color w:val="auto"/>
                <w:sz w:val="32"/>
                <w:szCs w:val="32"/>
                <w:highlight w:val="none"/>
              </w:rPr>
            </w:pPr>
          </w:p>
        </w:tc>
      </w:tr>
      <w:tr w14:paraId="3A130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0" w:type="dxa"/>
            <w:noWrap w:val="0"/>
            <w:vAlign w:val="top"/>
          </w:tcPr>
          <w:p w14:paraId="233CAC23">
            <w:pPr>
              <w:autoSpaceDN w:val="0"/>
              <w:snapToGrid w:val="0"/>
              <w:spacing w:line="360" w:lineRule="auto"/>
              <w:ind w:firstLine="32" w:firstLineChars="10"/>
              <w:rPr>
                <w:rFonts w:hint="eastAsia" w:ascii="仿宋_GB2312" w:hAnsi="仿宋_GB2312" w:eastAsia="仿宋_GB2312" w:cs="仿宋_GB2312"/>
                <w:color w:val="auto"/>
                <w:sz w:val="32"/>
                <w:szCs w:val="32"/>
                <w:highlight w:val="none"/>
              </w:rPr>
            </w:pPr>
          </w:p>
        </w:tc>
        <w:tc>
          <w:tcPr>
            <w:tcW w:w="1500" w:type="dxa"/>
            <w:noWrap w:val="0"/>
            <w:vAlign w:val="top"/>
          </w:tcPr>
          <w:p w14:paraId="5B760CE3">
            <w:pPr>
              <w:autoSpaceDN w:val="0"/>
              <w:snapToGrid w:val="0"/>
              <w:spacing w:line="360" w:lineRule="auto"/>
              <w:ind w:firstLine="32" w:firstLineChars="10"/>
              <w:rPr>
                <w:rFonts w:hint="eastAsia" w:ascii="仿宋_GB2312" w:hAnsi="仿宋_GB2312" w:eastAsia="仿宋_GB2312" w:cs="仿宋_GB2312"/>
                <w:color w:val="auto"/>
                <w:sz w:val="32"/>
                <w:szCs w:val="32"/>
                <w:highlight w:val="none"/>
              </w:rPr>
            </w:pPr>
          </w:p>
        </w:tc>
        <w:tc>
          <w:tcPr>
            <w:tcW w:w="1500" w:type="dxa"/>
            <w:noWrap w:val="0"/>
            <w:vAlign w:val="top"/>
          </w:tcPr>
          <w:p w14:paraId="48BDAC3B">
            <w:pPr>
              <w:autoSpaceDN w:val="0"/>
              <w:snapToGrid w:val="0"/>
              <w:spacing w:line="360" w:lineRule="auto"/>
              <w:ind w:firstLine="32" w:firstLineChars="10"/>
              <w:rPr>
                <w:rFonts w:hint="eastAsia" w:ascii="仿宋_GB2312" w:hAnsi="仿宋_GB2312" w:eastAsia="仿宋_GB2312" w:cs="仿宋_GB2312"/>
                <w:color w:val="auto"/>
                <w:sz w:val="32"/>
                <w:szCs w:val="32"/>
                <w:highlight w:val="none"/>
              </w:rPr>
            </w:pPr>
          </w:p>
        </w:tc>
        <w:tc>
          <w:tcPr>
            <w:tcW w:w="1501" w:type="dxa"/>
            <w:noWrap w:val="0"/>
            <w:vAlign w:val="top"/>
          </w:tcPr>
          <w:p w14:paraId="0094B59A">
            <w:pPr>
              <w:autoSpaceDN w:val="0"/>
              <w:snapToGrid w:val="0"/>
              <w:spacing w:line="360" w:lineRule="auto"/>
              <w:ind w:firstLine="32" w:firstLineChars="10"/>
              <w:rPr>
                <w:rFonts w:hint="eastAsia" w:ascii="仿宋_GB2312" w:hAnsi="仿宋_GB2312" w:eastAsia="仿宋_GB2312" w:cs="仿宋_GB2312"/>
                <w:color w:val="auto"/>
                <w:sz w:val="32"/>
                <w:szCs w:val="32"/>
                <w:highlight w:val="none"/>
              </w:rPr>
            </w:pPr>
          </w:p>
        </w:tc>
        <w:tc>
          <w:tcPr>
            <w:tcW w:w="1501" w:type="dxa"/>
            <w:noWrap w:val="0"/>
            <w:vAlign w:val="top"/>
          </w:tcPr>
          <w:p w14:paraId="11581EB8">
            <w:pPr>
              <w:autoSpaceDN w:val="0"/>
              <w:snapToGrid w:val="0"/>
              <w:spacing w:line="360" w:lineRule="auto"/>
              <w:ind w:firstLine="32" w:firstLineChars="10"/>
              <w:rPr>
                <w:rFonts w:hint="eastAsia" w:ascii="仿宋_GB2312" w:hAnsi="仿宋_GB2312" w:eastAsia="仿宋_GB2312" w:cs="仿宋_GB2312"/>
                <w:color w:val="auto"/>
                <w:sz w:val="32"/>
                <w:szCs w:val="32"/>
                <w:highlight w:val="none"/>
              </w:rPr>
            </w:pPr>
          </w:p>
        </w:tc>
        <w:tc>
          <w:tcPr>
            <w:tcW w:w="1501" w:type="dxa"/>
            <w:noWrap w:val="0"/>
            <w:vAlign w:val="top"/>
          </w:tcPr>
          <w:p w14:paraId="168729F8">
            <w:pPr>
              <w:autoSpaceDN w:val="0"/>
              <w:snapToGrid w:val="0"/>
              <w:spacing w:line="360" w:lineRule="auto"/>
              <w:ind w:firstLine="32" w:firstLineChars="10"/>
              <w:rPr>
                <w:rFonts w:hint="eastAsia" w:ascii="仿宋_GB2312" w:hAnsi="仿宋_GB2312" w:eastAsia="仿宋_GB2312" w:cs="仿宋_GB2312"/>
                <w:color w:val="auto"/>
                <w:sz w:val="32"/>
                <w:szCs w:val="32"/>
                <w:highlight w:val="none"/>
              </w:rPr>
            </w:pPr>
          </w:p>
        </w:tc>
      </w:tr>
      <w:tr w14:paraId="36113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0" w:type="dxa"/>
            <w:noWrap w:val="0"/>
            <w:vAlign w:val="top"/>
          </w:tcPr>
          <w:p w14:paraId="0D167338">
            <w:pPr>
              <w:autoSpaceDN w:val="0"/>
              <w:snapToGrid w:val="0"/>
              <w:spacing w:line="360" w:lineRule="auto"/>
              <w:ind w:firstLine="32" w:firstLineChars="10"/>
              <w:rPr>
                <w:rFonts w:hint="eastAsia" w:ascii="仿宋_GB2312" w:hAnsi="仿宋_GB2312" w:eastAsia="仿宋_GB2312" w:cs="仿宋_GB2312"/>
                <w:color w:val="auto"/>
                <w:sz w:val="32"/>
                <w:szCs w:val="32"/>
                <w:highlight w:val="none"/>
              </w:rPr>
            </w:pPr>
          </w:p>
        </w:tc>
        <w:tc>
          <w:tcPr>
            <w:tcW w:w="1500" w:type="dxa"/>
            <w:noWrap w:val="0"/>
            <w:vAlign w:val="top"/>
          </w:tcPr>
          <w:p w14:paraId="43BE8B52">
            <w:pPr>
              <w:autoSpaceDN w:val="0"/>
              <w:snapToGrid w:val="0"/>
              <w:spacing w:line="360" w:lineRule="auto"/>
              <w:ind w:firstLine="32" w:firstLineChars="10"/>
              <w:rPr>
                <w:rFonts w:hint="eastAsia" w:ascii="仿宋_GB2312" w:hAnsi="仿宋_GB2312" w:eastAsia="仿宋_GB2312" w:cs="仿宋_GB2312"/>
                <w:color w:val="auto"/>
                <w:sz w:val="32"/>
                <w:szCs w:val="32"/>
                <w:highlight w:val="none"/>
              </w:rPr>
            </w:pPr>
          </w:p>
        </w:tc>
        <w:tc>
          <w:tcPr>
            <w:tcW w:w="1500" w:type="dxa"/>
            <w:noWrap w:val="0"/>
            <w:vAlign w:val="top"/>
          </w:tcPr>
          <w:p w14:paraId="5D8AD1B9">
            <w:pPr>
              <w:autoSpaceDN w:val="0"/>
              <w:snapToGrid w:val="0"/>
              <w:spacing w:line="360" w:lineRule="auto"/>
              <w:ind w:firstLine="32" w:firstLineChars="10"/>
              <w:rPr>
                <w:rFonts w:hint="eastAsia" w:ascii="仿宋_GB2312" w:hAnsi="仿宋_GB2312" w:eastAsia="仿宋_GB2312" w:cs="仿宋_GB2312"/>
                <w:color w:val="auto"/>
                <w:sz w:val="32"/>
                <w:szCs w:val="32"/>
                <w:highlight w:val="none"/>
              </w:rPr>
            </w:pPr>
          </w:p>
        </w:tc>
        <w:tc>
          <w:tcPr>
            <w:tcW w:w="1501" w:type="dxa"/>
            <w:noWrap w:val="0"/>
            <w:vAlign w:val="top"/>
          </w:tcPr>
          <w:p w14:paraId="21B8FB0F">
            <w:pPr>
              <w:autoSpaceDN w:val="0"/>
              <w:snapToGrid w:val="0"/>
              <w:spacing w:line="360" w:lineRule="auto"/>
              <w:ind w:firstLine="32" w:firstLineChars="10"/>
              <w:rPr>
                <w:rFonts w:hint="eastAsia" w:ascii="仿宋_GB2312" w:hAnsi="仿宋_GB2312" w:eastAsia="仿宋_GB2312" w:cs="仿宋_GB2312"/>
                <w:color w:val="auto"/>
                <w:sz w:val="32"/>
                <w:szCs w:val="32"/>
                <w:highlight w:val="none"/>
              </w:rPr>
            </w:pPr>
          </w:p>
        </w:tc>
        <w:tc>
          <w:tcPr>
            <w:tcW w:w="1501" w:type="dxa"/>
            <w:noWrap w:val="0"/>
            <w:vAlign w:val="top"/>
          </w:tcPr>
          <w:p w14:paraId="08D7777A">
            <w:pPr>
              <w:autoSpaceDN w:val="0"/>
              <w:snapToGrid w:val="0"/>
              <w:spacing w:line="360" w:lineRule="auto"/>
              <w:ind w:firstLine="32" w:firstLineChars="10"/>
              <w:rPr>
                <w:rFonts w:hint="eastAsia" w:ascii="仿宋_GB2312" w:hAnsi="仿宋_GB2312" w:eastAsia="仿宋_GB2312" w:cs="仿宋_GB2312"/>
                <w:color w:val="auto"/>
                <w:sz w:val="32"/>
                <w:szCs w:val="32"/>
                <w:highlight w:val="none"/>
              </w:rPr>
            </w:pPr>
          </w:p>
        </w:tc>
        <w:tc>
          <w:tcPr>
            <w:tcW w:w="1501" w:type="dxa"/>
            <w:noWrap w:val="0"/>
            <w:vAlign w:val="top"/>
          </w:tcPr>
          <w:p w14:paraId="4D0D130C">
            <w:pPr>
              <w:autoSpaceDN w:val="0"/>
              <w:snapToGrid w:val="0"/>
              <w:spacing w:line="360" w:lineRule="auto"/>
              <w:ind w:firstLine="32" w:firstLineChars="10"/>
              <w:rPr>
                <w:rFonts w:hint="eastAsia" w:ascii="仿宋_GB2312" w:hAnsi="仿宋_GB2312" w:eastAsia="仿宋_GB2312" w:cs="仿宋_GB2312"/>
                <w:color w:val="auto"/>
                <w:sz w:val="32"/>
                <w:szCs w:val="32"/>
                <w:highlight w:val="none"/>
              </w:rPr>
            </w:pPr>
          </w:p>
        </w:tc>
      </w:tr>
      <w:permEnd w:id="97"/>
    </w:tbl>
    <w:p w14:paraId="5D4D7FE1">
      <w:pPr>
        <w:pStyle w:val="2"/>
        <w:snapToGrid w:val="0"/>
        <w:spacing w:before="0" w:after="0" w:line="360" w:lineRule="auto"/>
        <w:rPr>
          <w:rFonts w:hint="eastAsia" w:ascii="仿宋_GB2312" w:hAnsi="仿宋_GB2312" w:eastAsia="仿宋_GB2312" w:cs="仿宋_GB2312"/>
          <w:b w:val="0"/>
          <w:bCs w:val="0"/>
          <w:color w:val="auto"/>
          <w:sz w:val="32"/>
          <w:szCs w:val="32"/>
          <w:highlight w:val="none"/>
        </w:rPr>
      </w:pPr>
      <w:r>
        <w:rPr>
          <w:rFonts w:hint="eastAsia" w:ascii="仿宋" w:hAnsi="仿宋" w:eastAsia="仿宋" w:cs="仿宋"/>
          <w:b w:val="0"/>
          <w:bCs w:val="0"/>
          <w:color w:val="auto"/>
          <w:sz w:val="32"/>
          <w:szCs w:val="32"/>
          <w:highlight w:val="none"/>
        </w:rPr>
        <w:br w:type="page"/>
      </w:r>
      <w:bookmarkStart w:id="2919" w:name="_Toc11872"/>
      <w:bookmarkStart w:id="2920" w:name="_Toc10739"/>
      <w:bookmarkStart w:id="2921" w:name="_Toc12575"/>
      <w:bookmarkStart w:id="2922" w:name="_Toc22378"/>
      <w:bookmarkStart w:id="2923" w:name="_Toc23131"/>
      <w:bookmarkStart w:id="2924" w:name="_Toc14232"/>
      <w:bookmarkStart w:id="2925" w:name="_Toc6067"/>
      <w:bookmarkStart w:id="2926" w:name="_Toc13001"/>
      <w:r>
        <w:rPr>
          <w:rFonts w:hint="eastAsia" w:ascii="黑体" w:hAnsi="黑体" w:eastAsia="黑体" w:cs="黑体"/>
          <w:b w:val="0"/>
          <w:bCs w:val="0"/>
          <w:color w:val="auto"/>
          <w:sz w:val="32"/>
          <w:szCs w:val="32"/>
          <w:highlight w:val="none"/>
        </w:rPr>
        <w:t>附件4</w:t>
      </w:r>
      <w:bookmarkEnd w:id="2919"/>
      <w:bookmarkEnd w:id="2920"/>
      <w:bookmarkEnd w:id="2921"/>
      <w:bookmarkEnd w:id="2922"/>
      <w:bookmarkEnd w:id="2923"/>
      <w:bookmarkEnd w:id="2924"/>
      <w:bookmarkEnd w:id="2925"/>
      <w:bookmarkEnd w:id="2926"/>
    </w:p>
    <w:p w14:paraId="28300776">
      <w:pPr>
        <w:keepNext/>
        <w:keepLines/>
        <w:snapToGrid w:val="0"/>
        <w:spacing w:line="360" w:lineRule="auto"/>
        <w:jc w:val="center"/>
        <w:rPr>
          <w:rFonts w:hint="eastAsia" w:ascii="方正小标宋简体" w:hAnsi="方正小标宋简体" w:eastAsia="方正小标宋简体" w:cs="方正小标宋简体"/>
          <w:b w:val="0"/>
          <w:bCs w:val="0"/>
          <w:color w:val="auto"/>
          <w:sz w:val="44"/>
          <w:szCs w:val="44"/>
          <w:highlight w:val="none"/>
        </w:rPr>
      </w:pPr>
      <w:r>
        <w:rPr>
          <w:rFonts w:hint="eastAsia" w:ascii="方正小标宋简体" w:hAnsi="方正小标宋简体" w:eastAsia="方正小标宋简体" w:cs="方正小标宋简体"/>
          <w:b w:val="0"/>
          <w:bCs w:val="0"/>
          <w:color w:val="auto"/>
          <w:sz w:val="44"/>
          <w:szCs w:val="44"/>
          <w:highlight w:val="none"/>
        </w:rPr>
        <w:t>承包人用于本工程施工的机械设备表</w:t>
      </w:r>
    </w:p>
    <w:tbl>
      <w:tblPr>
        <w:tblStyle w:val="13"/>
        <w:tblW w:w="5000" w:type="pct"/>
        <w:tblInd w:w="0" w:type="dxa"/>
        <w:tblLayout w:type="autofit"/>
        <w:tblCellMar>
          <w:top w:w="0" w:type="dxa"/>
          <w:left w:w="0" w:type="dxa"/>
          <w:bottom w:w="0" w:type="dxa"/>
          <w:right w:w="0" w:type="dxa"/>
        </w:tblCellMar>
      </w:tblPr>
      <w:tblGrid>
        <w:gridCol w:w="694"/>
        <w:gridCol w:w="1559"/>
        <w:gridCol w:w="1085"/>
        <w:gridCol w:w="989"/>
        <w:gridCol w:w="1336"/>
        <w:gridCol w:w="1979"/>
        <w:gridCol w:w="694"/>
      </w:tblGrid>
      <w:tr w14:paraId="28B0625C">
        <w:tblPrEx>
          <w:tblCellMar>
            <w:top w:w="0" w:type="dxa"/>
            <w:left w:w="0" w:type="dxa"/>
            <w:bottom w:w="0" w:type="dxa"/>
            <w:right w:w="0" w:type="dxa"/>
          </w:tblCellMar>
        </w:tblPrEx>
        <w:trPr>
          <w:trHeight w:val="510" w:hRule="atLeast"/>
        </w:trPr>
        <w:tc>
          <w:tcPr>
            <w:tcW w:w="411"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C5F0D4">
            <w:pPr>
              <w:widowControl/>
              <w:snapToGrid w:val="0"/>
              <w:spacing w:line="360" w:lineRule="auto"/>
              <w:ind w:firstLine="32" w:firstLineChars="10"/>
              <w:jc w:val="center"/>
              <w:textAlignment w:val="center"/>
              <w:rPr>
                <w:rFonts w:hint="eastAsia" w:ascii="仿宋_GB2312" w:hAnsi="仿宋_GB2312" w:eastAsia="仿宋_GB2312" w:cs="仿宋_GB2312"/>
                <w:b/>
                <w:color w:val="auto"/>
                <w:sz w:val="32"/>
                <w:szCs w:val="32"/>
                <w:highlight w:val="none"/>
              </w:rPr>
            </w:pPr>
            <w:permStart w:id="98" w:edGrp="everyone"/>
            <w:r>
              <w:rPr>
                <w:rFonts w:hint="eastAsia" w:ascii="仿宋_GB2312" w:hAnsi="仿宋_GB2312" w:eastAsia="仿宋_GB2312" w:cs="仿宋_GB2312"/>
                <w:b/>
                <w:color w:val="auto"/>
                <w:sz w:val="32"/>
                <w:szCs w:val="32"/>
                <w:highlight w:val="none"/>
              </w:rPr>
              <w:t>序号</w:t>
            </w:r>
          </w:p>
        </w:tc>
        <w:tc>
          <w:tcPr>
            <w:tcW w:w="1001"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7C7AE65">
            <w:pPr>
              <w:widowControl/>
              <w:snapToGrid w:val="0"/>
              <w:spacing w:line="360" w:lineRule="auto"/>
              <w:ind w:firstLine="32" w:firstLineChars="10"/>
              <w:jc w:val="center"/>
              <w:textAlignment w:val="center"/>
              <w:rPr>
                <w:rFonts w:hint="eastAsia" w:ascii="仿宋_GB2312" w:hAnsi="仿宋_GB2312" w:eastAsia="仿宋_GB2312" w:cs="仿宋_GB2312"/>
                <w:b/>
                <w:color w:val="auto"/>
                <w:sz w:val="32"/>
                <w:szCs w:val="32"/>
                <w:highlight w:val="none"/>
              </w:rPr>
            </w:pPr>
            <w:r>
              <w:rPr>
                <w:rFonts w:hint="eastAsia" w:ascii="仿宋_GB2312" w:hAnsi="仿宋_GB2312" w:eastAsia="仿宋_GB2312" w:cs="仿宋_GB2312"/>
                <w:b/>
                <w:color w:val="auto"/>
                <w:sz w:val="32"/>
                <w:szCs w:val="32"/>
                <w:highlight w:val="none"/>
              </w:rPr>
              <w:t>设备名称</w:t>
            </w:r>
          </w:p>
        </w:tc>
        <w:tc>
          <w:tcPr>
            <w:tcW w:w="71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464408A">
            <w:pPr>
              <w:widowControl/>
              <w:snapToGrid w:val="0"/>
              <w:spacing w:line="360" w:lineRule="auto"/>
              <w:ind w:firstLine="32" w:firstLineChars="10"/>
              <w:jc w:val="center"/>
              <w:textAlignment w:val="center"/>
              <w:rPr>
                <w:rFonts w:hint="eastAsia" w:ascii="仿宋_GB2312" w:hAnsi="仿宋_GB2312" w:eastAsia="仿宋_GB2312" w:cs="仿宋_GB2312"/>
                <w:b/>
                <w:color w:val="auto"/>
                <w:sz w:val="32"/>
                <w:szCs w:val="32"/>
                <w:highlight w:val="none"/>
              </w:rPr>
            </w:pPr>
            <w:r>
              <w:rPr>
                <w:rFonts w:hint="eastAsia" w:ascii="仿宋_GB2312" w:hAnsi="仿宋_GB2312" w:eastAsia="仿宋_GB2312" w:cs="仿宋_GB2312"/>
                <w:b/>
                <w:color w:val="auto"/>
                <w:sz w:val="32"/>
                <w:szCs w:val="32"/>
                <w:highlight w:val="none"/>
              </w:rPr>
              <w:t>型号</w:t>
            </w:r>
          </w:p>
        </w:tc>
        <w:tc>
          <w:tcPr>
            <w:tcW w:w="65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E9307A2">
            <w:pPr>
              <w:widowControl/>
              <w:snapToGrid w:val="0"/>
              <w:spacing w:line="360" w:lineRule="auto"/>
              <w:ind w:firstLine="32" w:firstLineChars="10"/>
              <w:jc w:val="center"/>
              <w:textAlignment w:val="center"/>
              <w:rPr>
                <w:rFonts w:hint="eastAsia" w:ascii="仿宋_GB2312" w:hAnsi="仿宋_GB2312" w:eastAsia="仿宋_GB2312" w:cs="仿宋_GB2312"/>
                <w:b/>
                <w:color w:val="auto"/>
                <w:sz w:val="32"/>
                <w:szCs w:val="32"/>
                <w:highlight w:val="none"/>
              </w:rPr>
            </w:pPr>
            <w:r>
              <w:rPr>
                <w:rFonts w:hint="eastAsia" w:ascii="仿宋_GB2312" w:hAnsi="仿宋_GB2312" w:eastAsia="仿宋_GB2312" w:cs="仿宋_GB2312"/>
                <w:b/>
                <w:color w:val="auto"/>
                <w:sz w:val="32"/>
                <w:szCs w:val="32"/>
                <w:highlight w:val="none"/>
              </w:rPr>
              <w:t>数量</w:t>
            </w:r>
          </w:p>
        </w:tc>
        <w:tc>
          <w:tcPr>
            <w:tcW w:w="70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500D032">
            <w:pPr>
              <w:widowControl/>
              <w:snapToGrid w:val="0"/>
              <w:spacing w:line="360" w:lineRule="auto"/>
              <w:ind w:firstLine="32" w:firstLineChars="10"/>
              <w:jc w:val="center"/>
              <w:textAlignment w:val="center"/>
              <w:rPr>
                <w:rFonts w:hint="eastAsia" w:ascii="仿宋_GB2312" w:hAnsi="仿宋_GB2312" w:eastAsia="仿宋_GB2312" w:cs="仿宋_GB2312"/>
                <w:b/>
                <w:color w:val="auto"/>
                <w:sz w:val="32"/>
                <w:szCs w:val="32"/>
                <w:highlight w:val="none"/>
              </w:rPr>
            </w:pPr>
            <w:r>
              <w:rPr>
                <w:rFonts w:hint="eastAsia" w:ascii="仿宋_GB2312" w:hAnsi="仿宋_GB2312" w:eastAsia="仿宋_GB2312" w:cs="仿宋_GB2312"/>
                <w:b/>
                <w:color w:val="auto"/>
                <w:sz w:val="32"/>
                <w:szCs w:val="32"/>
                <w:highlight w:val="none"/>
              </w:rPr>
              <w:t>生产能力</w:t>
            </w:r>
          </w:p>
        </w:tc>
        <w:tc>
          <w:tcPr>
            <w:tcW w:w="104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D5DBE93">
            <w:pPr>
              <w:widowControl/>
              <w:snapToGrid w:val="0"/>
              <w:spacing w:line="360" w:lineRule="auto"/>
              <w:ind w:firstLine="32" w:firstLineChars="10"/>
              <w:jc w:val="center"/>
              <w:textAlignment w:val="center"/>
              <w:rPr>
                <w:rFonts w:hint="eastAsia" w:ascii="仿宋_GB2312" w:hAnsi="仿宋_GB2312" w:eastAsia="仿宋_GB2312" w:cs="仿宋_GB2312"/>
                <w:b/>
                <w:color w:val="auto"/>
                <w:sz w:val="32"/>
                <w:szCs w:val="32"/>
                <w:highlight w:val="none"/>
              </w:rPr>
            </w:pPr>
            <w:r>
              <w:rPr>
                <w:rFonts w:hint="eastAsia" w:ascii="仿宋_GB2312" w:hAnsi="仿宋_GB2312" w:eastAsia="仿宋_GB2312" w:cs="仿宋_GB2312"/>
                <w:b/>
                <w:color w:val="auto"/>
                <w:sz w:val="32"/>
                <w:szCs w:val="32"/>
                <w:highlight w:val="none"/>
              </w:rPr>
              <w:t>用于施工部位</w:t>
            </w:r>
          </w:p>
        </w:tc>
        <w:tc>
          <w:tcPr>
            <w:tcW w:w="461"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9F04104">
            <w:pPr>
              <w:widowControl/>
              <w:snapToGrid w:val="0"/>
              <w:spacing w:line="360" w:lineRule="auto"/>
              <w:ind w:firstLine="32" w:firstLineChars="10"/>
              <w:jc w:val="center"/>
              <w:textAlignment w:val="center"/>
              <w:rPr>
                <w:rFonts w:hint="eastAsia" w:ascii="仿宋_GB2312" w:hAnsi="仿宋_GB2312" w:eastAsia="仿宋_GB2312" w:cs="仿宋_GB2312"/>
                <w:b/>
                <w:color w:val="auto"/>
                <w:sz w:val="32"/>
                <w:szCs w:val="32"/>
                <w:highlight w:val="none"/>
              </w:rPr>
            </w:pPr>
            <w:r>
              <w:rPr>
                <w:rFonts w:hint="eastAsia" w:ascii="仿宋_GB2312" w:hAnsi="仿宋_GB2312" w:eastAsia="仿宋_GB2312" w:cs="仿宋_GB2312"/>
                <w:b/>
                <w:color w:val="auto"/>
                <w:sz w:val="32"/>
                <w:szCs w:val="32"/>
                <w:highlight w:val="none"/>
              </w:rPr>
              <w:t>备注</w:t>
            </w:r>
          </w:p>
        </w:tc>
      </w:tr>
      <w:tr w14:paraId="08B15C03">
        <w:tblPrEx>
          <w:tblCellMar>
            <w:top w:w="0" w:type="dxa"/>
            <w:left w:w="0" w:type="dxa"/>
            <w:bottom w:w="0" w:type="dxa"/>
            <w:right w:w="0" w:type="dxa"/>
          </w:tblCellMar>
        </w:tblPrEx>
        <w:trPr>
          <w:trHeight w:val="510" w:hRule="atLeast"/>
        </w:trPr>
        <w:tc>
          <w:tcPr>
            <w:tcW w:w="411"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C42F41">
            <w:pPr>
              <w:widowControl/>
              <w:snapToGrid w:val="0"/>
              <w:spacing w:line="360" w:lineRule="auto"/>
              <w:ind w:firstLine="32" w:firstLineChars="10"/>
              <w:jc w:val="center"/>
              <w:textAlignment w:val="center"/>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w:t>
            </w:r>
          </w:p>
        </w:tc>
        <w:tc>
          <w:tcPr>
            <w:tcW w:w="1001"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5F4BF2">
            <w:pPr>
              <w:widowControl/>
              <w:snapToGrid w:val="0"/>
              <w:spacing w:line="360" w:lineRule="auto"/>
              <w:ind w:firstLine="32" w:firstLineChars="10"/>
              <w:jc w:val="center"/>
              <w:textAlignment w:val="center"/>
              <w:rPr>
                <w:rFonts w:hint="eastAsia" w:ascii="仿宋_GB2312" w:hAnsi="仿宋_GB2312" w:eastAsia="仿宋_GB2312" w:cs="仿宋_GB2312"/>
                <w:color w:val="auto"/>
                <w:sz w:val="32"/>
                <w:szCs w:val="32"/>
                <w:highlight w:val="none"/>
              </w:rPr>
            </w:pPr>
          </w:p>
        </w:tc>
        <w:tc>
          <w:tcPr>
            <w:tcW w:w="71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459AE6F">
            <w:pPr>
              <w:widowControl/>
              <w:snapToGrid w:val="0"/>
              <w:spacing w:line="360" w:lineRule="auto"/>
              <w:ind w:firstLine="32" w:firstLineChars="10"/>
              <w:jc w:val="center"/>
              <w:textAlignment w:val="center"/>
              <w:rPr>
                <w:rFonts w:hint="eastAsia" w:ascii="仿宋_GB2312" w:hAnsi="仿宋_GB2312" w:eastAsia="仿宋_GB2312" w:cs="仿宋_GB2312"/>
                <w:color w:val="auto"/>
                <w:sz w:val="32"/>
                <w:szCs w:val="32"/>
                <w:highlight w:val="none"/>
              </w:rPr>
            </w:pPr>
          </w:p>
        </w:tc>
        <w:tc>
          <w:tcPr>
            <w:tcW w:w="65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46719CE">
            <w:pPr>
              <w:widowControl/>
              <w:snapToGrid w:val="0"/>
              <w:spacing w:line="360" w:lineRule="auto"/>
              <w:ind w:firstLine="32" w:firstLineChars="10"/>
              <w:jc w:val="center"/>
              <w:textAlignment w:val="center"/>
              <w:rPr>
                <w:rFonts w:hint="eastAsia" w:ascii="仿宋_GB2312" w:hAnsi="仿宋_GB2312" w:eastAsia="仿宋_GB2312" w:cs="仿宋_GB2312"/>
                <w:color w:val="auto"/>
                <w:sz w:val="32"/>
                <w:szCs w:val="32"/>
                <w:highlight w:val="none"/>
              </w:rPr>
            </w:pPr>
          </w:p>
        </w:tc>
        <w:tc>
          <w:tcPr>
            <w:tcW w:w="70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27FF745">
            <w:pPr>
              <w:widowControl/>
              <w:snapToGrid w:val="0"/>
              <w:spacing w:line="360" w:lineRule="auto"/>
              <w:ind w:firstLine="32" w:firstLineChars="10"/>
              <w:jc w:val="center"/>
              <w:textAlignment w:val="center"/>
              <w:rPr>
                <w:rFonts w:hint="eastAsia" w:ascii="仿宋_GB2312" w:hAnsi="仿宋_GB2312" w:eastAsia="仿宋_GB2312" w:cs="仿宋_GB2312"/>
                <w:color w:val="auto"/>
                <w:sz w:val="32"/>
                <w:szCs w:val="32"/>
                <w:highlight w:val="none"/>
              </w:rPr>
            </w:pPr>
          </w:p>
        </w:tc>
        <w:tc>
          <w:tcPr>
            <w:tcW w:w="104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45FDC01">
            <w:pPr>
              <w:widowControl/>
              <w:snapToGrid w:val="0"/>
              <w:spacing w:line="360" w:lineRule="auto"/>
              <w:ind w:firstLine="32" w:firstLineChars="10"/>
              <w:jc w:val="center"/>
              <w:textAlignment w:val="center"/>
              <w:rPr>
                <w:rFonts w:hint="eastAsia" w:ascii="仿宋_GB2312" w:hAnsi="仿宋_GB2312" w:eastAsia="仿宋_GB2312" w:cs="仿宋_GB2312"/>
                <w:color w:val="auto"/>
                <w:sz w:val="32"/>
                <w:szCs w:val="32"/>
                <w:highlight w:val="none"/>
              </w:rPr>
            </w:pPr>
          </w:p>
        </w:tc>
        <w:tc>
          <w:tcPr>
            <w:tcW w:w="461"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493F7F1">
            <w:pPr>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r>
      <w:tr w14:paraId="04BF9687">
        <w:tblPrEx>
          <w:tblCellMar>
            <w:top w:w="0" w:type="dxa"/>
            <w:left w:w="0" w:type="dxa"/>
            <w:bottom w:w="0" w:type="dxa"/>
            <w:right w:w="0" w:type="dxa"/>
          </w:tblCellMar>
        </w:tblPrEx>
        <w:trPr>
          <w:trHeight w:val="510" w:hRule="atLeast"/>
        </w:trPr>
        <w:tc>
          <w:tcPr>
            <w:tcW w:w="411"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434833F">
            <w:pPr>
              <w:widowControl/>
              <w:snapToGrid w:val="0"/>
              <w:spacing w:line="360" w:lineRule="auto"/>
              <w:ind w:firstLine="32" w:firstLineChars="10"/>
              <w:jc w:val="center"/>
              <w:textAlignment w:val="center"/>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w:t>
            </w:r>
          </w:p>
        </w:tc>
        <w:tc>
          <w:tcPr>
            <w:tcW w:w="1001"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CEF363">
            <w:pPr>
              <w:widowControl/>
              <w:snapToGrid w:val="0"/>
              <w:spacing w:line="360" w:lineRule="auto"/>
              <w:ind w:firstLine="32" w:firstLineChars="10"/>
              <w:jc w:val="center"/>
              <w:textAlignment w:val="center"/>
              <w:rPr>
                <w:rFonts w:hint="eastAsia" w:ascii="仿宋_GB2312" w:hAnsi="仿宋_GB2312" w:eastAsia="仿宋_GB2312" w:cs="仿宋_GB2312"/>
                <w:color w:val="auto"/>
                <w:sz w:val="32"/>
                <w:szCs w:val="32"/>
                <w:highlight w:val="none"/>
              </w:rPr>
            </w:pPr>
          </w:p>
        </w:tc>
        <w:tc>
          <w:tcPr>
            <w:tcW w:w="71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B387EB7">
            <w:pPr>
              <w:widowControl/>
              <w:snapToGrid w:val="0"/>
              <w:spacing w:line="360" w:lineRule="auto"/>
              <w:ind w:firstLine="32" w:firstLineChars="10"/>
              <w:jc w:val="center"/>
              <w:textAlignment w:val="center"/>
              <w:rPr>
                <w:rFonts w:hint="eastAsia" w:ascii="仿宋_GB2312" w:hAnsi="仿宋_GB2312" w:eastAsia="仿宋_GB2312" w:cs="仿宋_GB2312"/>
                <w:color w:val="auto"/>
                <w:sz w:val="32"/>
                <w:szCs w:val="32"/>
                <w:highlight w:val="none"/>
              </w:rPr>
            </w:pPr>
          </w:p>
        </w:tc>
        <w:tc>
          <w:tcPr>
            <w:tcW w:w="65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22C2430">
            <w:pPr>
              <w:widowControl/>
              <w:snapToGrid w:val="0"/>
              <w:spacing w:line="360" w:lineRule="auto"/>
              <w:ind w:firstLine="32" w:firstLineChars="10"/>
              <w:jc w:val="center"/>
              <w:textAlignment w:val="center"/>
              <w:rPr>
                <w:rFonts w:hint="eastAsia" w:ascii="仿宋_GB2312" w:hAnsi="仿宋_GB2312" w:eastAsia="仿宋_GB2312" w:cs="仿宋_GB2312"/>
                <w:color w:val="auto"/>
                <w:sz w:val="32"/>
                <w:szCs w:val="32"/>
                <w:highlight w:val="none"/>
              </w:rPr>
            </w:pPr>
          </w:p>
        </w:tc>
        <w:tc>
          <w:tcPr>
            <w:tcW w:w="70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B78CC76">
            <w:pPr>
              <w:widowControl/>
              <w:snapToGrid w:val="0"/>
              <w:spacing w:line="360" w:lineRule="auto"/>
              <w:ind w:firstLine="32" w:firstLineChars="10"/>
              <w:jc w:val="center"/>
              <w:textAlignment w:val="center"/>
              <w:rPr>
                <w:rFonts w:hint="eastAsia" w:ascii="仿宋_GB2312" w:hAnsi="仿宋_GB2312" w:eastAsia="仿宋_GB2312" w:cs="仿宋_GB2312"/>
                <w:color w:val="auto"/>
                <w:sz w:val="32"/>
                <w:szCs w:val="32"/>
                <w:highlight w:val="none"/>
              </w:rPr>
            </w:pPr>
          </w:p>
        </w:tc>
        <w:tc>
          <w:tcPr>
            <w:tcW w:w="104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5A2DEF">
            <w:pPr>
              <w:widowControl/>
              <w:snapToGrid w:val="0"/>
              <w:spacing w:line="360" w:lineRule="auto"/>
              <w:ind w:firstLine="32" w:firstLineChars="10"/>
              <w:jc w:val="center"/>
              <w:textAlignment w:val="center"/>
              <w:rPr>
                <w:rFonts w:hint="eastAsia" w:ascii="仿宋_GB2312" w:hAnsi="仿宋_GB2312" w:eastAsia="仿宋_GB2312" w:cs="仿宋_GB2312"/>
                <w:color w:val="auto"/>
                <w:sz w:val="32"/>
                <w:szCs w:val="32"/>
                <w:highlight w:val="none"/>
              </w:rPr>
            </w:pPr>
          </w:p>
        </w:tc>
        <w:tc>
          <w:tcPr>
            <w:tcW w:w="461"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EE4B294">
            <w:pPr>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r>
      <w:tr w14:paraId="63E621E5">
        <w:tblPrEx>
          <w:tblCellMar>
            <w:top w:w="0" w:type="dxa"/>
            <w:left w:w="0" w:type="dxa"/>
            <w:bottom w:w="0" w:type="dxa"/>
            <w:right w:w="0" w:type="dxa"/>
          </w:tblCellMar>
        </w:tblPrEx>
        <w:trPr>
          <w:trHeight w:val="510" w:hRule="atLeast"/>
        </w:trPr>
        <w:tc>
          <w:tcPr>
            <w:tcW w:w="411"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39E0714">
            <w:pPr>
              <w:widowControl/>
              <w:snapToGrid w:val="0"/>
              <w:spacing w:line="360" w:lineRule="auto"/>
              <w:ind w:firstLine="32" w:firstLineChars="10"/>
              <w:jc w:val="center"/>
              <w:textAlignment w:val="center"/>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w:t>
            </w:r>
          </w:p>
        </w:tc>
        <w:tc>
          <w:tcPr>
            <w:tcW w:w="1001"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8944322">
            <w:pPr>
              <w:widowControl/>
              <w:snapToGrid w:val="0"/>
              <w:spacing w:line="360" w:lineRule="auto"/>
              <w:ind w:firstLine="32" w:firstLineChars="10"/>
              <w:jc w:val="center"/>
              <w:textAlignment w:val="center"/>
              <w:rPr>
                <w:rFonts w:hint="eastAsia" w:ascii="仿宋_GB2312" w:hAnsi="仿宋_GB2312" w:eastAsia="仿宋_GB2312" w:cs="仿宋_GB2312"/>
                <w:color w:val="auto"/>
                <w:sz w:val="32"/>
                <w:szCs w:val="32"/>
                <w:highlight w:val="none"/>
              </w:rPr>
            </w:pPr>
          </w:p>
        </w:tc>
        <w:tc>
          <w:tcPr>
            <w:tcW w:w="71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A9A5F6">
            <w:pPr>
              <w:widowControl/>
              <w:snapToGrid w:val="0"/>
              <w:spacing w:line="360" w:lineRule="auto"/>
              <w:ind w:firstLine="32" w:firstLineChars="10"/>
              <w:jc w:val="center"/>
              <w:textAlignment w:val="center"/>
              <w:rPr>
                <w:rFonts w:hint="eastAsia" w:ascii="仿宋_GB2312" w:hAnsi="仿宋_GB2312" w:eastAsia="仿宋_GB2312" w:cs="仿宋_GB2312"/>
                <w:color w:val="auto"/>
                <w:sz w:val="32"/>
                <w:szCs w:val="32"/>
                <w:highlight w:val="none"/>
              </w:rPr>
            </w:pPr>
          </w:p>
        </w:tc>
        <w:tc>
          <w:tcPr>
            <w:tcW w:w="65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FC4A68E">
            <w:pPr>
              <w:widowControl/>
              <w:snapToGrid w:val="0"/>
              <w:spacing w:line="360" w:lineRule="auto"/>
              <w:ind w:firstLine="32" w:firstLineChars="10"/>
              <w:jc w:val="center"/>
              <w:textAlignment w:val="center"/>
              <w:rPr>
                <w:rFonts w:hint="eastAsia" w:ascii="仿宋_GB2312" w:hAnsi="仿宋_GB2312" w:eastAsia="仿宋_GB2312" w:cs="仿宋_GB2312"/>
                <w:color w:val="auto"/>
                <w:sz w:val="32"/>
                <w:szCs w:val="32"/>
                <w:highlight w:val="none"/>
              </w:rPr>
            </w:pPr>
          </w:p>
        </w:tc>
        <w:tc>
          <w:tcPr>
            <w:tcW w:w="70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DDAF45">
            <w:pPr>
              <w:widowControl/>
              <w:snapToGrid w:val="0"/>
              <w:spacing w:line="360" w:lineRule="auto"/>
              <w:ind w:firstLine="32" w:firstLineChars="10"/>
              <w:jc w:val="center"/>
              <w:textAlignment w:val="center"/>
              <w:rPr>
                <w:rFonts w:hint="eastAsia" w:ascii="仿宋_GB2312" w:hAnsi="仿宋_GB2312" w:eastAsia="仿宋_GB2312" w:cs="仿宋_GB2312"/>
                <w:color w:val="auto"/>
                <w:sz w:val="32"/>
                <w:szCs w:val="32"/>
                <w:highlight w:val="none"/>
              </w:rPr>
            </w:pPr>
          </w:p>
        </w:tc>
        <w:tc>
          <w:tcPr>
            <w:tcW w:w="104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706EF4F">
            <w:pPr>
              <w:widowControl/>
              <w:snapToGrid w:val="0"/>
              <w:spacing w:line="360" w:lineRule="auto"/>
              <w:ind w:firstLine="32" w:firstLineChars="10"/>
              <w:jc w:val="center"/>
              <w:textAlignment w:val="center"/>
              <w:rPr>
                <w:rFonts w:hint="eastAsia" w:ascii="仿宋_GB2312" w:hAnsi="仿宋_GB2312" w:eastAsia="仿宋_GB2312" w:cs="仿宋_GB2312"/>
                <w:color w:val="auto"/>
                <w:sz w:val="32"/>
                <w:szCs w:val="32"/>
                <w:highlight w:val="none"/>
              </w:rPr>
            </w:pPr>
          </w:p>
        </w:tc>
        <w:tc>
          <w:tcPr>
            <w:tcW w:w="461"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1F68568">
            <w:pPr>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r>
      <w:tr w14:paraId="220EF22A">
        <w:tblPrEx>
          <w:tblCellMar>
            <w:top w:w="0" w:type="dxa"/>
            <w:left w:w="0" w:type="dxa"/>
            <w:bottom w:w="0" w:type="dxa"/>
            <w:right w:w="0" w:type="dxa"/>
          </w:tblCellMar>
        </w:tblPrEx>
        <w:trPr>
          <w:trHeight w:val="510" w:hRule="atLeast"/>
        </w:trPr>
        <w:tc>
          <w:tcPr>
            <w:tcW w:w="411"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1464B2">
            <w:pPr>
              <w:widowControl/>
              <w:snapToGrid w:val="0"/>
              <w:spacing w:line="360" w:lineRule="auto"/>
              <w:ind w:firstLine="32" w:firstLineChars="10"/>
              <w:jc w:val="center"/>
              <w:textAlignment w:val="center"/>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4</w:t>
            </w:r>
          </w:p>
        </w:tc>
        <w:tc>
          <w:tcPr>
            <w:tcW w:w="1001"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63C660D">
            <w:pPr>
              <w:widowControl/>
              <w:snapToGrid w:val="0"/>
              <w:spacing w:line="360" w:lineRule="auto"/>
              <w:ind w:firstLine="32" w:firstLineChars="10"/>
              <w:jc w:val="center"/>
              <w:textAlignment w:val="center"/>
              <w:rPr>
                <w:rFonts w:hint="eastAsia" w:ascii="仿宋_GB2312" w:hAnsi="仿宋_GB2312" w:eastAsia="仿宋_GB2312" w:cs="仿宋_GB2312"/>
                <w:color w:val="auto"/>
                <w:sz w:val="32"/>
                <w:szCs w:val="32"/>
                <w:highlight w:val="none"/>
              </w:rPr>
            </w:pPr>
          </w:p>
        </w:tc>
        <w:tc>
          <w:tcPr>
            <w:tcW w:w="71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09F3AB">
            <w:pPr>
              <w:widowControl/>
              <w:snapToGrid w:val="0"/>
              <w:spacing w:line="360" w:lineRule="auto"/>
              <w:ind w:firstLine="32" w:firstLineChars="10"/>
              <w:jc w:val="center"/>
              <w:textAlignment w:val="center"/>
              <w:rPr>
                <w:rFonts w:hint="eastAsia" w:ascii="仿宋_GB2312" w:hAnsi="仿宋_GB2312" w:eastAsia="仿宋_GB2312" w:cs="仿宋_GB2312"/>
                <w:color w:val="auto"/>
                <w:sz w:val="32"/>
                <w:szCs w:val="32"/>
                <w:highlight w:val="none"/>
              </w:rPr>
            </w:pPr>
          </w:p>
        </w:tc>
        <w:tc>
          <w:tcPr>
            <w:tcW w:w="65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7FB8308">
            <w:pPr>
              <w:widowControl/>
              <w:snapToGrid w:val="0"/>
              <w:spacing w:line="360" w:lineRule="auto"/>
              <w:ind w:firstLine="32" w:firstLineChars="10"/>
              <w:jc w:val="center"/>
              <w:textAlignment w:val="center"/>
              <w:rPr>
                <w:rFonts w:hint="eastAsia" w:ascii="仿宋_GB2312" w:hAnsi="仿宋_GB2312" w:eastAsia="仿宋_GB2312" w:cs="仿宋_GB2312"/>
                <w:color w:val="auto"/>
                <w:sz w:val="32"/>
                <w:szCs w:val="32"/>
                <w:highlight w:val="none"/>
              </w:rPr>
            </w:pPr>
          </w:p>
        </w:tc>
        <w:tc>
          <w:tcPr>
            <w:tcW w:w="70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D71F8C7">
            <w:pPr>
              <w:widowControl/>
              <w:snapToGrid w:val="0"/>
              <w:spacing w:line="360" w:lineRule="auto"/>
              <w:ind w:firstLine="32" w:firstLineChars="10"/>
              <w:jc w:val="center"/>
              <w:textAlignment w:val="center"/>
              <w:rPr>
                <w:rFonts w:hint="eastAsia" w:ascii="仿宋_GB2312" w:hAnsi="仿宋_GB2312" w:eastAsia="仿宋_GB2312" w:cs="仿宋_GB2312"/>
                <w:color w:val="auto"/>
                <w:sz w:val="32"/>
                <w:szCs w:val="32"/>
                <w:highlight w:val="none"/>
              </w:rPr>
            </w:pPr>
          </w:p>
        </w:tc>
        <w:tc>
          <w:tcPr>
            <w:tcW w:w="104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DA219AB">
            <w:pPr>
              <w:widowControl/>
              <w:snapToGrid w:val="0"/>
              <w:spacing w:line="360" w:lineRule="auto"/>
              <w:ind w:firstLine="32" w:firstLineChars="10"/>
              <w:jc w:val="center"/>
              <w:textAlignment w:val="center"/>
              <w:rPr>
                <w:rFonts w:hint="eastAsia" w:ascii="仿宋_GB2312" w:hAnsi="仿宋_GB2312" w:eastAsia="仿宋_GB2312" w:cs="仿宋_GB2312"/>
                <w:color w:val="auto"/>
                <w:sz w:val="32"/>
                <w:szCs w:val="32"/>
                <w:highlight w:val="none"/>
              </w:rPr>
            </w:pPr>
          </w:p>
        </w:tc>
        <w:tc>
          <w:tcPr>
            <w:tcW w:w="461"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9866F7">
            <w:pPr>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r>
      <w:tr w14:paraId="0121E782">
        <w:tblPrEx>
          <w:tblCellMar>
            <w:top w:w="0" w:type="dxa"/>
            <w:left w:w="0" w:type="dxa"/>
            <w:bottom w:w="0" w:type="dxa"/>
            <w:right w:w="0" w:type="dxa"/>
          </w:tblCellMar>
        </w:tblPrEx>
        <w:trPr>
          <w:trHeight w:val="510" w:hRule="atLeast"/>
        </w:trPr>
        <w:tc>
          <w:tcPr>
            <w:tcW w:w="411"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CB8AAD4">
            <w:pPr>
              <w:widowControl/>
              <w:snapToGrid w:val="0"/>
              <w:spacing w:line="360" w:lineRule="auto"/>
              <w:ind w:firstLine="32" w:firstLineChars="10"/>
              <w:jc w:val="center"/>
              <w:textAlignment w:val="center"/>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5</w:t>
            </w:r>
          </w:p>
        </w:tc>
        <w:tc>
          <w:tcPr>
            <w:tcW w:w="1001"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93EF0A5">
            <w:pPr>
              <w:widowControl/>
              <w:snapToGrid w:val="0"/>
              <w:spacing w:line="360" w:lineRule="auto"/>
              <w:ind w:firstLine="32" w:firstLineChars="10"/>
              <w:jc w:val="center"/>
              <w:textAlignment w:val="center"/>
              <w:rPr>
                <w:rFonts w:hint="eastAsia" w:ascii="仿宋_GB2312" w:hAnsi="仿宋_GB2312" w:eastAsia="仿宋_GB2312" w:cs="仿宋_GB2312"/>
                <w:color w:val="auto"/>
                <w:sz w:val="32"/>
                <w:szCs w:val="32"/>
                <w:highlight w:val="none"/>
              </w:rPr>
            </w:pPr>
          </w:p>
        </w:tc>
        <w:tc>
          <w:tcPr>
            <w:tcW w:w="71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7CBF93">
            <w:pPr>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c>
          <w:tcPr>
            <w:tcW w:w="65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D631E31">
            <w:pPr>
              <w:widowControl/>
              <w:snapToGrid w:val="0"/>
              <w:spacing w:line="360" w:lineRule="auto"/>
              <w:ind w:firstLine="32" w:firstLineChars="10"/>
              <w:jc w:val="center"/>
              <w:textAlignment w:val="center"/>
              <w:rPr>
                <w:rFonts w:hint="eastAsia" w:ascii="仿宋_GB2312" w:hAnsi="仿宋_GB2312" w:eastAsia="仿宋_GB2312" w:cs="仿宋_GB2312"/>
                <w:color w:val="auto"/>
                <w:sz w:val="32"/>
                <w:szCs w:val="32"/>
                <w:highlight w:val="none"/>
              </w:rPr>
            </w:pPr>
          </w:p>
        </w:tc>
        <w:tc>
          <w:tcPr>
            <w:tcW w:w="70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3325F8C">
            <w:pPr>
              <w:widowControl/>
              <w:snapToGrid w:val="0"/>
              <w:spacing w:line="360" w:lineRule="auto"/>
              <w:ind w:firstLine="32" w:firstLineChars="10"/>
              <w:jc w:val="center"/>
              <w:textAlignment w:val="center"/>
              <w:rPr>
                <w:rFonts w:hint="eastAsia" w:ascii="仿宋_GB2312" w:hAnsi="仿宋_GB2312" w:eastAsia="仿宋_GB2312" w:cs="仿宋_GB2312"/>
                <w:color w:val="auto"/>
                <w:sz w:val="32"/>
                <w:szCs w:val="32"/>
                <w:highlight w:val="none"/>
              </w:rPr>
            </w:pPr>
          </w:p>
        </w:tc>
        <w:tc>
          <w:tcPr>
            <w:tcW w:w="104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BF2BB95">
            <w:pPr>
              <w:widowControl/>
              <w:snapToGrid w:val="0"/>
              <w:spacing w:line="360" w:lineRule="auto"/>
              <w:ind w:firstLine="32" w:firstLineChars="10"/>
              <w:jc w:val="center"/>
              <w:textAlignment w:val="center"/>
              <w:rPr>
                <w:rFonts w:hint="eastAsia" w:ascii="仿宋_GB2312" w:hAnsi="仿宋_GB2312" w:eastAsia="仿宋_GB2312" w:cs="仿宋_GB2312"/>
                <w:color w:val="auto"/>
                <w:sz w:val="32"/>
                <w:szCs w:val="32"/>
                <w:highlight w:val="none"/>
              </w:rPr>
            </w:pPr>
          </w:p>
        </w:tc>
        <w:tc>
          <w:tcPr>
            <w:tcW w:w="461"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953D9F7">
            <w:pPr>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r>
      <w:tr w14:paraId="1A2D690F">
        <w:tblPrEx>
          <w:tblCellMar>
            <w:top w:w="0" w:type="dxa"/>
            <w:left w:w="0" w:type="dxa"/>
            <w:bottom w:w="0" w:type="dxa"/>
            <w:right w:w="0" w:type="dxa"/>
          </w:tblCellMar>
        </w:tblPrEx>
        <w:trPr>
          <w:trHeight w:val="510" w:hRule="atLeast"/>
        </w:trPr>
        <w:tc>
          <w:tcPr>
            <w:tcW w:w="411"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C70A6B3">
            <w:pPr>
              <w:widowControl/>
              <w:snapToGrid w:val="0"/>
              <w:spacing w:line="360" w:lineRule="auto"/>
              <w:ind w:firstLine="32" w:firstLineChars="10"/>
              <w:jc w:val="center"/>
              <w:textAlignment w:val="center"/>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6</w:t>
            </w:r>
          </w:p>
        </w:tc>
        <w:tc>
          <w:tcPr>
            <w:tcW w:w="1001"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64AB69B">
            <w:pPr>
              <w:widowControl/>
              <w:snapToGrid w:val="0"/>
              <w:spacing w:line="360" w:lineRule="auto"/>
              <w:ind w:firstLine="32" w:firstLineChars="10"/>
              <w:jc w:val="center"/>
              <w:textAlignment w:val="center"/>
              <w:rPr>
                <w:rFonts w:hint="eastAsia" w:ascii="仿宋_GB2312" w:hAnsi="仿宋_GB2312" w:eastAsia="仿宋_GB2312" w:cs="仿宋_GB2312"/>
                <w:color w:val="auto"/>
                <w:sz w:val="32"/>
                <w:szCs w:val="32"/>
                <w:highlight w:val="none"/>
              </w:rPr>
            </w:pPr>
          </w:p>
        </w:tc>
        <w:tc>
          <w:tcPr>
            <w:tcW w:w="71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C2E3561">
            <w:pPr>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c>
          <w:tcPr>
            <w:tcW w:w="65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1E0D3B6">
            <w:pPr>
              <w:widowControl/>
              <w:snapToGrid w:val="0"/>
              <w:spacing w:line="360" w:lineRule="auto"/>
              <w:ind w:firstLine="32" w:firstLineChars="10"/>
              <w:jc w:val="center"/>
              <w:textAlignment w:val="center"/>
              <w:rPr>
                <w:rFonts w:hint="eastAsia" w:ascii="仿宋_GB2312" w:hAnsi="仿宋_GB2312" w:eastAsia="仿宋_GB2312" w:cs="仿宋_GB2312"/>
                <w:color w:val="auto"/>
                <w:sz w:val="32"/>
                <w:szCs w:val="32"/>
                <w:highlight w:val="none"/>
              </w:rPr>
            </w:pPr>
          </w:p>
        </w:tc>
        <w:tc>
          <w:tcPr>
            <w:tcW w:w="70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C7A975">
            <w:pPr>
              <w:widowControl/>
              <w:snapToGrid w:val="0"/>
              <w:spacing w:line="360" w:lineRule="auto"/>
              <w:ind w:firstLine="32" w:firstLineChars="10"/>
              <w:jc w:val="center"/>
              <w:textAlignment w:val="center"/>
              <w:rPr>
                <w:rFonts w:hint="eastAsia" w:ascii="仿宋_GB2312" w:hAnsi="仿宋_GB2312" w:eastAsia="仿宋_GB2312" w:cs="仿宋_GB2312"/>
                <w:color w:val="auto"/>
                <w:sz w:val="32"/>
                <w:szCs w:val="32"/>
                <w:highlight w:val="none"/>
              </w:rPr>
            </w:pPr>
          </w:p>
        </w:tc>
        <w:tc>
          <w:tcPr>
            <w:tcW w:w="104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B17C2B2">
            <w:pPr>
              <w:widowControl/>
              <w:snapToGrid w:val="0"/>
              <w:spacing w:line="360" w:lineRule="auto"/>
              <w:ind w:firstLine="32" w:firstLineChars="10"/>
              <w:jc w:val="center"/>
              <w:textAlignment w:val="center"/>
              <w:rPr>
                <w:rFonts w:hint="eastAsia" w:ascii="仿宋_GB2312" w:hAnsi="仿宋_GB2312" w:eastAsia="仿宋_GB2312" w:cs="仿宋_GB2312"/>
                <w:color w:val="auto"/>
                <w:sz w:val="32"/>
                <w:szCs w:val="32"/>
                <w:highlight w:val="none"/>
              </w:rPr>
            </w:pPr>
          </w:p>
        </w:tc>
        <w:tc>
          <w:tcPr>
            <w:tcW w:w="461"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A2C2024">
            <w:pPr>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r>
      <w:tr w14:paraId="609C9ADB">
        <w:tblPrEx>
          <w:tblCellMar>
            <w:top w:w="0" w:type="dxa"/>
            <w:left w:w="0" w:type="dxa"/>
            <w:bottom w:w="0" w:type="dxa"/>
            <w:right w:w="0" w:type="dxa"/>
          </w:tblCellMar>
        </w:tblPrEx>
        <w:trPr>
          <w:trHeight w:val="510" w:hRule="atLeast"/>
        </w:trPr>
        <w:tc>
          <w:tcPr>
            <w:tcW w:w="411"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4D77EF3">
            <w:pPr>
              <w:widowControl/>
              <w:snapToGrid w:val="0"/>
              <w:spacing w:line="360" w:lineRule="auto"/>
              <w:ind w:firstLine="32" w:firstLineChars="10"/>
              <w:jc w:val="center"/>
              <w:textAlignment w:val="center"/>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7</w:t>
            </w:r>
          </w:p>
        </w:tc>
        <w:tc>
          <w:tcPr>
            <w:tcW w:w="1001"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2C00E39">
            <w:pPr>
              <w:widowControl/>
              <w:snapToGrid w:val="0"/>
              <w:spacing w:line="360" w:lineRule="auto"/>
              <w:ind w:firstLine="32" w:firstLineChars="10"/>
              <w:jc w:val="center"/>
              <w:textAlignment w:val="center"/>
              <w:rPr>
                <w:rFonts w:hint="eastAsia" w:ascii="仿宋_GB2312" w:hAnsi="仿宋_GB2312" w:eastAsia="仿宋_GB2312" w:cs="仿宋_GB2312"/>
                <w:color w:val="auto"/>
                <w:sz w:val="32"/>
                <w:szCs w:val="32"/>
                <w:highlight w:val="none"/>
              </w:rPr>
            </w:pPr>
          </w:p>
        </w:tc>
        <w:tc>
          <w:tcPr>
            <w:tcW w:w="71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2349884">
            <w:pPr>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c>
          <w:tcPr>
            <w:tcW w:w="65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8EBB602">
            <w:pPr>
              <w:widowControl/>
              <w:snapToGrid w:val="0"/>
              <w:spacing w:line="360" w:lineRule="auto"/>
              <w:ind w:firstLine="32" w:firstLineChars="10"/>
              <w:jc w:val="center"/>
              <w:textAlignment w:val="center"/>
              <w:rPr>
                <w:rFonts w:hint="eastAsia" w:ascii="仿宋_GB2312" w:hAnsi="仿宋_GB2312" w:eastAsia="仿宋_GB2312" w:cs="仿宋_GB2312"/>
                <w:color w:val="auto"/>
                <w:sz w:val="32"/>
                <w:szCs w:val="32"/>
                <w:highlight w:val="none"/>
              </w:rPr>
            </w:pPr>
          </w:p>
        </w:tc>
        <w:tc>
          <w:tcPr>
            <w:tcW w:w="70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BE2AFB0">
            <w:pPr>
              <w:widowControl/>
              <w:snapToGrid w:val="0"/>
              <w:spacing w:line="360" w:lineRule="auto"/>
              <w:ind w:firstLine="32" w:firstLineChars="10"/>
              <w:jc w:val="center"/>
              <w:textAlignment w:val="center"/>
              <w:rPr>
                <w:rFonts w:hint="eastAsia" w:ascii="仿宋_GB2312" w:hAnsi="仿宋_GB2312" w:eastAsia="仿宋_GB2312" w:cs="仿宋_GB2312"/>
                <w:color w:val="auto"/>
                <w:sz w:val="32"/>
                <w:szCs w:val="32"/>
                <w:highlight w:val="none"/>
              </w:rPr>
            </w:pPr>
          </w:p>
        </w:tc>
        <w:tc>
          <w:tcPr>
            <w:tcW w:w="104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9B0FC97">
            <w:pPr>
              <w:widowControl/>
              <w:snapToGrid w:val="0"/>
              <w:spacing w:line="360" w:lineRule="auto"/>
              <w:ind w:firstLine="32" w:firstLineChars="10"/>
              <w:jc w:val="center"/>
              <w:textAlignment w:val="center"/>
              <w:rPr>
                <w:rFonts w:hint="eastAsia" w:ascii="仿宋_GB2312" w:hAnsi="仿宋_GB2312" w:eastAsia="仿宋_GB2312" w:cs="仿宋_GB2312"/>
                <w:color w:val="auto"/>
                <w:sz w:val="32"/>
                <w:szCs w:val="32"/>
                <w:highlight w:val="none"/>
              </w:rPr>
            </w:pPr>
          </w:p>
        </w:tc>
        <w:tc>
          <w:tcPr>
            <w:tcW w:w="461"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1934CE">
            <w:pPr>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r>
      <w:tr w14:paraId="38D3893B">
        <w:tblPrEx>
          <w:tblCellMar>
            <w:top w:w="0" w:type="dxa"/>
            <w:left w:w="0" w:type="dxa"/>
            <w:bottom w:w="0" w:type="dxa"/>
            <w:right w:w="0" w:type="dxa"/>
          </w:tblCellMar>
        </w:tblPrEx>
        <w:trPr>
          <w:trHeight w:val="510" w:hRule="atLeast"/>
        </w:trPr>
        <w:tc>
          <w:tcPr>
            <w:tcW w:w="411"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5A7BE8A">
            <w:pPr>
              <w:widowControl/>
              <w:snapToGrid w:val="0"/>
              <w:spacing w:line="360" w:lineRule="auto"/>
              <w:ind w:firstLine="32" w:firstLineChars="10"/>
              <w:jc w:val="center"/>
              <w:textAlignment w:val="center"/>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8</w:t>
            </w:r>
          </w:p>
        </w:tc>
        <w:tc>
          <w:tcPr>
            <w:tcW w:w="1001"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86B6A1D">
            <w:pPr>
              <w:widowControl/>
              <w:snapToGrid w:val="0"/>
              <w:spacing w:line="360" w:lineRule="auto"/>
              <w:ind w:firstLine="32" w:firstLineChars="10"/>
              <w:jc w:val="center"/>
              <w:textAlignment w:val="center"/>
              <w:rPr>
                <w:rFonts w:hint="eastAsia" w:ascii="仿宋_GB2312" w:hAnsi="仿宋_GB2312" w:eastAsia="仿宋_GB2312" w:cs="仿宋_GB2312"/>
                <w:color w:val="auto"/>
                <w:sz w:val="32"/>
                <w:szCs w:val="32"/>
                <w:highlight w:val="none"/>
              </w:rPr>
            </w:pPr>
          </w:p>
        </w:tc>
        <w:tc>
          <w:tcPr>
            <w:tcW w:w="71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D2AF8F9">
            <w:pPr>
              <w:widowControl/>
              <w:snapToGrid w:val="0"/>
              <w:spacing w:line="360" w:lineRule="auto"/>
              <w:ind w:firstLine="32" w:firstLineChars="10"/>
              <w:jc w:val="center"/>
              <w:textAlignment w:val="center"/>
              <w:rPr>
                <w:rFonts w:hint="eastAsia" w:ascii="仿宋_GB2312" w:hAnsi="仿宋_GB2312" w:eastAsia="仿宋_GB2312" w:cs="仿宋_GB2312"/>
                <w:color w:val="auto"/>
                <w:sz w:val="32"/>
                <w:szCs w:val="32"/>
                <w:highlight w:val="none"/>
              </w:rPr>
            </w:pPr>
          </w:p>
        </w:tc>
        <w:tc>
          <w:tcPr>
            <w:tcW w:w="65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03423B7">
            <w:pPr>
              <w:widowControl/>
              <w:snapToGrid w:val="0"/>
              <w:spacing w:line="360" w:lineRule="auto"/>
              <w:ind w:firstLine="32" w:firstLineChars="10"/>
              <w:jc w:val="center"/>
              <w:textAlignment w:val="center"/>
              <w:rPr>
                <w:rFonts w:hint="eastAsia" w:ascii="仿宋_GB2312" w:hAnsi="仿宋_GB2312" w:eastAsia="仿宋_GB2312" w:cs="仿宋_GB2312"/>
                <w:color w:val="auto"/>
                <w:sz w:val="32"/>
                <w:szCs w:val="32"/>
                <w:highlight w:val="none"/>
              </w:rPr>
            </w:pPr>
          </w:p>
        </w:tc>
        <w:tc>
          <w:tcPr>
            <w:tcW w:w="70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D31CA7">
            <w:pPr>
              <w:widowControl/>
              <w:snapToGrid w:val="0"/>
              <w:spacing w:line="360" w:lineRule="auto"/>
              <w:ind w:firstLine="32" w:firstLineChars="10"/>
              <w:jc w:val="center"/>
              <w:textAlignment w:val="center"/>
              <w:rPr>
                <w:rFonts w:hint="eastAsia" w:ascii="仿宋_GB2312" w:hAnsi="仿宋_GB2312" w:eastAsia="仿宋_GB2312" w:cs="仿宋_GB2312"/>
                <w:color w:val="auto"/>
                <w:sz w:val="32"/>
                <w:szCs w:val="32"/>
                <w:highlight w:val="none"/>
              </w:rPr>
            </w:pPr>
          </w:p>
        </w:tc>
        <w:tc>
          <w:tcPr>
            <w:tcW w:w="104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2E5CAE9">
            <w:pPr>
              <w:widowControl/>
              <w:snapToGrid w:val="0"/>
              <w:spacing w:line="360" w:lineRule="auto"/>
              <w:ind w:firstLine="32" w:firstLineChars="10"/>
              <w:jc w:val="center"/>
              <w:textAlignment w:val="center"/>
              <w:rPr>
                <w:rFonts w:hint="eastAsia" w:ascii="仿宋_GB2312" w:hAnsi="仿宋_GB2312" w:eastAsia="仿宋_GB2312" w:cs="仿宋_GB2312"/>
                <w:color w:val="auto"/>
                <w:sz w:val="32"/>
                <w:szCs w:val="32"/>
                <w:highlight w:val="none"/>
              </w:rPr>
            </w:pPr>
          </w:p>
        </w:tc>
        <w:tc>
          <w:tcPr>
            <w:tcW w:w="461"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1B1077D">
            <w:pPr>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r>
      <w:tr w14:paraId="10F15F91">
        <w:tblPrEx>
          <w:tblCellMar>
            <w:top w:w="0" w:type="dxa"/>
            <w:left w:w="0" w:type="dxa"/>
            <w:bottom w:w="0" w:type="dxa"/>
            <w:right w:w="0" w:type="dxa"/>
          </w:tblCellMar>
        </w:tblPrEx>
        <w:trPr>
          <w:trHeight w:val="510" w:hRule="atLeast"/>
        </w:trPr>
        <w:tc>
          <w:tcPr>
            <w:tcW w:w="411"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4D4EAC9">
            <w:pPr>
              <w:widowControl/>
              <w:snapToGrid w:val="0"/>
              <w:spacing w:line="360" w:lineRule="auto"/>
              <w:ind w:firstLine="32" w:firstLineChars="10"/>
              <w:jc w:val="center"/>
              <w:textAlignment w:val="center"/>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9</w:t>
            </w:r>
          </w:p>
        </w:tc>
        <w:tc>
          <w:tcPr>
            <w:tcW w:w="1001"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9E354F7">
            <w:pPr>
              <w:widowControl/>
              <w:snapToGrid w:val="0"/>
              <w:spacing w:line="360" w:lineRule="auto"/>
              <w:ind w:firstLine="32" w:firstLineChars="10"/>
              <w:jc w:val="center"/>
              <w:textAlignment w:val="center"/>
              <w:rPr>
                <w:rFonts w:hint="eastAsia" w:ascii="仿宋_GB2312" w:hAnsi="仿宋_GB2312" w:eastAsia="仿宋_GB2312" w:cs="仿宋_GB2312"/>
                <w:color w:val="auto"/>
                <w:sz w:val="32"/>
                <w:szCs w:val="32"/>
                <w:highlight w:val="none"/>
              </w:rPr>
            </w:pPr>
          </w:p>
        </w:tc>
        <w:tc>
          <w:tcPr>
            <w:tcW w:w="71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F5FE5C9">
            <w:pPr>
              <w:widowControl/>
              <w:snapToGrid w:val="0"/>
              <w:spacing w:line="360" w:lineRule="auto"/>
              <w:ind w:firstLine="32" w:firstLineChars="10"/>
              <w:jc w:val="center"/>
              <w:textAlignment w:val="center"/>
              <w:rPr>
                <w:rFonts w:hint="eastAsia" w:ascii="仿宋_GB2312" w:hAnsi="仿宋_GB2312" w:eastAsia="仿宋_GB2312" w:cs="仿宋_GB2312"/>
                <w:color w:val="auto"/>
                <w:sz w:val="32"/>
                <w:szCs w:val="32"/>
                <w:highlight w:val="none"/>
              </w:rPr>
            </w:pPr>
          </w:p>
        </w:tc>
        <w:tc>
          <w:tcPr>
            <w:tcW w:w="65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9890C64">
            <w:pPr>
              <w:widowControl/>
              <w:snapToGrid w:val="0"/>
              <w:spacing w:line="360" w:lineRule="auto"/>
              <w:ind w:firstLine="32" w:firstLineChars="10"/>
              <w:jc w:val="center"/>
              <w:textAlignment w:val="center"/>
              <w:rPr>
                <w:rFonts w:hint="eastAsia" w:ascii="仿宋_GB2312" w:hAnsi="仿宋_GB2312" w:eastAsia="仿宋_GB2312" w:cs="仿宋_GB2312"/>
                <w:color w:val="auto"/>
                <w:sz w:val="32"/>
                <w:szCs w:val="32"/>
                <w:highlight w:val="none"/>
              </w:rPr>
            </w:pPr>
          </w:p>
        </w:tc>
        <w:tc>
          <w:tcPr>
            <w:tcW w:w="70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EEF19A3">
            <w:pPr>
              <w:widowControl/>
              <w:snapToGrid w:val="0"/>
              <w:spacing w:line="360" w:lineRule="auto"/>
              <w:ind w:firstLine="32" w:firstLineChars="10"/>
              <w:jc w:val="center"/>
              <w:textAlignment w:val="center"/>
              <w:rPr>
                <w:rFonts w:hint="eastAsia" w:ascii="仿宋_GB2312" w:hAnsi="仿宋_GB2312" w:eastAsia="仿宋_GB2312" w:cs="仿宋_GB2312"/>
                <w:color w:val="auto"/>
                <w:sz w:val="32"/>
                <w:szCs w:val="32"/>
                <w:highlight w:val="none"/>
              </w:rPr>
            </w:pPr>
          </w:p>
        </w:tc>
        <w:tc>
          <w:tcPr>
            <w:tcW w:w="104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A864CB2">
            <w:pPr>
              <w:widowControl/>
              <w:snapToGrid w:val="0"/>
              <w:spacing w:line="360" w:lineRule="auto"/>
              <w:ind w:firstLine="32" w:firstLineChars="10"/>
              <w:jc w:val="center"/>
              <w:textAlignment w:val="center"/>
              <w:rPr>
                <w:rFonts w:hint="eastAsia" w:ascii="仿宋_GB2312" w:hAnsi="仿宋_GB2312" w:eastAsia="仿宋_GB2312" w:cs="仿宋_GB2312"/>
                <w:color w:val="auto"/>
                <w:sz w:val="32"/>
                <w:szCs w:val="32"/>
                <w:highlight w:val="none"/>
              </w:rPr>
            </w:pPr>
          </w:p>
        </w:tc>
        <w:tc>
          <w:tcPr>
            <w:tcW w:w="461"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69CABF4">
            <w:pPr>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r>
      <w:tr w14:paraId="42C4AD57">
        <w:tblPrEx>
          <w:tblCellMar>
            <w:top w:w="0" w:type="dxa"/>
            <w:left w:w="0" w:type="dxa"/>
            <w:bottom w:w="0" w:type="dxa"/>
            <w:right w:w="0" w:type="dxa"/>
          </w:tblCellMar>
        </w:tblPrEx>
        <w:trPr>
          <w:trHeight w:val="510" w:hRule="atLeast"/>
        </w:trPr>
        <w:tc>
          <w:tcPr>
            <w:tcW w:w="411"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E278103">
            <w:pPr>
              <w:widowControl/>
              <w:snapToGrid w:val="0"/>
              <w:spacing w:line="360" w:lineRule="auto"/>
              <w:ind w:firstLine="32" w:firstLineChars="10"/>
              <w:jc w:val="center"/>
              <w:textAlignment w:val="center"/>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10</w:t>
            </w:r>
          </w:p>
        </w:tc>
        <w:tc>
          <w:tcPr>
            <w:tcW w:w="1001"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0402E28">
            <w:pPr>
              <w:widowControl/>
              <w:snapToGrid w:val="0"/>
              <w:spacing w:line="360" w:lineRule="auto"/>
              <w:ind w:firstLine="32" w:firstLineChars="10"/>
              <w:jc w:val="center"/>
              <w:textAlignment w:val="center"/>
              <w:rPr>
                <w:rFonts w:hint="eastAsia" w:ascii="仿宋_GB2312" w:hAnsi="仿宋_GB2312" w:eastAsia="仿宋_GB2312" w:cs="仿宋_GB2312"/>
                <w:color w:val="auto"/>
                <w:sz w:val="32"/>
                <w:szCs w:val="32"/>
                <w:highlight w:val="none"/>
              </w:rPr>
            </w:pPr>
          </w:p>
        </w:tc>
        <w:tc>
          <w:tcPr>
            <w:tcW w:w="71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BD637E9">
            <w:pPr>
              <w:widowControl/>
              <w:snapToGrid w:val="0"/>
              <w:spacing w:line="360" w:lineRule="auto"/>
              <w:ind w:firstLine="32" w:firstLineChars="10"/>
              <w:jc w:val="center"/>
              <w:textAlignment w:val="center"/>
              <w:rPr>
                <w:rFonts w:hint="eastAsia" w:ascii="仿宋_GB2312" w:hAnsi="仿宋_GB2312" w:eastAsia="仿宋_GB2312" w:cs="仿宋_GB2312"/>
                <w:color w:val="auto"/>
                <w:sz w:val="32"/>
                <w:szCs w:val="32"/>
                <w:highlight w:val="none"/>
              </w:rPr>
            </w:pPr>
          </w:p>
        </w:tc>
        <w:tc>
          <w:tcPr>
            <w:tcW w:w="65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A91627B">
            <w:pPr>
              <w:widowControl/>
              <w:snapToGrid w:val="0"/>
              <w:spacing w:line="360" w:lineRule="auto"/>
              <w:ind w:firstLine="32" w:firstLineChars="10"/>
              <w:jc w:val="center"/>
              <w:textAlignment w:val="center"/>
              <w:rPr>
                <w:rFonts w:hint="eastAsia" w:ascii="仿宋_GB2312" w:hAnsi="仿宋_GB2312" w:eastAsia="仿宋_GB2312" w:cs="仿宋_GB2312"/>
                <w:color w:val="auto"/>
                <w:sz w:val="32"/>
                <w:szCs w:val="32"/>
                <w:highlight w:val="none"/>
              </w:rPr>
            </w:pPr>
          </w:p>
        </w:tc>
        <w:tc>
          <w:tcPr>
            <w:tcW w:w="70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91D5541">
            <w:pPr>
              <w:widowControl/>
              <w:snapToGrid w:val="0"/>
              <w:spacing w:line="360" w:lineRule="auto"/>
              <w:ind w:firstLine="32" w:firstLineChars="10"/>
              <w:jc w:val="center"/>
              <w:textAlignment w:val="center"/>
              <w:rPr>
                <w:rFonts w:hint="eastAsia" w:ascii="仿宋_GB2312" w:hAnsi="仿宋_GB2312" w:eastAsia="仿宋_GB2312" w:cs="仿宋_GB2312"/>
                <w:color w:val="auto"/>
                <w:sz w:val="32"/>
                <w:szCs w:val="32"/>
                <w:highlight w:val="none"/>
              </w:rPr>
            </w:pPr>
          </w:p>
        </w:tc>
        <w:tc>
          <w:tcPr>
            <w:tcW w:w="104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14B32E">
            <w:pPr>
              <w:widowControl/>
              <w:snapToGrid w:val="0"/>
              <w:spacing w:line="360" w:lineRule="auto"/>
              <w:ind w:firstLine="32" w:firstLineChars="10"/>
              <w:jc w:val="center"/>
              <w:textAlignment w:val="center"/>
              <w:rPr>
                <w:rFonts w:hint="eastAsia" w:ascii="仿宋_GB2312" w:hAnsi="仿宋_GB2312" w:eastAsia="仿宋_GB2312" w:cs="仿宋_GB2312"/>
                <w:color w:val="auto"/>
                <w:sz w:val="32"/>
                <w:szCs w:val="32"/>
                <w:highlight w:val="none"/>
              </w:rPr>
            </w:pPr>
          </w:p>
        </w:tc>
        <w:tc>
          <w:tcPr>
            <w:tcW w:w="461"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C4BBA08">
            <w:pPr>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r>
      <w:permEnd w:id="98"/>
    </w:tbl>
    <w:p w14:paraId="05AE75C7">
      <w:pPr>
        <w:snapToGrid w:val="0"/>
        <w:spacing w:line="360" w:lineRule="auto"/>
        <w:jc w:val="left"/>
        <w:outlineLvl w:val="2"/>
        <w:rPr>
          <w:rFonts w:hint="eastAsia" w:ascii="仿宋_GB2312" w:hAnsi="仿宋_GB2312" w:eastAsia="仿宋_GB2312" w:cs="仿宋_GB2312"/>
          <w:color w:val="auto"/>
          <w:sz w:val="32"/>
          <w:szCs w:val="32"/>
          <w:highlight w:val="none"/>
        </w:rPr>
      </w:pPr>
      <w:bookmarkStart w:id="2927" w:name="_Toc31674"/>
      <w:bookmarkStart w:id="2928" w:name="_Toc2001"/>
      <w:bookmarkStart w:id="2929" w:name="_Toc11711"/>
      <w:bookmarkStart w:id="2930" w:name="_Toc8814"/>
      <w:bookmarkStart w:id="2931" w:name="_Toc31523"/>
      <w:bookmarkStart w:id="2932" w:name="_Toc27496"/>
      <w:bookmarkStart w:id="2933" w:name="_Toc16225"/>
      <w:r>
        <w:rPr>
          <w:rFonts w:hint="eastAsia" w:ascii="仿宋" w:hAnsi="仿宋" w:eastAsia="仿宋" w:cs="仿宋"/>
          <w:color w:val="auto"/>
          <w:sz w:val="32"/>
          <w:szCs w:val="32"/>
          <w:highlight w:val="none"/>
        </w:rPr>
        <w:br w:type="page"/>
      </w:r>
      <w:bookmarkStart w:id="2934" w:name="_Toc21746"/>
      <w:r>
        <w:rPr>
          <w:rFonts w:hint="eastAsia" w:ascii="黑体" w:hAnsi="黑体" w:eastAsia="黑体" w:cs="黑体"/>
          <w:color w:val="auto"/>
          <w:sz w:val="32"/>
          <w:szCs w:val="32"/>
          <w:highlight w:val="none"/>
        </w:rPr>
        <w:t>附件5</w:t>
      </w:r>
      <w:bookmarkEnd w:id="2927"/>
      <w:bookmarkEnd w:id="2928"/>
      <w:bookmarkEnd w:id="2929"/>
      <w:bookmarkEnd w:id="2930"/>
      <w:bookmarkEnd w:id="2931"/>
      <w:bookmarkEnd w:id="2932"/>
      <w:bookmarkEnd w:id="2933"/>
      <w:bookmarkEnd w:id="2934"/>
      <w:r>
        <w:rPr>
          <w:rFonts w:hint="eastAsia" w:ascii="仿宋_GB2312" w:hAnsi="仿宋_GB2312" w:eastAsia="仿宋_GB2312" w:cs="仿宋_GB2312"/>
          <w:color w:val="auto"/>
          <w:sz w:val="32"/>
          <w:szCs w:val="32"/>
          <w:highlight w:val="none"/>
        </w:rPr>
        <w:t xml:space="preserve"> </w:t>
      </w:r>
    </w:p>
    <w:p w14:paraId="73F73C78">
      <w:pPr>
        <w:keepNext/>
        <w:keepLines/>
        <w:snapToGrid w:val="0"/>
        <w:spacing w:line="360" w:lineRule="auto"/>
        <w:jc w:val="center"/>
        <w:rPr>
          <w:rFonts w:hint="eastAsia" w:ascii="方正小标宋简体" w:hAnsi="方正小标宋简体" w:eastAsia="方正小标宋简体" w:cs="方正小标宋简体"/>
          <w:b w:val="0"/>
          <w:bCs w:val="0"/>
          <w:color w:val="auto"/>
          <w:sz w:val="44"/>
          <w:szCs w:val="44"/>
          <w:highlight w:val="none"/>
        </w:rPr>
      </w:pPr>
      <w:r>
        <w:rPr>
          <w:rFonts w:hint="eastAsia" w:ascii="方正小标宋简体" w:hAnsi="方正小标宋简体" w:eastAsia="方正小标宋简体" w:cs="方正小标宋简体"/>
          <w:b w:val="0"/>
          <w:bCs w:val="0"/>
          <w:color w:val="auto"/>
          <w:sz w:val="44"/>
          <w:szCs w:val="44"/>
          <w:highlight w:val="none"/>
        </w:rPr>
        <w:t>承包人主要施工管理人员表</w:t>
      </w:r>
    </w:p>
    <w:tbl>
      <w:tblPr>
        <w:tblStyle w:val="13"/>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1169"/>
        <w:gridCol w:w="947"/>
        <w:gridCol w:w="1199"/>
        <w:gridCol w:w="947"/>
        <w:gridCol w:w="819"/>
        <w:gridCol w:w="1580"/>
        <w:gridCol w:w="1200"/>
        <w:gridCol w:w="661"/>
      </w:tblGrid>
      <w:tr w14:paraId="6C3BE8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49" w:hRule="atLeast"/>
          <w:jc w:val="center"/>
        </w:trPr>
        <w:tc>
          <w:tcPr>
            <w:tcW w:w="1242" w:type="dxa"/>
            <w:vMerge w:val="restart"/>
            <w:tcBorders>
              <w:top w:val="single" w:color="auto" w:sz="4" w:space="0"/>
              <w:left w:val="single" w:color="auto" w:sz="4" w:space="0"/>
              <w:right w:val="single" w:color="auto" w:sz="4" w:space="0"/>
            </w:tcBorders>
            <w:noWrap w:val="0"/>
            <w:vAlign w:val="center"/>
          </w:tcPr>
          <w:p w14:paraId="03F4A2D8">
            <w:pPr>
              <w:widowControl/>
              <w:snapToGrid w:val="0"/>
              <w:spacing w:line="360" w:lineRule="auto"/>
              <w:ind w:firstLine="32" w:firstLineChars="10"/>
              <w:rPr>
                <w:rFonts w:hint="eastAsia" w:ascii="仿宋_GB2312" w:hAnsi="仿宋_GB2312" w:eastAsia="仿宋_GB2312" w:cs="仿宋_GB2312"/>
                <w:color w:val="auto"/>
                <w:sz w:val="32"/>
                <w:szCs w:val="32"/>
                <w:highlight w:val="none"/>
              </w:rPr>
            </w:pPr>
            <w:permStart w:id="99" w:edGrp="everyone"/>
            <w:r>
              <w:rPr>
                <w:rFonts w:hint="eastAsia" w:ascii="仿宋_GB2312" w:hAnsi="仿宋_GB2312" w:eastAsia="仿宋_GB2312" w:cs="仿宋_GB2312"/>
                <w:color w:val="auto"/>
                <w:sz w:val="32"/>
                <w:szCs w:val="32"/>
                <w:highlight w:val="none"/>
              </w:rPr>
              <w:t xml:space="preserve">职务 </w:t>
            </w:r>
          </w:p>
        </w:tc>
        <w:tc>
          <w:tcPr>
            <w:tcW w:w="993" w:type="dxa"/>
            <w:vMerge w:val="restart"/>
            <w:tcBorders>
              <w:top w:val="single" w:color="auto" w:sz="4" w:space="0"/>
              <w:left w:val="single" w:color="auto" w:sz="4" w:space="0"/>
              <w:right w:val="single" w:color="auto" w:sz="4" w:space="0"/>
            </w:tcBorders>
            <w:noWrap w:val="0"/>
            <w:vAlign w:val="center"/>
          </w:tcPr>
          <w:p w14:paraId="2D0D5893">
            <w:pPr>
              <w:widowControl/>
              <w:snapToGrid w:val="0"/>
              <w:spacing w:line="360" w:lineRule="auto"/>
              <w:ind w:firstLine="32" w:firstLineChars="1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姓名 </w:t>
            </w:r>
          </w:p>
        </w:tc>
        <w:tc>
          <w:tcPr>
            <w:tcW w:w="1275" w:type="dxa"/>
            <w:vMerge w:val="restart"/>
            <w:tcBorders>
              <w:top w:val="single" w:color="auto" w:sz="4" w:space="0"/>
              <w:left w:val="single" w:color="auto" w:sz="4" w:space="0"/>
              <w:right w:val="single" w:color="auto" w:sz="4" w:space="0"/>
            </w:tcBorders>
            <w:noWrap w:val="0"/>
            <w:vAlign w:val="center"/>
          </w:tcPr>
          <w:p w14:paraId="54A2DA5F">
            <w:pPr>
              <w:widowControl/>
              <w:snapToGrid w:val="0"/>
              <w:spacing w:line="360" w:lineRule="auto"/>
              <w:ind w:firstLine="32" w:firstLineChars="1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职称</w:t>
            </w:r>
          </w:p>
        </w:tc>
        <w:tc>
          <w:tcPr>
            <w:tcW w:w="4820" w:type="dxa"/>
            <w:gridSpan w:val="4"/>
            <w:tcBorders>
              <w:top w:val="single" w:color="auto" w:sz="4" w:space="0"/>
              <w:left w:val="single" w:color="auto" w:sz="4" w:space="0"/>
              <w:bottom w:val="single" w:color="auto" w:sz="4" w:space="0"/>
              <w:right w:val="single" w:color="auto" w:sz="4" w:space="0"/>
            </w:tcBorders>
            <w:noWrap w:val="0"/>
            <w:vAlign w:val="center"/>
          </w:tcPr>
          <w:p w14:paraId="0A526AA1">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执业或职业资格证明</w:t>
            </w:r>
          </w:p>
        </w:tc>
        <w:tc>
          <w:tcPr>
            <w:tcW w:w="673" w:type="dxa"/>
            <w:vMerge w:val="restart"/>
            <w:tcBorders>
              <w:top w:val="single" w:color="auto" w:sz="4" w:space="0"/>
              <w:left w:val="single" w:color="auto" w:sz="4" w:space="0"/>
              <w:right w:val="single" w:color="auto" w:sz="4" w:space="0"/>
            </w:tcBorders>
            <w:noWrap w:val="0"/>
            <w:vAlign w:val="center"/>
          </w:tcPr>
          <w:p w14:paraId="1FFC7129">
            <w:pPr>
              <w:widowControl/>
              <w:snapToGrid w:val="0"/>
              <w:spacing w:line="360" w:lineRule="auto"/>
              <w:ind w:firstLine="32" w:firstLineChars="1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备 注</w:t>
            </w:r>
          </w:p>
        </w:tc>
      </w:tr>
      <w:tr w14:paraId="05BD02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1242" w:type="dxa"/>
            <w:vMerge w:val="continue"/>
            <w:tcBorders>
              <w:left w:val="single" w:color="auto" w:sz="4" w:space="0"/>
              <w:right w:val="single" w:color="auto" w:sz="4" w:space="0"/>
            </w:tcBorders>
            <w:noWrap w:val="0"/>
            <w:vAlign w:val="center"/>
          </w:tcPr>
          <w:p w14:paraId="525347ED">
            <w:pPr>
              <w:widowControl/>
              <w:snapToGrid w:val="0"/>
              <w:spacing w:line="360" w:lineRule="auto"/>
              <w:ind w:firstLine="32" w:firstLineChars="10"/>
              <w:rPr>
                <w:rFonts w:hint="eastAsia" w:ascii="仿宋_GB2312" w:hAnsi="仿宋_GB2312" w:eastAsia="仿宋_GB2312" w:cs="仿宋_GB2312"/>
                <w:color w:val="auto"/>
                <w:sz w:val="32"/>
                <w:szCs w:val="32"/>
                <w:highlight w:val="none"/>
              </w:rPr>
            </w:pPr>
          </w:p>
        </w:tc>
        <w:tc>
          <w:tcPr>
            <w:tcW w:w="993" w:type="dxa"/>
            <w:vMerge w:val="continue"/>
            <w:tcBorders>
              <w:left w:val="single" w:color="auto" w:sz="4" w:space="0"/>
              <w:right w:val="single" w:color="auto" w:sz="4" w:space="0"/>
            </w:tcBorders>
            <w:noWrap w:val="0"/>
            <w:vAlign w:val="center"/>
          </w:tcPr>
          <w:p w14:paraId="6887D72E">
            <w:pPr>
              <w:widowControl/>
              <w:snapToGrid w:val="0"/>
              <w:spacing w:line="360" w:lineRule="auto"/>
              <w:ind w:firstLine="32" w:firstLineChars="10"/>
              <w:rPr>
                <w:rFonts w:hint="eastAsia" w:ascii="仿宋_GB2312" w:hAnsi="仿宋_GB2312" w:eastAsia="仿宋_GB2312" w:cs="仿宋_GB2312"/>
                <w:color w:val="auto"/>
                <w:sz w:val="32"/>
                <w:szCs w:val="32"/>
                <w:highlight w:val="none"/>
              </w:rPr>
            </w:pPr>
          </w:p>
        </w:tc>
        <w:tc>
          <w:tcPr>
            <w:tcW w:w="1275" w:type="dxa"/>
            <w:vMerge w:val="continue"/>
            <w:tcBorders>
              <w:left w:val="single" w:color="auto" w:sz="4" w:space="0"/>
              <w:right w:val="single" w:color="auto" w:sz="4" w:space="0"/>
            </w:tcBorders>
            <w:noWrap w:val="0"/>
            <w:vAlign w:val="center"/>
          </w:tcPr>
          <w:p w14:paraId="6F595CE1">
            <w:pPr>
              <w:widowControl/>
              <w:snapToGrid w:val="0"/>
              <w:spacing w:line="360" w:lineRule="auto"/>
              <w:ind w:firstLine="32" w:firstLineChars="10"/>
              <w:rPr>
                <w:rFonts w:hint="eastAsia" w:ascii="仿宋_GB2312" w:hAnsi="仿宋_GB2312" w:eastAsia="仿宋_GB2312" w:cs="仿宋_GB2312"/>
                <w:color w:val="auto"/>
                <w:sz w:val="32"/>
                <w:szCs w:val="32"/>
                <w:highlight w:val="none"/>
              </w:rPr>
            </w:pPr>
          </w:p>
        </w:tc>
        <w:tc>
          <w:tcPr>
            <w:tcW w:w="993" w:type="dxa"/>
            <w:tcBorders>
              <w:top w:val="single" w:color="auto" w:sz="4" w:space="0"/>
              <w:left w:val="single" w:color="auto" w:sz="4" w:space="0"/>
              <w:bottom w:val="single" w:color="auto" w:sz="4" w:space="0"/>
              <w:right w:val="single" w:color="auto" w:sz="4" w:space="0"/>
            </w:tcBorders>
            <w:noWrap w:val="0"/>
            <w:vAlign w:val="center"/>
          </w:tcPr>
          <w:p w14:paraId="7B9FA031">
            <w:pPr>
              <w:widowControl/>
              <w:snapToGrid w:val="0"/>
              <w:spacing w:line="360" w:lineRule="auto"/>
              <w:ind w:firstLine="32" w:firstLineChars="1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证书名称</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5278F524">
            <w:pPr>
              <w:widowControl/>
              <w:snapToGrid w:val="0"/>
              <w:spacing w:line="360" w:lineRule="auto"/>
              <w:ind w:firstLine="32" w:firstLineChars="1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级别 </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578296B">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证号</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3AAAB6C3">
            <w:pPr>
              <w:widowControl/>
              <w:snapToGrid w:val="0"/>
              <w:spacing w:line="360" w:lineRule="auto"/>
              <w:ind w:firstLine="32" w:firstLineChars="1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专业</w:t>
            </w:r>
          </w:p>
        </w:tc>
        <w:tc>
          <w:tcPr>
            <w:tcW w:w="673" w:type="dxa"/>
            <w:vMerge w:val="continue"/>
            <w:tcBorders>
              <w:left w:val="single" w:color="auto" w:sz="4" w:space="0"/>
              <w:right w:val="single" w:color="auto" w:sz="4" w:space="0"/>
            </w:tcBorders>
            <w:noWrap w:val="0"/>
            <w:vAlign w:val="center"/>
          </w:tcPr>
          <w:p w14:paraId="41FB68B8">
            <w:pPr>
              <w:widowControl/>
              <w:snapToGrid w:val="0"/>
              <w:spacing w:line="360" w:lineRule="auto"/>
              <w:ind w:firstLine="32" w:firstLineChars="10"/>
              <w:rPr>
                <w:rFonts w:hint="eastAsia" w:ascii="仿宋_GB2312" w:hAnsi="仿宋_GB2312" w:eastAsia="仿宋_GB2312" w:cs="仿宋_GB2312"/>
                <w:color w:val="auto"/>
                <w:sz w:val="32"/>
                <w:szCs w:val="32"/>
                <w:highlight w:val="none"/>
              </w:rPr>
            </w:pPr>
          </w:p>
        </w:tc>
      </w:tr>
      <w:tr w14:paraId="584D24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1242" w:type="dxa"/>
            <w:tcBorders>
              <w:left w:val="single" w:color="auto" w:sz="4" w:space="0"/>
              <w:right w:val="single" w:color="auto" w:sz="4" w:space="0"/>
            </w:tcBorders>
            <w:noWrap w:val="0"/>
            <w:vAlign w:val="center"/>
          </w:tcPr>
          <w:p w14:paraId="4565CBFC">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c>
          <w:tcPr>
            <w:tcW w:w="993" w:type="dxa"/>
            <w:tcBorders>
              <w:left w:val="single" w:color="auto" w:sz="4" w:space="0"/>
              <w:right w:val="single" w:color="auto" w:sz="4" w:space="0"/>
            </w:tcBorders>
            <w:noWrap w:val="0"/>
            <w:vAlign w:val="center"/>
          </w:tcPr>
          <w:p w14:paraId="17563B2C">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c>
          <w:tcPr>
            <w:tcW w:w="1275" w:type="dxa"/>
            <w:tcBorders>
              <w:left w:val="single" w:color="auto" w:sz="4" w:space="0"/>
              <w:right w:val="single" w:color="auto" w:sz="4" w:space="0"/>
            </w:tcBorders>
            <w:noWrap w:val="0"/>
            <w:vAlign w:val="center"/>
          </w:tcPr>
          <w:p w14:paraId="4FEED851">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c>
          <w:tcPr>
            <w:tcW w:w="993" w:type="dxa"/>
            <w:tcBorders>
              <w:top w:val="single" w:color="auto" w:sz="4" w:space="0"/>
              <w:left w:val="single" w:color="auto" w:sz="4" w:space="0"/>
              <w:bottom w:val="single" w:color="auto" w:sz="4" w:space="0"/>
              <w:right w:val="single" w:color="auto" w:sz="4" w:space="0"/>
            </w:tcBorders>
            <w:noWrap w:val="0"/>
            <w:vAlign w:val="center"/>
          </w:tcPr>
          <w:p w14:paraId="3E5FD139">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c>
          <w:tcPr>
            <w:tcW w:w="850" w:type="dxa"/>
            <w:tcBorders>
              <w:top w:val="single" w:color="auto" w:sz="4" w:space="0"/>
              <w:left w:val="single" w:color="auto" w:sz="4" w:space="0"/>
              <w:bottom w:val="single" w:color="auto" w:sz="4" w:space="0"/>
              <w:right w:val="single" w:color="auto" w:sz="4" w:space="0"/>
            </w:tcBorders>
            <w:noWrap w:val="0"/>
            <w:vAlign w:val="center"/>
          </w:tcPr>
          <w:p w14:paraId="5631C127">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12AD37F">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6B66A009">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c>
          <w:tcPr>
            <w:tcW w:w="673" w:type="dxa"/>
            <w:noWrap w:val="0"/>
            <w:vAlign w:val="center"/>
          </w:tcPr>
          <w:p w14:paraId="4A731C21">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r>
      <w:tr w14:paraId="1BC66A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1242" w:type="dxa"/>
            <w:tcBorders>
              <w:left w:val="single" w:color="auto" w:sz="4" w:space="0"/>
              <w:right w:val="single" w:color="auto" w:sz="4" w:space="0"/>
            </w:tcBorders>
            <w:noWrap w:val="0"/>
            <w:vAlign w:val="center"/>
          </w:tcPr>
          <w:p w14:paraId="0A8409A9">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c>
          <w:tcPr>
            <w:tcW w:w="993" w:type="dxa"/>
            <w:tcBorders>
              <w:left w:val="single" w:color="auto" w:sz="4" w:space="0"/>
              <w:right w:val="single" w:color="auto" w:sz="4" w:space="0"/>
            </w:tcBorders>
            <w:noWrap w:val="0"/>
            <w:vAlign w:val="center"/>
          </w:tcPr>
          <w:p w14:paraId="59075BD2">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c>
          <w:tcPr>
            <w:tcW w:w="1275" w:type="dxa"/>
            <w:tcBorders>
              <w:left w:val="single" w:color="auto" w:sz="4" w:space="0"/>
              <w:right w:val="single" w:color="auto" w:sz="4" w:space="0"/>
            </w:tcBorders>
            <w:noWrap w:val="0"/>
            <w:vAlign w:val="center"/>
          </w:tcPr>
          <w:p w14:paraId="3CEAE0EE">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c>
          <w:tcPr>
            <w:tcW w:w="993" w:type="dxa"/>
            <w:tcBorders>
              <w:top w:val="single" w:color="auto" w:sz="4" w:space="0"/>
              <w:left w:val="single" w:color="auto" w:sz="4" w:space="0"/>
              <w:bottom w:val="single" w:color="auto" w:sz="4" w:space="0"/>
              <w:right w:val="single" w:color="auto" w:sz="4" w:space="0"/>
            </w:tcBorders>
            <w:noWrap w:val="0"/>
            <w:vAlign w:val="center"/>
          </w:tcPr>
          <w:p w14:paraId="01E246E1">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c>
          <w:tcPr>
            <w:tcW w:w="850" w:type="dxa"/>
            <w:tcBorders>
              <w:top w:val="single" w:color="auto" w:sz="4" w:space="0"/>
              <w:left w:val="single" w:color="auto" w:sz="4" w:space="0"/>
              <w:bottom w:val="single" w:color="auto" w:sz="4" w:space="0"/>
              <w:right w:val="single" w:color="auto" w:sz="4" w:space="0"/>
            </w:tcBorders>
            <w:noWrap w:val="0"/>
            <w:vAlign w:val="center"/>
          </w:tcPr>
          <w:p w14:paraId="41DA0C46">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38C9E7B">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56B91BBF">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c>
          <w:tcPr>
            <w:tcW w:w="673" w:type="dxa"/>
            <w:noWrap w:val="0"/>
            <w:vAlign w:val="center"/>
          </w:tcPr>
          <w:p w14:paraId="73460716">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r>
      <w:tr w14:paraId="0C36A2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1242" w:type="dxa"/>
            <w:tcBorders>
              <w:left w:val="single" w:color="auto" w:sz="4" w:space="0"/>
              <w:right w:val="single" w:color="auto" w:sz="4" w:space="0"/>
            </w:tcBorders>
            <w:noWrap w:val="0"/>
            <w:vAlign w:val="center"/>
          </w:tcPr>
          <w:p w14:paraId="7869BAB2">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c>
          <w:tcPr>
            <w:tcW w:w="993" w:type="dxa"/>
            <w:tcBorders>
              <w:left w:val="single" w:color="auto" w:sz="4" w:space="0"/>
              <w:right w:val="single" w:color="auto" w:sz="4" w:space="0"/>
            </w:tcBorders>
            <w:noWrap w:val="0"/>
            <w:vAlign w:val="center"/>
          </w:tcPr>
          <w:p w14:paraId="713EFCB6">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c>
          <w:tcPr>
            <w:tcW w:w="1275" w:type="dxa"/>
            <w:tcBorders>
              <w:left w:val="single" w:color="auto" w:sz="4" w:space="0"/>
              <w:right w:val="single" w:color="auto" w:sz="4" w:space="0"/>
            </w:tcBorders>
            <w:noWrap w:val="0"/>
            <w:vAlign w:val="center"/>
          </w:tcPr>
          <w:p w14:paraId="66993D9B">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c>
          <w:tcPr>
            <w:tcW w:w="993" w:type="dxa"/>
            <w:tcBorders>
              <w:top w:val="single" w:color="auto" w:sz="4" w:space="0"/>
              <w:left w:val="single" w:color="auto" w:sz="4" w:space="0"/>
              <w:bottom w:val="single" w:color="auto" w:sz="4" w:space="0"/>
              <w:right w:val="single" w:color="auto" w:sz="4" w:space="0"/>
            </w:tcBorders>
            <w:noWrap w:val="0"/>
            <w:vAlign w:val="center"/>
          </w:tcPr>
          <w:p w14:paraId="711B596F">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c>
          <w:tcPr>
            <w:tcW w:w="850" w:type="dxa"/>
            <w:tcBorders>
              <w:top w:val="single" w:color="auto" w:sz="4" w:space="0"/>
              <w:left w:val="single" w:color="auto" w:sz="4" w:space="0"/>
              <w:bottom w:val="single" w:color="auto" w:sz="4" w:space="0"/>
              <w:right w:val="single" w:color="auto" w:sz="4" w:space="0"/>
            </w:tcBorders>
            <w:noWrap w:val="0"/>
            <w:vAlign w:val="center"/>
          </w:tcPr>
          <w:p w14:paraId="6964A83A">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B86CDC3">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65569D17">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c>
          <w:tcPr>
            <w:tcW w:w="673" w:type="dxa"/>
            <w:noWrap w:val="0"/>
            <w:vAlign w:val="center"/>
          </w:tcPr>
          <w:p w14:paraId="6B6A9C7C">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r>
      <w:tr w14:paraId="67B9AF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1242" w:type="dxa"/>
            <w:tcBorders>
              <w:left w:val="single" w:color="auto" w:sz="4" w:space="0"/>
              <w:right w:val="single" w:color="auto" w:sz="4" w:space="0"/>
            </w:tcBorders>
            <w:noWrap w:val="0"/>
            <w:vAlign w:val="center"/>
          </w:tcPr>
          <w:p w14:paraId="7DAAE45F">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c>
          <w:tcPr>
            <w:tcW w:w="993" w:type="dxa"/>
            <w:tcBorders>
              <w:left w:val="single" w:color="auto" w:sz="4" w:space="0"/>
              <w:right w:val="single" w:color="auto" w:sz="4" w:space="0"/>
            </w:tcBorders>
            <w:noWrap w:val="0"/>
            <w:vAlign w:val="center"/>
          </w:tcPr>
          <w:p w14:paraId="67E72D2E">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c>
          <w:tcPr>
            <w:tcW w:w="1275" w:type="dxa"/>
            <w:tcBorders>
              <w:left w:val="single" w:color="auto" w:sz="4" w:space="0"/>
              <w:right w:val="single" w:color="auto" w:sz="4" w:space="0"/>
            </w:tcBorders>
            <w:noWrap w:val="0"/>
            <w:vAlign w:val="center"/>
          </w:tcPr>
          <w:p w14:paraId="5CFE9233">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c>
          <w:tcPr>
            <w:tcW w:w="993" w:type="dxa"/>
            <w:tcBorders>
              <w:top w:val="single" w:color="auto" w:sz="4" w:space="0"/>
              <w:left w:val="single" w:color="auto" w:sz="4" w:space="0"/>
              <w:bottom w:val="single" w:color="auto" w:sz="4" w:space="0"/>
              <w:right w:val="single" w:color="auto" w:sz="4" w:space="0"/>
            </w:tcBorders>
            <w:noWrap w:val="0"/>
            <w:vAlign w:val="center"/>
          </w:tcPr>
          <w:p w14:paraId="7CAB6C57">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c>
          <w:tcPr>
            <w:tcW w:w="850" w:type="dxa"/>
            <w:tcBorders>
              <w:top w:val="single" w:color="auto" w:sz="4" w:space="0"/>
              <w:left w:val="single" w:color="auto" w:sz="4" w:space="0"/>
              <w:bottom w:val="single" w:color="auto" w:sz="4" w:space="0"/>
              <w:right w:val="single" w:color="auto" w:sz="4" w:space="0"/>
            </w:tcBorders>
            <w:noWrap w:val="0"/>
            <w:vAlign w:val="center"/>
          </w:tcPr>
          <w:p w14:paraId="3C9F93A3">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0299CF3">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754E8741">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c>
          <w:tcPr>
            <w:tcW w:w="673" w:type="dxa"/>
            <w:noWrap w:val="0"/>
            <w:vAlign w:val="center"/>
          </w:tcPr>
          <w:p w14:paraId="4F907408">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r>
      <w:tr w14:paraId="2C8C28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1242" w:type="dxa"/>
            <w:tcBorders>
              <w:left w:val="single" w:color="auto" w:sz="4" w:space="0"/>
              <w:right w:val="single" w:color="auto" w:sz="4" w:space="0"/>
            </w:tcBorders>
            <w:noWrap w:val="0"/>
            <w:vAlign w:val="center"/>
          </w:tcPr>
          <w:p w14:paraId="112AB172">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c>
          <w:tcPr>
            <w:tcW w:w="993" w:type="dxa"/>
            <w:tcBorders>
              <w:left w:val="single" w:color="auto" w:sz="4" w:space="0"/>
              <w:right w:val="single" w:color="auto" w:sz="4" w:space="0"/>
            </w:tcBorders>
            <w:noWrap w:val="0"/>
            <w:vAlign w:val="center"/>
          </w:tcPr>
          <w:p w14:paraId="6267C038">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c>
          <w:tcPr>
            <w:tcW w:w="1275" w:type="dxa"/>
            <w:tcBorders>
              <w:left w:val="single" w:color="auto" w:sz="4" w:space="0"/>
              <w:right w:val="single" w:color="auto" w:sz="4" w:space="0"/>
            </w:tcBorders>
            <w:noWrap w:val="0"/>
            <w:vAlign w:val="center"/>
          </w:tcPr>
          <w:p w14:paraId="5138607B">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c>
          <w:tcPr>
            <w:tcW w:w="993" w:type="dxa"/>
            <w:tcBorders>
              <w:top w:val="single" w:color="auto" w:sz="4" w:space="0"/>
              <w:left w:val="single" w:color="auto" w:sz="4" w:space="0"/>
              <w:bottom w:val="single" w:color="auto" w:sz="4" w:space="0"/>
              <w:right w:val="single" w:color="auto" w:sz="4" w:space="0"/>
            </w:tcBorders>
            <w:noWrap w:val="0"/>
            <w:vAlign w:val="center"/>
          </w:tcPr>
          <w:p w14:paraId="108B6406">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c>
          <w:tcPr>
            <w:tcW w:w="850" w:type="dxa"/>
            <w:tcBorders>
              <w:top w:val="single" w:color="auto" w:sz="4" w:space="0"/>
              <w:left w:val="single" w:color="auto" w:sz="4" w:space="0"/>
              <w:bottom w:val="single" w:color="auto" w:sz="4" w:space="0"/>
              <w:right w:val="single" w:color="auto" w:sz="4" w:space="0"/>
            </w:tcBorders>
            <w:noWrap w:val="0"/>
            <w:vAlign w:val="center"/>
          </w:tcPr>
          <w:p w14:paraId="0780A553">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3F53091">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04FFAFB4">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c>
          <w:tcPr>
            <w:tcW w:w="673" w:type="dxa"/>
            <w:noWrap w:val="0"/>
            <w:vAlign w:val="center"/>
          </w:tcPr>
          <w:p w14:paraId="4E4A77ED">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r>
      <w:tr w14:paraId="7EB8A4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1242" w:type="dxa"/>
            <w:tcBorders>
              <w:left w:val="single" w:color="auto" w:sz="4" w:space="0"/>
              <w:right w:val="single" w:color="auto" w:sz="4" w:space="0"/>
            </w:tcBorders>
            <w:noWrap w:val="0"/>
            <w:vAlign w:val="center"/>
          </w:tcPr>
          <w:p w14:paraId="045B0E8F">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c>
          <w:tcPr>
            <w:tcW w:w="993" w:type="dxa"/>
            <w:tcBorders>
              <w:left w:val="single" w:color="auto" w:sz="4" w:space="0"/>
              <w:right w:val="single" w:color="auto" w:sz="4" w:space="0"/>
            </w:tcBorders>
            <w:noWrap w:val="0"/>
            <w:vAlign w:val="center"/>
          </w:tcPr>
          <w:p w14:paraId="6957BB72">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c>
          <w:tcPr>
            <w:tcW w:w="1275" w:type="dxa"/>
            <w:tcBorders>
              <w:left w:val="single" w:color="auto" w:sz="4" w:space="0"/>
              <w:right w:val="single" w:color="auto" w:sz="4" w:space="0"/>
            </w:tcBorders>
            <w:noWrap w:val="0"/>
            <w:vAlign w:val="center"/>
          </w:tcPr>
          <w:p w14:paraId="370F8451">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c>
          <w:tcPr>
            <w:tcW w:w="993" w:type="dxa"/>
            <w:tcBorders>
              <w:top w:val="single" w:color="auto" w:sz="4" w:space="0"/>
              <w:left w:val="single" w:color="auto" w:sz="4" w:space="0"/>
              <w:bottom w:val="single" w:color="auto" w:sz="4" w:space="0"/>
              <w:right w:val="single" w:color="auto" w:sz="4" w:space="0"/>
            </w:tcBorders>
            <w:noWrap w:val="0"/>
            <w:vAlign w:val="center"/>
          </w:tcPr>
          <w:p w14:paraId="689C1273">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c>
          <w:tcPr>
            <w:tcW w:w="850" w:type="dxa"/>
            <w:tcBorders>
              <w:top w:val="single" w:color="auto" w:sz="4" w:space="0"/>
              <w:left w:val="single" w:color="auto" w:sz="4" w:space="0"/>
              <w:bottom w:val="single" w:color="auto" w:sz="4" w:space="0"/>
              <w:right w:val="single" w:color="auto" w:sz="4" w:space="0"/>
            </w:tcBorders>
            <w:noWrap w:val="0"/>
            <w:vAlign w:val="center"/>
          </w:tcPr>
          <w:p w14:paraId="33D9769C">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E75EFC9">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1CDEB6B7">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c>
          <w:tcPr>
            <w:tcW w:w="673" w:type="dxa"/>
            <w:noWrap w:val="0"/>
            <w:vAlign w:val="center"/>
          </w:tcPr>
          <w:p w14:paraId="607DA689">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r>
      <w:tr w14:paraId="1E4214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1242" w:type="dxa"/>
            <w:tcBorders>
              <w:left w:val="single" w:color="auto" w:sz="4" w:space="0"/>
              <w:right w:val="single" w:color="auto" w:sz="4" w:space="0"/>
            </w:tcBorders>
            <w:noWrap w:val="0"/>
            <w:vAlign w:val="center"/>
          </w:tcPr>
          <w:p w14:paraId="154D0553">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c>
          <w:tcPr>
            <w:tcW w:w="993" w:type="dxa"/>
            <w:tcBorders>
              <w:left w:val="single" w:color="auto" w:sz="4" w:space="0"/>
              <w:right w:val="single" w:color="auto" w:sz="4" w:space="0"/>
            </w:tcBorders>
            <w:noWrap w:val="0"/>
            <w:vAlign w:val="center"/>
          </w:tcPr>
          <w:p w14:paraId="6B701299">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c>
          <w:tcPr>
            <w:tcW w:w="1275" w:type="dxa"/>
            <w:tcBorders>
              <w:left w:val="single" w:color="auto" w:sz="4" w:space="0"/>
              <w:right w:val="single" w:color="auto" w:sz="4" w:space="0"/>
            </w:tcBorders>
            <w:noWrap w:val="0"/>
            <w:vAlign w:val="center"/>
          </w:tcPr>
          <w:p w14:paraId="20B8C909">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c>
          <w:tcPr>
            <w:tcW w:w="993" w:type="dxa"/>
            <w:tcBorders>
              <w:top w:val="single" w:color="auto" w:sz="4" w:space="0"/>
              <w:left w:val="single" w:color="auto" w:sz="4" w:space="0"/>
              <w:bottom w:val="single" w:color="auto" w:sz="4" w:space="0"/>
              <w:right w:val="single" w:color="auto" w:sz="4" w:space="0"/>
            </w:tcBorders>
            <w:noWrap w:val="0"/>
            <w:vAlign w:val="center"/>
          </w:tcPr>
          <w:p w14:paraId="5E3F4698">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c>
          <w:tcPr>
            <w:tcW w:w="850" w:type="dxa"/>
            <w:tcBorders>
              <w:top w:val="single" w:color="auto" w:sz="4" w:space="0"/>
              <w:left w:val="single" w:color="auto" w:sz="4" w:space="0"/>
              <w:bottom w:val="single" w:color="auto" w:sz="4" w:space="0"/>
              <w:right w:val="single" w:color="auto" w:sz="4" w:space="0"/>
            </w:tcBorders>
            <w:noWrap w:val="0"/>
            <w:vAlign w:val="center"/>
          </w:tcPr>
          <w:p w14:paraId="6F78C3BA">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BF6B8CD">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6000EFDF">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c>
          <w:tcPr>
            <w:tcW w:w="673" w:type="dxa"/>
            <w:noWrap w:val="0"/>
            <w:vAlign w:val="center"/>
          </w:tcPr>
          <w:p w14:paraId="7FE515AA">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r>
      <w:tr w14:paraId="47228C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1242" w:type="dxa"/>
            <w:tcBorders>
              <w:left w:val="single" w:color="auto" w:sz="4" w:space="0"/>
              <w:right w:val="single" w:color="auto" w:sz="4" w:space="0"/>
            </w:tcBorders>
            <w:noWrap w:val="0"/>
            <w:vAlign w:val="center"/>
          </w:tcPr>
          <w:p w14:paraId="3281E091">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c>
          <w:tcPr>
            <w:tcW w:w="993" w:type="dxa"/>
            <w:tcBorders>
              <w:left w:val="single" w:color="auto" w:sz="4" w:space="0"/>
              <w:right w:val="single" w:color="auto" w:sz="4" w:space="0"/>
            </w:tcBorders>
            <w:noWrap w:val="0"/>
            <w:vAlign w:val="center"/>
          </w:tcPr>
          <w:p w14:paraId="5F8373F2">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c>
          <w:tcPr>
            <w:tcW w:w="1275" w:type="dxa"/>
            <w:tcBorders>
              <w:left w:val="single" w:color="auto" w:sz="4" w:space="0"/>
              <w:right w:val="single" w:color="auto" w:sz="4" w:space="0"/>
            </w:tcBorders>
            <w:noWrap w:val="0"/>
            <w:vAlign w:val="center"/>
          </w:tcPr>
          <w:p w14:paraId="36595451">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c>
          <w:tcPr>
            <w:tcW w:w="993" w:type="dxa"/>
            <w:tcBorders>
              <w:top w:val="single" w:color="auto" w:sz="4" w:space="0"/>
              <w:left w:val="single" w:color="auto" w:sz="4" w:space="0"/>
              <w:bottom w:val="single" w:color="auto" w:sz="4" w:space="0"/>
              <w:right w:val="single" w:color="auto" w:sz="4" w:space="0"/>
            </w:tcBorders>
            <w:noWrap w:val="0"/>
            <w:vAlign w:val="center"/>
          </w:tcPr>
          <w:p w14:paraId="16A2D48B">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c>
          <w:tcPr>
            <w:tcW w:w="850" w:type="dxa"/>
            <w:tcBorders>
              <w:top w:val="single" w:color="auto" w:sz="4" w:space="0"/>
              <w:left w:val="single" w:color="auto" w:sz="4" w:space="0"/>
              <w:bottom w:val="single" w:color="auto" w:sz="4" w:space="0"/>
              <w:right w:val="single" w:color="auto" w:sz="4" w:space="0"/>
            </w:tcBorders>
            <w:noWrap w:val="0"/>
            <w:vAlign w:val="center"/>
          </w:tcPr>
          <w:p w14:paraId="15A8708A">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4F964F1">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62B2A665">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c>
          <w:tcPr>
            <w:tcW w:w="673" w:type="dxa"/>
            <w:noWrap w:val="0"/>
            <w:vAlign w:val="center"/>
          </w:tcPr>
          <w:p w14:paraId="7C4F8014">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r>
      <w:tr w14:paraId="6C7F5A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1242" w:type="dxa"/>
            <w:tcBorders>
              <w:left w:val="single" w:color="auto" w:sz="4" w:space="0"/>
              <w:right w:val="single" w:color="auto" w:sz="4" w:space="0"/>
            </w:tcBorders>
            <w:noWrap w:val="0"/>
            <w:vAlign w:val="center"/>
          </w:tcPr>
          <w:p w14:paraId="1DA2ED32">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c>
          <w:tcPr>
            <w:tcW w:w="993" w:type="dxa"/>
            <w:tcBorders>
              <w:left w:val="single" w:color="auto" w:sz="4" w:space="0"/>
              <w:right w:val="single" w:color="auto" w:sz="4" w:space="0"/>
            </w:tcBorders>
            <w:noWrap w:val="0"/>
            <w:vAlign w:val="center"/>
          </w:tcPr>
          <w:p w14:paraId="67E0FF73">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c>
          <w:tcPr>
            <w:tcW w:w="1275" w:type="dxa"/>
            <w:tcBorders>
              <w:left w:val="single" w:color="auto" w:sz="4" w:space="0"/>
              <w:right w:val="single" w:color="auto" w:sz="4" w:space="0"/>
            </w:tcBorders>
            <w:noWrap w:val="0"/>
            <w:vAlign w:val="center"/>
          </w:tcPr>
          <w:p w14:paraId="24866976">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c>
          <w:tcPr>
            <w:tcW w:w="993" w:type="dxa"/>
            <w:tcBorders>
              <w:top w:val="single" w:color="auto" w:sz="4" w:space="0"/>
              <w:left w:val="single" w:color="auto" w:sz="4" w:space="0"/>
              <w:bottom w:val="single" w:color="auto" w:sz="4" w:space="0"/>
              <w:right w:val="single" w:color="auto" w:sz="4" w:space="0"/>
            </w:tcBorders>
            <w:noWrap w:val="0"/>
            <w:vAlign w:val="center"/>
          </w:tcPr>
          <w:p w14:paraId="12424D70">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c>
          <w:tcPr>
            <w:tcW w:w="850" w:type="dxa"/>
            <w:tcBorders>
              <w:top w:val="single" w:color="auto" w:sz="4" w:space="0"/>
              <w:left w:val="single" w:color="auto" w:sz="4" w:space="0"/>
              <w:bottom w:val="single" w:color="auto" w:sz="4" w:space="0"/>
              <w:right w:val="single" w:color="auto" w:sz="4" w:space="0"/>
            </w:tcBorders>
            <w:noWrap w:val="0"/>
            <w:vAlign w:val="center"/>
          </w:tcPr>
          <w:p w14:paraId="3505078D">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DB90DA5">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72564157">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c>
          <w:tcPr>
            <w:tcW w:w="673" w:type="dxa"/>
            <w:noWrap w:val="0"/>
            <w:vAlign w:val="center"/>
          </w:tcPr>
          <w:p w14:paraId="03E994C1">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r>
      <w:tr w14:paraId="6C9EEB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1242" w:type="dxa"/>
            <w:tcBorders>
              <w:left w:val="single" w:color="auto" w:sz="4" w:space="0"/>
              <w:right w:val="single" w:color="auto" w:sz="4" w:space="0"/>
            </w:tcBorders>
            <w:noWrap w:val="0"/>
            <w:vAlign w:val="center"/>
          </w:tcPr>
          <w:p w14:paraId="2D463364">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c>
          <w:tcPr>
            <w:tcW w:w="993" w:type="dxa"/>
            <w:tcBorders>
              <w:left w:val="single" w:color="auto" w:sz="4" w:space="0"/>
              <w:right w:val="single" w:color="auto" w:sz="4" w:space="0"/>
            </w:tcBorders>
            <w:noWrap w:val="0"/>
            <w:vAlign w:val="center"/>
          </w:tcPr>
          <w:p w14:paraId="7C23FF08">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c>
          <w:tcPr>
            <w:tcW w:w="1275" w:type="dxa"/>
            <w:tcBorders>
              <w:left w:val="single" w:color="auto" w:sz="4" w:space="0"/>
              <w:right w:val="single" w:color="auto" w:sz="4" w:space="0"/>
            </w:tcBorders>
            <w:noWrap w:val="0"/>
            <w:vAlign w:val="center"/>
          </w:tcPr>
          <w:p w14:paraId="310D5811">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c>
          <w:tcPr>
            <w:tcW w:w="993" w:type="dxa"/>
            <w:tcBorders>
              <w:top w:val="single" w:color="auto" w:sz="4" w:space="0"/>
              <w:left w:val="single" w:color="auto" w:sz="4" w:space="0"/>
              <w:bottom w:val="single" w:color="auto" w:sz="4" w:space="0"/>
              <w:right w:val="single" w:color="auto" w:sz="4" w:space="0"/>
            </w:tcBorders>
            <w:noWrap w:val="0"/>
            <w:vAlign w:val="center"/>
          </w:tcPr>
          <w:p w14:paraId="1A694517">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c>
          <w:tcPr>
            <w:tcW w:w="850" w:type="dxa"/>
            <w:tcBorders>
              <w:top w:val="single" w:color="auto" w:sz="4" w:space="0"/>
              <w:left w:val="single" w:color="auto" w:sz="4" w:space="0"/>
              <w:bottom w:val="single" w:color="auto" w:sz="4" w:space="0"/>
              <w:right w:val="single" w:color="auto" w:sz="4" w:space="0"/>
            </w:tcBorders>
            <w:noWrap w:val="0"/>
            <w:vAlign w:val="center"/>
          </w:tcPr>
          <w:p w14:paraId="1E23D20B">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1B17FCC">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069D50E1">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c>
          <w:tcPr>
            <w:tcW w:w="673" w:type="dxa"/>
            <w:noWrap w:val="0"/>
            <w:vAlign w:val="center"/>
          </w:tcPr>
          <w:p w14:paraId="34B15B2B">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r>
      <w:tr w14:paraId="504415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1242" w:type="dxa"/>
            <w:tcBorders>
              <w:left w:val="single" w:color="auto" w:sz="4" w:space="0"/>
              <w:right w:val="single" w:color="auto" w:sz="4" w:space="0"/>
            </w:tcBorders>
            <w:noWrap w:val="0"/>
            <w:vAlign w:val="center"/>
          </w:tcPr>
          <w:p w14:paraId="11EEC1D6">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c>
          <w:tcPr>
            <w:tcW w:w="993" w:type="dxa"/>
            <w:tcBorders>
              <w:left w:val="single" w:color="auto" w:sz="4" w:space="0"/>
              <w:right w:val="single" w:color="auto" w:sz="4" w:space="0"/>
            </w:tcBorders>
            <w:noWrap w:val="0"/>
            <w:vAlign w:val="center"/>
          </w:tcPr>
          <w:p w14:paraId="325B9D77">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c>
          <w:tcPr>
            <w:tcW w:w="1275" w:type="dxa"/>
            <w:tcBorders>
              <w:left w:val="single" w:color="auto" w:sz="4" w:space="0"/>
              <w:right w:val="single" w:color="auto" w:sz="4" w:space="0"/>
            </w:tcBorders>
            <w:noWrap w:val="0"/>
            <w:vAlign w:val="center"/>
          </w:tcPr>
          <w:p w14:paraId="3B1C6867">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c>
          <w:tcPr>
            <w:tcW w:w="993" w:type="dxa"/>
            <w:tcBorders>
              <w:top w:val="single" w:color="auto" w:sz="4" w:space="0"/>
              <w:left w:val="single" w:color="auto" w:sz="4" w:space="0"/>
              <w:bottom w:val="single" w:color="auto" w:sz="4" w:space="0"/>
              <w:right w:val="single" w:color="auto" w:sz="4" w:space="0"/>
            </w:tcBorders>
            <w:noWrap w:val="0"/>
            <w:vAlign w:val="center"/>
          </w:tcPr>
          <w:p w14:paraId="0F17A278">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c>
          <w:tcPr>
            <w:tcW w:w="850" w:type="dxa"/>
            <w:tcBorders>
              <w:top w:val="single" w:color="auto" w:sz="4" w:space="0"/>
              <w:left w:val="single" w:color="auto" w:sz="4" w:space="0"/>
              <w:bottom w:val="single" w:color="auto" w:sz="4" w:space="0"/>
              <w:right w:val="single" w:color="auto" w:sz="4" w:space="0"/>
            </w:tcBorders>
            <w:noWrap w:val="0"/>
            <w:vAlign w:val="center"/>
          </w:tcPr>
          <w:p w14:paraId="73DC92C0">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99F0BFF">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458F291F">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c>
          <w:tcPr>
            <w:tcW w:w="673" w:type="dxa"/>
            <w:noWrap w:val="0"/>
            <w:vAlign w:val="center"/>
          </w:tcPr>
          <w:p w14:paraId="22D253B0">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r>
      <w:tr w14:paraId="455279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1242" w:type="dxa"/>
            <w:tcBorders>
              <w:left w:val="single" w:color="auto" w:sz="4" w:space="0"/>
              <w:right w:val="single" w:color="auto" w:sz="4" w:space="0"/>
            </w:tcBorders>
            <w:noWrap w:val="0"/>
            <w:vAlign w:val="center"/>
          </w:tcPr>
          <w:p w14:paraId="6C2BA322">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c>
          <w:tcPr>
            <w:tcW w:w="993" w:type="dxa"/>
            <w:tcBorders>
              <w:left w:val="single" w:color="auto" w:sz="4" w:space="0"/>
              <w:right w:val="single" w:color="auto" w:sz="4" w:space="0"/>
            </w:tcBorders>
            <w:noWrap w:val="0"/>
            <w:vAlign w:val="center"/>
          </w:tcPr>
          <w:p w14:paraId="4F8E6DEC">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c>
          <w:tcPr>
            <w:tcW w:w="1275" w:type="dxa"/>
            <w:tcBorders>
              <w:left w:val="single" w:color="auto" w:sz="4" w:space="0"/>
              <w:right w:val="single" w:color="auto" w:sz="4" w:space="0"/>
            </w:tcBorders>
            <w:noWrap w:val="0"/>
            <w:vAlign w:val="center"/>
          </w:tcPr>
          <w:p w14:paraId="48EE815D">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c>
          <w:tcPr>
            <w:tcW w:w="993" w:type="dxa"/>
            <w:tcBorders>
              <w:top w:val="single" w:color="auto" w:sz="4" w:space="0"/>
              <w:left w:val="single" w:color="auto" w:sz="4" w:space="0"/>
              <w:bottom w:val="single" w:color="auto" w:sz="4" w:space="0"/>
              <w:right w:val="single" w:color="auto" w:sz="4" w:space="0"/>
            </w:tcBorders>
            <w:noWrap w:val="0"/>
            <w:vAlign w:val="center"/>
          </w:tcPr>
          <w:p w14:paraId="562F6916">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c>
          <w:tcPr>
            <w:tcW w:w="850" w:type="dxa"/>
            <w:tcBorders>
              <w:top w:val="single" w:color="auto" w:sz="4" w:space="0"/>
              <w:left w:val="single" w:color="auto" w:sz="4" w:space="0"/>
              <w:bottom w:val="single" w:color="auto" w:sz="4" w:space="0"/>
              <w:right w:val="single" w:color="auto" w:sz="4" w:space="0"/>
            </w:tcBorders>
            <w:noWrap w:val="0"/>
            <w:vAlign w:val="center"/>
          </w:tcPr>
          <w:p w14:paraId="66E2FE4B">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83ECE1F">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4936C14C">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c>
          <w:tcPr>
            <w:tcW w:w="673" w:type="dxa"/>
            <w:noWrap w:val="0"/>
            <w:vAlign w:val="center"/>
          </w:tcPr>
          <w:p w14:paraId="187B8209">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r>
      <w:tr w14:paraId="68E2BD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1242" w:type="dxa"/>
            <w:tcBorders>
              <w:left w:val="single" w:color="auto" w:sz="4" w:space="0"/>
              <w:right w:val="single" w:color="auto" w:sz="4" w:space="0"/>
            </w:tcBorders>
            <w:noWrap w:val="0"/>
            <w:vAlign w:val="center"/>
          </w:tcPr>
          <w:p w14:paraId="53ADBB09">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c>
          <w:tcPr>
            <w:tcW w:w="993" w:type="dxa"/>
            <w:tcBorders>
              <w:left w:val="single" w:color="auto" w:sz="4" w:space="0"/>
              <w:right w:val="single" w:color="auto" w:sz="4" w:space="0"/>
            </w:tcBorders>
            <w:noWrap w:val="0"/>
            <w:vAlign w:val="center"/>
          </w:tcPr>
          <w:p w14:paraId="639AB685">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c>
          <w:tcPr>
            <w:tcW w:w="1275" w:type="dxa"/>
            <w:tcBorders>
              <w:left w:val="single" w:color="auto" w:sz="4" w:space="0"/>
              <w:right w:val="single" w:color="auto" w:sz="4" w:space="0"/>
            </w:tcBorders>
            <w:noWrap w:val="0"/>
            <w:vAlign w:val="center"/>
          </w:tcPr>
          <w:p w14:paraId="471D6FD0">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c>
          <w:tcPr>
            <w:tcW w:w="993" w:type="dxa"/>
            <w:tcBorders>
              <w:top w:val="single" w:color="auto" w:sz="4" w:space="0"/>
              <w:left w:val="single" w:color="auto" w:sz="4" w:space="0"/>
              <w:bottom w:val="single" w:color="auto" w:sz="4" w:space="0"/>
              <w:right w:val="single" w:color="auto" w:sz="4" w:space="0"/>
            </w:tcBorders>
            <w:noWrap w:val="0"/>
            <w:vAlign w:val="center"/>
          </w:tcPr>
          <w:p w14:paraId="3714DBD0">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c>
          <w:tcPr>
            <w:tcW w:w="850" w:type="dxa"/>
            <w:tcBorders>
              <w:top w:val="single" w:color="auto" w:sz="4" w:space="0"/>
              <w:left w:val="single" w:color="auto" w:sz="4" w:space="0"/>
              <w:bottom w:val="single" w:color="auto" w:sz="4" w:space="0"/>
              <w:right w:val="single" w:color="auto" w:sz="4" w:space="0"/>
            </w:tcBorders>
            <w:noWrap w:val="0"/>
            <w:vAlign w:val="center"/>
          </w:tcPr>
          <w:p w14:paraId="7E1439DB">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1AACEB2">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608D6523">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c>
          <w:tcPr>
            <w:tcW w:w="673" w:type="dxa"/>
            <w:noWrap w:val="0"/>
            <w:vAlign w:val="center"/>
          </w:tcPr>
          <w:p w14:paraId="0C018078">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r>
      <w:tr w14:paraId="79EDE0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1242" w:type="dxa"/>
            <w:tcBorders>
              <w:left w:val="single" w:color="auto" w:sz="4" w:space="0"/>
              <w:right w:val="single" w:color="auto" w:sz="4" w:space="0"/>
            </w:tcBorders>
            <w:noWrap w:val="0"/>
            <w:vAlign w:val="center"/>
          </w:tcPr>
          <w:p w14:paraId="64BDFEF5">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c>
          <w:tcPr>
            <w:tcW w:w="993" w:type="dxa"/>
            <w:tcBorders>
              <w:left w:val="single" w:color="auto" w:sz="4" w:space="0"/>
              <w:right w:val="single" w:color="auto" w:sz="4" w:space="0"/>
            </w:tcBorders>
            <w:noWrap w:val="0"/>
            <w:vAlign w:val="center"/>
          </w:tcPr>
          <w:p w14:paraId="1193F305">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c>
          <w:tcPr>
            <w:tcW w:w="1275" w:type="dxa"/>
            <w:tcBorders>
              <w:left w:val="single" w:color="auto" w:sz="4" w:space="0"/>
              <w:right w:val="single" w:color="auto" w:sz="4" w:space="0"/>
            </w:tcBorders>
            <w:noWrap w:val="0"/>
            <w:vAlign w:val="center"/>
          </w:tcPr>
          <w:p w14:paraId="3D1629BB">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c>
          <w:tcPr>
            <w:tcW w:w="993" w:type="dxa"/>
            <w:tcBorders>
              <w:top w:val="single" w:color="auto" w:sz="4" w:space="0"/>
              <w:left w:val="single" w:color="auto" w:sz="4" w:space="0"/>
              <w:bottom w:val="single" w:color="auto" w:sz="4" w:space="0"/>
              <w:right w:val="single" w:color="auto" w:sz="4" w:space="0"/>
            </w:tcBorders>
            <w:noWrap w:val="0"/>
            <w:vAlign w:val="center"/>
          </w:tcPr>
          <w:p w14:paraId="783D0066">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c>
          <w:tcPr>
            <w:tcW w:w="850" w:type="dxa"/>
            <w:tcBorders>
              <w:top w:val="single" w:color="auto" w:sz="4" w:space="0"/>
              <w:left w:val="single" w:color="auto" w:sz="4" w:space="0"/>
              <w:bottom w:val="single" w:color="auto" w:sz="4" w:space="0"/>
              <w:right w:val="single" w:color="auto" w:sz="4" w:space="0"/>
            </w:tcBorders>
            <w:noWrap w:val="0"/>
            <w:vAlign w:val="center"/>
          </w:tcPr>
          <w:p w14:paraId="3BDE9D89">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BE253BA">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67BED6E8">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c>
          <w:tcPr>
            <w:tcW w:w="673" w:type="dxa"/>
            <w:noWrap w:val="0"/>
            <w:vAlign w:val="center"/>
          </w:tcPr>
          <w:p w14:paraId="6AF3E2B3">
            <w:pPr>
              <w:widowControl/>
              <w:snapToGrid w:val="0"/>
              <w:spacing w:line="360" w:lineRule="auto"/>
              <w:ind w:firstLine="32" w:firstLineChars="10"/>
              <w:jc w:val="center"/>
              <w:rPr>
                <w:rFonts w:hint="eastAsia" w:ascii="仿宋_GB2312" w:hAnsi="仿宋_GB2312" w:eastAsia="仿宋_GB2312" w:cs="仿宋_GB2312"/>
                <w:color w:val="auto"/>
                <w:sz w:val="32"/>
                <w:szCs w:val="32"/>
                <w:highlight w:val="none"/>
              </w:rPr>
            </w:pPr>
          </w:p>
        </w:tc>
      </w:tr>
      <w:permEnd w:id="99"/>
    </w:tbl>
    <w:p w14:paraId="5E747365">
      <w:pPr>
        <w:pStyle w:val="2"/>
        <w:snapToGrid w:val="0"/>
        <w:spacing w:before="0" w:after="0" w:line="360" w:lineRule="auto"/>
        <w:rPr>
          <w:rFonts w:hint="eastAsia" w:ascii="仿宋_GB2312" w:hAnsi="仿宋_GB2312" w:eastAsia="仿宋_GB2312" w:cs="仿宋_GB2312"/>
          <w:b w:val="0"/>
          <w:bCs w:val="0"/>
          <w:color w:val="auto"/>
          <w:sz w:val="32"/>
          <w:szCs w:val="32"/>
          <w:highlight w:val="none"/>
        </w:rPr>
      </w:pPr>
      <w:r>
        <w:rPr>
          <w:rFonts w:hint="eastAsia" w:ascii="仿宋" w:hAnsi="仿宋" w:eastAsia="仿宋" w:cs="仿宋"/>
          <w:b w:val="0"/>
          <w:bCs w:val="0"/>
          <w:color w:val="auto"/>
          <w:sz w:val="32"/>
          <w:szCs w:val="32"/>
          <w:highlight w:val="none"/>
        </w:rPr>
        <w:br w:type="page"/>
      </w:r>
      <w:bookmarkStart w:id="2935" w:name="_Toc3485"/>
      <w:bookmarkStart w:id="2936" w:name="_Toc27843"/>
      <w:bookmarkStart w:id="2937" w:name="_Toc2668"/>
      <w:bookmarkStart w:id="2938" w:name="_Toc21716"/>
      <w:bookmarkStart w:id="2939" w:name="_Toc25633"/>
      <w:bookmarkStart w:id="2940" w:name="_Toc25751"/>
      <w:bookmarkStart w:id="2941" w:name="_Toc11981"/>
      <w:bookmarkStart w:id="2942" w:name="_Toc10648"/>
      <w:r>
        <w:rPr>
          <w:rFonts w:hint="eastAsia" w:ascii="黑体" w:hAnsi="黑体" w:eastAsia="黑体" w:cs="黑体"/>
          <w:b w:val="0"/>
          <w:bCs w:val="0"/>
          <w:color w:val="auto"/>
          <w:sz w:val="32"/>
          <w:szCs w:val="32"/>
          <w:highlight w:val="none"/>
        </w:rPr>
        <w:t>附件6</w:t>
      </w:r>
      <w:bookmarkEnd w:id="2935"/>
      <w:bookmarkEnd w:id="2936"/>
      <w:bookmarkEnd w:id="2937"/>
      <w:bookmarkEnd w:id="2938"/>
      <w:bookmarkEnd w:id="2939"/>
      <w:bookmarkEnd w:id="2940"/>
      <w:bookmarkEnd w:id="2941"/>
      <w:bookmarkEnd w:id="2942"/>
    </w:p>
    <w:p w14:paraId="6F73024C">
      <w:pPr>
        <w:keepNext/>
        <w:keepLines/>
        <w:snapToGrid w:val="0"/>
        <w:spacing w:line="360" w:lineRule="auto"/>
        <w:jc w:val="center"/>
        <w:rPr>
          <w:rFonts w:hint="eastAsia" w:ascii="方正小标宋简体" w:hAnsi="方正小标宋简体" w:eastAsia="方正小标宋简体" w:cs="方正小标宋简体"/>
          <w:b w:val="0"/>
          <w:bCs w:val="0"/>
          <w:color w:val="auto"/>
          <w:sz w:val="44"/>
          <w:szCs w:val="44"/>
          <w:highlight w:val="none"/>
        </w:rPr>
      </w:pPr>
      <w:r>
        <w:rPr>
          <w:rFonts w:hint="eastAsia" w:ascii="方正小标宋简体" w:hAnsi="方正小标宋简体" w:eastAsia="方正小标宋简体" w:cs="方正小标宋简体"/>
          <w:b w:val="0"/>
          <w:bCs w:val="0"/>
          <w:color w:val="auto"/>
          <w:sz w:val="44"/>
          <w:szCs w:val="44"/>
          <w:highlight w:val="none"/>
        </w:rPr>
        <w:t>分包人主要施工管理人员表</w:t>
      </w:r>
    </w:p>
    <w:p w14:paraId="43E1A507">
      <w:pPr>
        <w:snapToGrid w:val="0"/>
        <w:spacing w:line="360" w:lineRule="auto"/>
        <w:rPr>
          <w:rFonts w:ascii="仿宋" w:hAnsi="仿宋" w:eastAsia="仿宋" w:cs="仿宋"/>
          <w:color w:val="auto"/>
          <w:sz w:val="32"/>
          <w:szCs w:val="32"/>
          <w:highlight w:val="none"/>
        </w:rPr>
      </w:pPr>
      <w:r>
        <w:rPr>
          <w:rFonts w:hint="eastAsia" w:ascii="仿宋_GB2312" w:hAnsi="仿宋_GB2312" w:eastAsia="仿宋_GB2312" w:cs="仿宋_GB2312"/>
          <w:color w:val="auto"/>
          <w:sz w:val="32"/>
          <w:szCs w:val="32"/>
          <w:highlight w:val="none"/>
        </w:rPr>
        <w:t xml:space="preserve">         </w:t>
      </w:r>
    </w:p>
    <w:p w14:paraId="0BC746DB">
      <w:pPr>
        <w:pStyle w:val="2"/>
        <w:snapToGrid w:val="0"/>
        <w:spacing w:before="0" w:after="0" w:line="360" w:lineRule="auto"/>
        <w:rPr>
          <w:rFonts w:hint="eastAsia" w:ascii="仿宋_GB2312" w:hAnsi="仿宋_GB2312" w:eastAsia="仿宋_GB2312" w:cs="仿宋_GB2312"/>
          <w:b w:val="0"/>
          <w:bCs w:val="0"/>
          <w:color w:val="auto"/>
          <w:sz w:val="32"/>
          <w:szCs w:val="32"/>
          <w:highlight w:val="none"/>
        </w:rPr>
      </w:pPr>
      <w:bookmarkStart w:id="2943" w:name="_Toc1024"/>
      <w:bookmarkStart w:id="2944" w:name="_Toc6121"/>
      <w:bookmarkStart w:id="2945" w:name="_Toc9137"/>
      <w:bookmarkStart w:id="2946" w:name="_Toc16702"/>
      <w:bookmarkStart w:id="2947" w:name="_Toc16763"/>
      <w:bookmarkStart w:id="2948" w:name="_Toc7010"/>
      <w:bookmarkStart w:id="2949" w:name="_Toc26764"/>
      <w:r>
        <w:rPr>
          <w:rFonts w:hint="eastAsia" w:ascii="仿宋" w:hAnsi="仿宋" w:eastAsia="仿宋" w:cs="仿宋"/>
          <w:b w:val="0"/>
          <w:color w:val="auto"/>
          <w:sz w:val="32"/>
          <w:szCs w:val="32"/>
          <w:highlight w:val="none"/>
        </w:rPr>
        <w:br w:type="page"/>
      </w:r>
      <w:bookmarkStart w:id="2950" w:name="_Toc26326"/>
      <w:r>
        <w:rPr>
          <w:rFonts w:hint="eastAsia" w:ascii="黑体" w:hAnsi="黑体" w:eastAsia="黑体" w:cs="黑体"/>
          <w:b w:val="0"/>
          <w:color w:val="auto"/>
          <w:sz w:val="32"/>
          <w:szCs w:val="32"/>
          <w:highlight w:val="none"/>
        </w:rPr>
        <w:t>附件</w:t>
      </w:r>
      <w:r>
        <w:rPr>
          <w:rFonts w:hint="eastAsia" w:ascii="黑体" w:hAnsi="黑体" w:eastAsia="黑体" w:cs="黑体"/>
          <w:b w:val="0"/>
          <w:bCs w:val="0"/>
          <w:color w:val="auto"/>
          <w:sz w:val="32"/>
          <w:szCs w:val="32"/>
          <w:highlight w:val="none"/>
        </w:rPr>
        <w:t>7</w:t>
      </w:r>
      <w:bookmarkEnd w:id="2943"/>
      <w:bookmarkEnd w:id="2944"/>
      <w:bookmarkEnd w:id="2945"/>
      <w:bookmarkEnd w:id="2946"/>
      <w:bookmarkEnd w:id="2947"/>
      <w:bookmarkEnd w:id="2948"/>
      <w:bookmarkEnd w:id="2949"/>
      <w:bookmarkEnd w:id="2950"/>
    </w:p>
    <w:p w14:paraId="0FBDB9FA">
      <w:pPr>
        <w:widowControl/>
        <w:snapToGrid w:val="0"/>
        <w:spacing w:line="360" w:lineRule="auto"/>
        <w:jc w:val="center"/>
        <w:rPr>
          <w:rFonts w:hint="eastAsia" w:ascii="方正小标宋简体" w:hAnsi="方正小标宋简体" w:eastAsia="方正小标宋简体" w:cs="方正小标宋简体"/>
          <w:b w:val="0"/>
          <w:bCs/>
          <w:color w:val="auto"/>
          <w:sz w:val="44"/>
          <w:szCs w:val="44"/>
          <w:highlight w:val="none"/>
          <w:lang w:bidi="ar"/>
        </w:rPr>
      </w:pPr>
      <w:r>
        <w:rPr>
          <w:rFonts w:hint="eastAsia" w:ascii="方正小标宋简体" w:hAnsi="方正小标宋简体" w:eastAsia="方正小标宋简体" w:cs="方正小标宋简体"/>
          <w:b w:val="0"/>
          <w:bCs/>
          <w:color w:val="auto"/>
          <w:sz w:val="44"/>
          <w:szCs w:val="44"/>
          <w:highlight w:val="none"/>
          <w:lang w:bidi="ar"/>
        </w:rPr>
        <w:t>材料（工程设备）暂估单价及汇总表</w:t>
      </w:r>
    </w:p>
    <w:tbl>
      <w:tblPr>
        <w:tblStyle w:val="13"/>
        <w:tblW w:w="9240" w:type="dxa"/>
        <w:jc w:val="center"/>
        <w:tblLayout w:type="autofit"/>
        <w:tblCellMar>
          <w:top w:w="0" w:type="dxa"/>
          <w:left w:w="108" w:type="dxa"/>
          <w:bottom w:w="0" w:type="dxa"/>
          <w:right w:w="108" w:type="dxa"/>
        </w:tblCellMar>
      </w:tblPr>
      <w:tblGrid>
        <w:gridCol w:w="654"/>
        <w:gridCol w:w="2854"/>
        <w:gridCol w:w="1138"/>
        <w:gridCol w:w="1216"/>
        <w:gridCol w:w="804"/>
        <w:gridCol w:w="1545"/>
        <w:gridCol w:w="1029"/>
      </w:tblGrid>
      <w:tr w14:paraId="1385175E">
        <w:tblPrEx>
          <w:tblCellMar>
            <w:top w:w="0" w:type="dxa"/>
            <w:left w:w="108" w:type="dxa"/>
            <w:bottom w:w="0" w:type="dxa"/>
            <w:right w:w="108" w:type="dxa"/>
          </w:tblCellMar>
        </w:tblPrEx>
        <w:trPr>
          <w:trHeight w:val="598" w:hRule="atLeast"/>
          <w:jc w:val="center"/>
        </w:trPr>
        <w:tc>
          <w:tcPr>
            <w:tcW w:w="9240" w:type="dxa"/>
            <w:gridSpan w:val="7"/>
            <w:tcBorders>
              <w:top w:val="single" w:color="000000" w:sz="4" w:space="0"/>
              <w:left w:val="single" w:color="000000" w:sz="4" w:space="0"/>
              <w:bottom w:val="single" w:color="000000" w:sz="4" w:space="0"/>
              <w:right w:val="single" w:color="000000" w:sz="4" w:space="0"/>
            </w:tcBorders>
            <w:noWrap w:val="0"/>
            <w:vAlign w:val="center"/>
          </w:tcPr>
          <w:p w14:paraId="7085798D">
            <w:pPr>
              <w:widowControl/>
              <w:snapToGrid w:val="0"/>
              <w:spacing w:line="360" w:lineRule="auto"/>
              <w:jc w:val="both"/>
              <w:textAlignment w:val="center"/>
              <w:rPr>
                <w:rFonts w:hint="eastAsia" w:ascii="仿宋_GB2312" w:hAnsi="仿宋_GB2312" w:eastAsia="仿宋_GB2312" w:cs="仿宋_GB2312"/>
                <w:color w:val="auto"/>
                <w:sz w:val="32"/>
                <w:szCs w:val="32"/>
                <w:highlight w:val="none"/>
              </w:rPr>
            </w:pPr>
            <w:permStart w:id="100" w:edGrp="everyone"/>
            <w:r>
              <w:rPr>
                <w:rFonts w:hint="eastAsia" w:ascii="仿宋_GB2312" w:hAnsi="仿宋_GB2312" w:eastAsia="仿宋_GB2312" w:cs="仿宋_GB2312"/>
                <w:color w:val="auto"/>
                <w:kern w:val="0"/>
                <w:sz w:val="32"/>
                <w:szCs w:val="32"/>
                <w:highlight w:val="none"/>
                <w:lang w:bidi="ar"/>
              </w:rPr>
              <w:t>项目名称：</w:t>
            </w:r>
          </w:p>
        </w:tc>
      </w:tr>
      <w:tr w14:paraId="3087FD8C">
        <w:tblPrEx>
          <w:tblCellMar>
            <w:top w:w="0" w:type="dxa"/>
            <w:left w:w="108" w:type="dxa"/>
            <w:bottom w:w="0" w:type="dxa"/>
            <w:right w:w="108" w:type="dxa"/>
          </w:tblCellMar>
        </w:tblPrEx>
        <w:trPr>
          <w:trHeight w:val="598" w:hRule="atLeast"/>
          <w:jc w:val="center"/>
        </w:trPr>
        <w:tc>
          <w:tcPr>
            <w:tcW w:w="654" w:type="dxa"/>
            <w:vMerge w:val="restart"/>
            <w:tcBorders>
              <w:top w:val="single" w:color="000000" w:sz="4" w:space="0"/>
              <w:left w:val="single" w:color="000000" w:sz="4" w:space="0"/>
              <w:bottom w:val="single" w:color="000000" w:sz="4" w:space="0"/>
              <w:right w:val="single" w:color="000000" w:sz="4" w:space="0"/>
            </w:tcBorders>
            <w:noWrap w:val="0"/>
            <w:vAlign w:val="center"/>
          </w:tcPr>
          <w:p w14:paraId="384E3460">
            <w:pPr>
              <w:widowControl/>
              <w:snapToGrid w:val="0"/>
              <w:spacing w:line="360" w:lineRule="auto"/>
              <w:jc w:val="center"/>
              <w:textAlignment w:val="center"/>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kern w:val="0"/>
                <w:sz w:val="32"/>
                <w:szCs w:val="32"/>
                <w:highlight w:val="none"/>
                <w:lang w:bidi="ar"/>
              </w:rPr>
              <w:t>序号</w:t>
            </w:r>
          </w:p>
        </w:tc>
        <w:tc>
          <w:tcPr>
            <w:tcW w:w="2854" w:type="dxa"/>
            <w:vMerge w:val="restart"/>
            <w:tcBorders>
              <w:top w:val="single" w:color="000000" w:sz="4" w:space="0"/>
              <w:left w:val="single" w:color="000000" w:sz="4" w:space="0"/>
              <w:bottom w:val="single" w:color="000000" w:sz="4" w:space="0"/>
              <w:right w:val="single" w:color="000000" w:sz="4" w:space="0"/>
            </w:tcBorders>
            <w:noWrap w:val="0"/>
            <w:vAlign w:val="center"/>
          </w:tcPr>
          <w:p w14:paraId="3DA08F94">
            <w:pPr>
              <w:widowControl/>
              <w:snapToGrid w:val="0"/>
              <w:spacing w:line="360" w:lineRule="auto"/>
              <w:jc w:val="center"/>
              <w:textAlignment w:val="center"/>
              <w:rPr>
                <w:rFonts w:hint="eastAsia" w:ascii="仿宋_GB2312" w:hAnsi="仿宋_GB2312" w:eastAsia="仿宋_GB2312" w:cs="仿宋_GB2312"/>
                <w:color w:val="auto"/>
                <w:kern w:val="0"/>
                <w:sz w:val="32"/>
                <w:szCs w:val="32"/>
                <w:highlight w:val="none"/>
                <w:lang w:bidi="ar"/>
              </w:rPr>
            </w:pPr>
            <w:r>
              <w:rPr>
                <w:rFonts w:hint="eastAsia" w:ascii="仿宋_GB2312" w:hAnsi="仿宋_GB2312" w:eastAsia="仿宋_GB2312" w:cs="仿宋_GB2312"/>
                <w:color w:val="auto"/>
                <w:kern w:val="0"/>
                <w:sz w:val="32"/>
                <w:szCs w:val="32"/>
                <w:highlight w:val="none"/>
                <w:lang w:bidi="ar"/>
              </w:rPr>
              <w:t>材料</w:t>
            </w:r>
            <w:r>
              <w:rPr>
                <w:rFonts w:hint="eastAsia" w:ascii="仿宋_GB2312" w:hAnsi="仿宋_GB2312" w:eastAsia="仿宋_GB2312" w:cs="仿宋_GB2312"/>
                <w:color w:val="auto"/>
                <w:kern w:val="0"/>
                <w:sz w:val="32"/>
                <w:szCs w:val="32"/>
                <w:highlight w:val="none"/>
                <w:lang w:eastAsia="zh-CN" w:bidi="ar"/>
              </w:rPr>
              <w:t>（</w:t>
            </w:r>
            <w:r>
              <w:rPr>
                <w:rFonts w:hint="eastAsia" w:ascii="仿宋_GB2312" w:hAnsi="仿宋_GB2312" w:eastAsia="仿宋_GB2312" w:cs="仿宋_GB2312"/>
                <w:color w:val="auto"/>
                <w:kern w:val="0"/>
                <w:sz w:val="32"/>
                <w:szCs w:val="32"/>
                <w:highlight w:val="none"/>
                <w:lang w:bidi="ar"/>
              </w:rPr>
              <w:t>工程设备</w:t>
            </w:r>
            <w:r>
              <w:rPr>
                <w:rFonts w:hint="eastAsia" w:ascii="仿宋_GB2312" w:hAnsi="仿宋_GB2312" w:eastAsia="仿宋_GB2312" w:cs="仿宋_GB2312"/>
                <w:color w:val="auto"/>
                <w:kern w:val="0"/>
                <w:sz w:val="32"/>
                <w:szCs w:val="32"/>
                <w:highlight w:val="none"/>
                <w:lang w:eastAsia="zh-CN" w:bidi="ar"/>
              </w:rPr>
              <w:t>）</w:t>
            </w:r>
          </w:p>
          <w:p w14:paraId="592381F9">
            <w:pPr>
              <w:widowControl/>
              <w:snapToGrid w:val="0"/>
              <w:spacing w:line="360" w:lineRule="auto"/>
              <w:jc w:val="center"/>
              <w:textAlignment w:val="center"/>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kern w:val="0"/>
                <w:sz w:val="32"/>
                <w:szCs w:val="32"/>
                <w:highlight w:val="none"/>
                <w:lang w:bidi="ar"/>
              </w:rPr>
              <w:t>名称、规格、型号</w:t>
            </w:r>
          </w:p>
        </w:tc>
        <w:tc>
          <w:tcPr>
            <w:tcW w:w="1138" w:type="dxa"/>
            <w:vMerge w:val="restart"/>
            <w:tcBorders>
              <w:top w:val="single" w:color="000000" w:sz="4" w:space="0"/>
              <w:left w:val="single" w:color="000000" w:sz="4" w:space="0"/>
              <w:bottom w:val="single" w:color="000000" w:sz="4" w:space="0"/>
              <w:right w:val="single" w:color="000000" w:sz="4" w:space="0"/>
            </w:tcBorders>
            <w:noWrap w:val="0"/>
            <w:vAlign w:val="center"/>
          </w:tcPr>
          <w:p w14:paraId="05637CE8">
            <w:pPr>
              <w:widowControl/>
              <w:snapToGrid w:val="0"/>
              <w:spacing w:line="360" w:lineRule="auto"/>
              <w:jc w:val="center"/>
              <w:textAlignment w:val="center"/>
              <w:rPr>
                <w:rFonts w:hint="eastAsia" w:ascii="仿宋_GB2312" w:hAnsi="仿宋_GB2312" w:eastAsia="仿宋_GB2312" w:cs="仿宋_GB2312"/>
                <w:color w:val="auto"/>
                <w:kern w:val="0"/>
                <w:sz w:val="32"/>
                <w:szCs w:val="32"/>
                <w:highlight w:val="none"/>
                <w:lang w:bidi="ar"/>
              </w:rPr>
            </w:pPr>
            <w:r>
              <w:rPr>
                <w:rFonts w:hint="eastAsia" w:ascii="仿宋_GB2312" w:hAnsi="仿宋_GB2312" w:eastAsia="仿宋_GB2312" w:cs="仿宋_GB2312"/>
                <w:color w:val="auto"/>
                <w:kern w:val="0"/>
                <w:sz w:val="32"/>
                <w:szCs w:val="32"/>
                <w:highlight w:val="none"/>
                <w:lang w:bidi="ar"/>
              </w:rPr>
              <w:t>计量</w:t>
            </w:r>
          </w:p>
          <w:p w14:paraId="7082A5F5">
            <w:pPr>
              <w:widowControl/>
              <w:snapToGrid w:val="0"/>
              <w:spacing w:line="360" w:lineRule="auto"/>
              <w:jc w:val="center"/>
              <w:textAlignment w:val="center"/>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kern w:val="0"/>
                <w:sz w:val="32"/>
                <w:szCs w:val="32"/>
                <w:highlight w:val="none"/>
                <w:lang w:bidi="ar"/>
              </w:rPr>
              <w:t>单位</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69211648">
            <w:pPr>
              <w:widowControl/>
              <w:snapToGrid w:val="0"/>
              <w:spacing w:line="360" w:lineRule="auto"/>
              <w:jc w:val="center"/>
              <w:textAlignment w:val="center"/>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kern w:val="0"/>
                <w:sz w:val="32"/>
                <w:szCs w:val="32"/>
                <w:highlight w:val="none"/>
                <w:lang w:bidi="ar"/>
              </w:rPr>
              <w:t>数量</w:t>
            </w:r>
          </w:p>
        </w:tc>
        <w:tc>
          <w:tcPr>
            <w:tcW w:w="2349" w:type="dxa"/>
            <w:gridSpan w:val="2"/>
            <w:tcBorders>
              <w:top w:val="single" w:color="000000" w:sz="4" w:space="0"/>
              <w:left w:val="single" w:color="000000" w:sz="4" w:space="0"/>
              <w:bottom w:val="single" w:color="000000" w:sz="4" w:space="0"/>
              <w:right w:val="single" w:color="000000" w:sz="4" w:space="0"/>
            </w:tcBorders>
            <w:noWrap w:val="0"/>
            <w:vAlign w:val="center"/>
          </w:tcPr>
          <w:p w14:paraId="06BBDC23">
            <w:pPr>
              <w:widowControl/>
              <w:snapToGrid w:val="0"/>
              <w:spacing w:line="360" w:lineRule="auto"/>
              <w:jc w:val="center"/>
              <w:textAlignment w:val="center"/>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kern w:val="0"/>
                <w:sz w:val="32"/>
                <w:szCs w:val="32"/>
                <w:highlight w:val="none"/>
                <w:lang w:bidi="ar"/>
              </w:rPr>
              <w:t>暂估（元）</w:t>
            </w:r>
          </w:p>
        </w:tc>
        <w:tc>
          <w:tcPr>
            <w:tcW w:w="1029" w:type="dxa"/>
            <w:tcBorders>
              <w:top w:val="single" w:color="000000" w:sz="4" w:space="0"/>
              <w:left w:val="single" w:color="000000" w:sz="4" w:space="0"/>
              <w:bottom w:val="single" w:color="000000" w:sz="4" w:space="0"/>
              <w:right w:val="single" w:color="000000" w:sz="4" w:space="0"/>
            </w:tcBorders>
            <w:noWrap w:val="0"/>
            <w:vAlign w:val="center"/>
          </w:tcPr>
          <w:p w14:paraId="3D0FFEF6">
            <w:pPr>
              <w:widowControl/>
              <w:snapToGrid w:val="0"/>
              <w:spacing w:line="360" w:lineRule="auto"/>
              <w:jc w:val="center"/>
              <w:textAlignment w:val="center"/>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kern w:val="0"/>
                <w:sz w:val="32"/>
                <w:szCs w:val="32"/>
                <w:highlight w:val="none"/>
                <w:lang w:bidi="ar"/>
              </w:rPr>
              <w:t>备注</w:t>
            </w:r>
          </w:p>
        </w:tc>
      </w:tr>
      <w:tr w14:paraId="279831E1">
        <w:tblPrEx>
          <w:tblCellMar>
            <w:top w:w="0" w:type="dxa"/>
            <w:left w:w="108" w:type="dxa"/>
            <w:bottom w:w="0" w:type="dxa"/>
            <w:right w:w="108" w:type="dxa"/>
          </w:tblCellMar>
        </w:tblPrEx>
        <w:trPr>
          <w:trHeight w:val="1746" w:hRule="atLeast"/>
          <w:jc w:val="center"/>
        </w:trPr>
        <w:tc>
          <w:tcPr>
            <w:tcW w:w="6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4070DD">
            <w:pPr>
              <w:snapToGrid w:val="0"/>
              <w:spacing w:line="360" w:lineRule="auto"/>
              <w:jc w:val="center"/>
              <w:rPr>
                <w:rFonts w:hint="eastAsia" w:ascii="仿宋_GB2312" w:hAnsi="仿宋_GB2312" w:eastAsia="仿宋_GB2312" w:cs="仿宋_GB2312"/>
                <w:color w:val="auto"/>
                <w:sz w:val="32"/>
                <w:szCs w:val="32"/>
                <w:highlight w:val="none"/>
              </w:rPr>
            </w:pPr>
          </w:p>
        </w:tc>
        <w:tc>
          <w:tcPr>
            <w:tcW w:w="28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C6D3CE">
            <w:pPr>
              <w:snapToGrid w:val="0"/>
              <w:spacing w:line="360" w:lineRule="auto"/>
              <w:jc w:val="center"/>
              <w:rPr>
                <w:rFonts w:hint="eastAsia" w:ascii="仿宋_GB2312" w:hAnsi="仿宋_GB2312" w:eastAsia="仿宋_GB2312" w:cs="仿宋_GB2312"/>
                <w:color w:val="auto"/>
                <w:sz w:val="32"/>
                <w:szCs w:val="32"/>
                <w:highlight w:val="none"/>
              </w:rPr>
            </w:pPr>
          </w:p>
        </w:tc>
        <w:tc>
          <w:tcPr>
            <w:tcW w:w="1138"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7045D1">
            <w:pPr>
              <w:snapToGrid w:val="0"/>
              <w:spacing w:line="360" w:lineRule="auto"/>
              <w:jc w:val="center"/>
              <w:rPr>
                <w:rFonts w:hint="eastAsia" w:ascii="仿宋_GB2312" w:hAnsi="仿宋_GB2312" w:eastAsia="仿宋_GB2312" w:cs="仿宋_GB2312"/>
                <w:color w:val="auto"/>
                <w:sz w:val="32"/>
                <w:szCs w:val="32"/>
                <w:highlight w:val="none"/>
              </w:rPr>
            </w:pP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7EDE4970">
            <w:pPr>
              <w:widowControl/>
              <w:snapToGrid w:val="0"/>
              <w:spacing w:line="360" w:lineRule="auto"/>
              <w:jc w:val="center"/>
              <w:textAlignment w:val="center"/>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kern w:val="0"/>
                <w:sz w:val="32"/>
                <w:szCs w:val="32"/>
                <w:highlight w:val="none"/>
                <w:lang w:bidi="ar"/>
              </w:rPr>
              <w:t>暂估</w:t>
            </w:r>
          </w:p>
        </w:tc>
        <w:tc>
          <w:tcPr>
            <w:tcW w:w="804" w:type="dxa"/>
            <w:tcBorders>
              <w:top w:val="single" w:color="000000" w:sz="4" w:space="0"/>
              <w:left w:val="single" w:color="000000" w:sz="4" w:space="0"/>
              <w:bottom w:val="single" w:color="000000" w:sz="4" w:space="0"/>
              <w:right w:val="single" w:color="000000" w:sz="4" w:space="0"/>
            </w:tcBorders>
            <w:noWrap w:val="0"/>
            <w:vAlign w:val="center"/>
          </w:tcPr>
          <w:p w14:paraId="586DA02C">
            <w:pPr>
              <w:widowControl/>
              <w:snapToGrid w:val="0"/>
              <w:spacing w:line="360" w:lineRule="auto"/>
              <w:jc w:val="center"/>
              <w:textAlignment w:val="center"/>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kern w:val="0"/>
                <w:sz w:val="32"/>
                <w:szCs w:val="32"/>
                <w:highlight w:val="none"/>
                <w:lang w:bidi="ar"/>
              </w:rPr>
              <w:t>单价</w:t>
            </w:r>
          </w:p>
        </w:tc>
        <w:tc>
          <w:tcPr>
            <w:tcW w:w="1545" w:type="dxa"/>
            <w:tcBorders>
              <w:top w:val="single" w:color="000000" w:sz="4" w:space="0"/>
              <w:left w:val="single" w:color="000000" w:sz="4" w:space="0"/>
              <w:bottom w:val="single" w:color="000000" w:sz="4" w:space="0"/>
              <w:right w:val="single" w:color="000000" w:sz="4" w:space="0"/>
            </w:tcBorders>
            <w:noWrap w:val="0"/>
            <w:vAlign w:val="center"/>
          </w:tcPr>
          <w:p w14:paraId="01DC1D3B">
            <w:pPr>
              <w:widowControl/>
              <w:snapToGrid w:val="0"/>
              <w:spacing w:line="360" w:lineRule="auto"/>
              <w:jc w:val="center"/>
              <w:textAlignment w:val="center"/>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kern w:val="0"/>
                <w:sz w:val="32"/>
                <w:szCs w:val="32"/>
                <w:highlight w:val="none"/>
                <w:lang w:bidi="ar"/>
              </w:rPr>
              <w:t>合价</w:t>
            </w:r>
          </w:p>
        </w:tc>
        <w:tc>
          <w:tcPr>
            <w:tcW w:w="1029" w:type="dxa"/>
            <w:tcBorders>
              <w:top w:val="single" w:color="000000" w:sz="4" w:space="0"/>
              <w:left w:val="single" w:color="000000" w:sz="4" w:space="0"/>
              <w:bottom w:val="single" w:color="000000" w:sz="4" w:space="0"/>
              <w:right w:val="single" w:color="000000" w:sz="4" w:space="0"/>
            </w:tcBorders>
            <w:noWrap w:val="0"/>
            <w:vAlign w:val="center"/>
          </w:tcPr>
          <w:p w14:paraId="41368F1B">
            <w:pPr>
              <w:snapToGrid w:val="0"/>
              <w:spacing w:line="360" w:lineRule="auto"/>
              <w:jc w:val="center"/>
              <w:rPr>
                <w:rFonts w:hint="eastAsia" w:ascii="仿宋_GB2312" w:hAnsi="仿宋_GB2312" w:eastAsia="仿宋_GB2312" w:cs="仿宋_GB2312"/>
                <w:color w:val="auto"/>
                <w:sz w:val="32"/>
                <w:szCs w:val="32"/>
                <w:highlight w:val="none"/>
              </w:rPr>
            </w:pPr>
          </w:p>
        </w:tc>
      </w:tr>
      <w:tr w14:paraId="4C387233">
        <w:tblPrEx>
          <w:tblCellMar>
            <w:top w:w="0" w:type="dxa"/>
            <w:left w:w="108" w:type="dxa"/>
            <w:bottom w:w="0" w:type="dxa"/>
            <w:right w:w="108" w:type="dxa"/>
          </w:tblCellMar>
        </w:tblPrEx>
        <w:trPr>
          <w:trHeight w:val="598" w:hRule="atLeast"/>
          <w:jc w:val="center"/>
        </w:trPr>
        <w:tc>
          <w:tcPr>
            <w:tcW w:w="654" w:type="dxa"/>
            <w:tcBorders>
              <w:top w:val="single" w:color="000000" w:sz="4" w:space="0"/>
              <w:left w:val="single" w:color="000000" w:sz="4" w:space="0"/>
              <w:bottom w:val="single" w:color="000000" w:sz="4" w:space="0"/>
              <w:right w:val="single" w:color="000000" w:sz="4" w:space="0"/>
            </w:tcBorders>
            <w:noWrap w:val="0"/>
            <w:vAlign w:val="center"/>
          </w:tcPr>
          <w:p w14:paraId="1631500B">
            <w:pPr>
              <w:widowControl/>
              <w:snapToGrid w:val="0"/>
              <w:spacing w:line="360" w:lineRule="auto"/>
              <w:jc w:val="center"/>
              <w:textAlignment w:val="center"/>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kern w:val="0"/>
                <w:sz w:val="32"/>
                <w:szCs w:val="32"/>
                <w:highlight w:val="none"/>
                <w:lang w:bidi="ar"/>
              </w:rPr>
              <w:t>1</w:t>
            </w:r>
          </w:p>
        </w:tc>
        <w:tc>
          <w:tcPr>
            <w:tcW w:w="2854" w:type="dxa"/>
            <w:tcBorders>
              <w:top w:val="single" w:color="000000" w:sz="4" w:space="0"/>
              <w:left w:val="single" w:color="000000" w:sz="4" w:space="0"/>
              <w:bottom w:val="single" w:color="000000" w:sz="4" w:space="0"/>
              <w:right w:val="single" w:color="000000" w:sz="4" w:space="0"/>
            </w:tcBorders>
            <w:noWrap w:val="0"/>
            <w:vAlign w:val="center"/>
          </w:tcPr>
          <w:p w14:paraId="25C8F966">
            <w:pPr>
              <w:snapToGrid w:val="0"/>
              <w:spacing w:line="360" w:lineRule="auto"/>
              <w:jc w:val="center"/>
              <w:rPr>
                <w:rFonts w:hint="eastAsia" w:ascii="仿宋_GB2312" w:hAnsi="仿宋_GB2312" w:eastAsia="仿宋_GB2312" w:cs="仿宋_GB2312"/>
                <w:color w:val="auto"/>
                <w:sz w:val="32"/>
                <w:szCs w:val="32"/>
                <w:highlight w:val="none"/>
              </w:rPr>
            </w:pPr>
          </w:p>
        </w:tc>
        <w:tc>
          <w:tcPr>
            <w:tcW w:w="1138" w:type="dxa"/>
            <w:tcBorders>
              <w:top w:val="single" w:color="000000" w:sz="4" w:space="0"/>
              <w:left w:val="single" w:color="000000" w:sz="4" w:space="0"/>
              <w:bottom w:val="single" w:color="000000" w:sz="4" w:space="0"/>
              <w:right w:val="single" w:color="000000" w:sz="4" w:space="0"/>
            </w:tcBorders>
            <w:noWrap w:val="0"/>
            <w:vAlign w:val="center"/>
          </w:tcPr>
          <w:p w14:paraId="5DCC50E1">
            <w:pPr>
              <w:snapToGrid w:val="0"/>
              <w:spacing w:line="360" w:lineRule="auto"/>
              <w:jc w:val="center"/>
              <w:rPr>
                <w:rFonts w:hint="eastAsia" w:ascii="仿宋_GB2312" w:hAnsi="仿宋_GB2312" w:eastAsia="仿宋_GB2312" w:cs="仿宋_GB2312"/>
                <w:color w:val="auto"/>
                <w:sz w:val="32"/>
                <w:szCs w:val="32"/>
                <w:highlight w:val="none"/>
              </w:rPr>
            </w:pP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67F6B338">
            <w:pPr>
              <w:snapToGrid w:val="0"/>
              <w:spacing w:line="360" w:lineRule="auto"/>
              <w:jc w:val="center"/>
              <w:rPr>
                <w:rFonts w:hint="eastAsia" w:ascii="仿宋_GB2312" w:hAnsi="仿宋_GB2312" w:eastAsia="仿宋_GB2312" w:cs="仿宋_GB2312"/>
                <w:color w:val="auto"/>
                <w:sz w:val="32"/>
                <w:szCs w:val="32"/>
                <w:highlight w:val="none"/>
              </w:rPr>
            </w:pPr>
          </w:p>
        </w:tc>
        <w:tc>
          <w:tcPr>
            <w:tcW w:w="804" w:type="dxa"/>
            <w:tcBorders>
              <w:top w:val="single" w:color="000000" w:sz="4" w:space="0"/>
              <w:left w:val="single" w:color="000000" w:sz="4" w:space="0"/>
              <w:bottom w:val="single" w:color="000000" w:sz="4" w:space="0"/>
              <w:right w:val="single" w:color="000000" w:sz="4" w:space="0"/>
            </w:tcBorders>
            <w:noWrap w:val="0"/>
            <w:vAlign w:val="center"/>
          </w:tcPr>
          <w:p w14:paraId="72067B91">
            <w:pPr>
              <w:snapToGrid w:val="0"/>
              <w:spacing w:line="360" w:lineRule="auto"/>
              <w:jc w:val="center"/>
              <w:rPr>
                <w:rFonts w:hint="eastAsia" w:ascii="仿宋_GB2312" w:hAnsi="仿宋_GB2312" w:eastAsia="仿宋_GB2312" w:cs="仿宋_GB2312"/>
                <w:color w:val="auto"/>
                <w:sz w:val="32"/>
                <w:szCs w:val="32"/>
                <w:highlight w:val="none"/>
              </w:rPr>
            </w:pPr>
          </w:p>
        </w:tc>
        <w:tc>
          <w:tcPr>
            <w:tcW w:w="1545" w:type="dxa"/>
            <w:tcBorders>
              <w:top w:val="single" w:color="000000" w:sz="4" w:space="0"/>
              <w:left w:val="single" w:color="000000" w:sz="4" w:space="0"/>
              <w:bottom w:val="single" w:color="000000" w:sz="4" w:space="0"/>
              <w:right w:val="single" w:color="000000" w:sz="4" w:space="0"/>
            </w:tcBorders>
            <w:noWrap w:val="0"/>
            <w:vAlign w:val="center"/>
          </w:tcPr>
          <w:p w14:paraId="60BF7812">
            <w:pPr>
              <w:snapToGrid w:val="0"/>
              <w:spacing w:line="360" w:lineRule="auto"/>
              <w:jc w:val="center"/>
              <w:rPr>
                <w:rFonts w:hint="eastAsia" w:ascii="仿宋_GB2312" w:hAnsi="仿宋_GB2312" w:eastAsia="仿宋_GB2312" w:cs="仿宋_GB2312"/>
                <w:color w:val="auto"/>
                <w:sz w:val="32"/>
                <w:szCs w:val="32"/>
                <w:highlight w:val="none"/>
              </w:rPr>
            </w:pPr>
          </w:p>
        </w:tc>
        <w:tc>
          <w:tcPr>
            <w:tcW w:w="1029" w:type="dxa"/>
            <w:tcBorders>
              <w:top w:val="single" w:color="000000" w:sz="4" w:space="0"/>
              <w:left w:val="single" w:color="000000" w:sz="4" w:space="0"/>
              <w:bottom w:val="single" w:color="000000" w:sz="4" w:space="0"/>
              <w:right w:val="single" w:color="000000" w:sz="4" w:space="0"/>
            </w:tcBorders>
            <w:noWrap w:val="0"/>
            <w:vAlign w:val="center"/>
          </w:tcPr>
          <w:p w14:paraId="32858D07">
            <w:pPr>
              <w:snapToGrid w:val="0"/>
              <w:spacing w:line="360" w:lineRule="auto"/>
              <w:jc w:val="center"/>
              <w:rPr>
                <w:rFonts w:hint="eastAsia" w:ascii="仿宋_GB2312" w:hAnsi="仿宋_GB2312" w:eastAsia="仿宋_GB2312" w:cs="仿宋_GB2312"/>
                <w:color w:val="auto"/>
                <w:sz w:val="32"/>
                <w:szCs w:val="32"/>
                <w:highlight w:val="none"/>
              </w:rPr>
            </w:pPr>
          </w:p>
        </w:tc>
      </w:tr>
      <w:tr w14:paraId="2C7EA5BD">
        <w:tblPrEx>
          <w:tblCellMar>
            <w:top w:w="0" w:type="dxa"/>
            <w:left w:w="108" w:type="dxa"/>
            <w:bottom w:w="0" w:type="dxa"/>
            <w:right w:w="108" w:type="dxa"/>
          </w:tblCellMar>
        </w:tblPrEx>
        <w:trPr>
          <w:trHeight w:val="598" w:hRule="atLeast"/>
          <w:jc w:val="center"/>
        </w:trPr>
        <w:tc>
          <w:tcPr>
            <w:tcW w:w="654" w:type="dxa"/>
            <w:tcBorders>
              <w:top w:val="single" w:color="000000" w:sz="4" w:space="0"/>
              <w:left w:val="single" w:color="000000" w:sz="4" w:space="0"/>
              <w:bottom w:val="single" w:color="000000" w:sz="4" w:space="0"/>
              <w:right w:val="single" w:color="000000" w:sz="4" w:space="0"/>
            </w:tcBorders>
            <w:noWrap w:val="0"/>
            <w:vAlign w:val="center"/>
          </w:tcPr>
          <w:p w14:paraId="59C5B1B8">
            <w:pPr>
              <w:widowControl/>
              <w:snapToGrid w:val="0"/>
              <w:spacing w:line="360" w:lineRule="auto"/>
              <w:jc w:val="center"/>
              <w:textAlignment w:val="center"/>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kern w:val="0"/>
                <w:sz w:val="32"/>
                <w:szCs w:val="32"/>
                <w:highlight w:val="none"/>
                <w:lang w:bidi="ar"/>
              </w:rPr>
              <w:t>2</w:t>
            </w:r>
          </w:p>
        </w:tc>
        <w:tc>
          <w:tcPr>
            <w:tcW w:w="2854" w:type="dxa"/>
            <w:tcBorders>
              <w:top w:val="single" w:color="000000" w:sz="4" w:space="0"/>
              <w:left w:val="single" w:color="000000" w:sz="4" w:space="0"/>
              <w:bottom w:val="single" w:color="000000" w:sz="4" w:space="0"/>
              <w:right w:val="single" w:color="000000" w:sz="4" w:space="0"/>
            </w:tcBorders>
            <w:noWrap w:val="0"/>
            <w:vAlign w:val="center"/>
          </w:tcPr>
          <w:p w14:paraId="2514C977">
            <w:pPr>
              <w:snapToGrid w:val="0"/>
              <w:spacing w:line="360" w:lineRule="auto"/>
              <w:jc w:val="center"/>
              <w:rPr>
                <w:rFonts w:hint="eastAsia" w:ascii="仿宋_GB2312" w:hAnsi="仿宋_GB2312" w:eastAsia="仿宋_GB2312" w:cs="仿宋_GB2312"/>
                <w:color w:val="auto"/>
                <w:sz w:val="32"/>
                <w:szCs w:val="32"/>
                <w:highlight w:val="none"/>
              </w:rPr>
            </w:pPr>
          </w:p>
        </w:tc>
        <w:tc>
          <w:tcPr>
            <w:tcW w:w="1138" w:type="dxa"/>
            <w:tcBorders>
              <w:top w:val="single" w:color="000000" w:sz="4" w:space="0"/>
              <w:left w:val="single" w:color="000000" w:sz="4" w:space="0"/>
              <w:bottom w:val="single" w:color="000000" w:sz="4" w:space="0"/>
              <w:right w:val="single" w:color="000000" w:sz="4" w:space="0"/>
            </w:tcBorders>
            <w:noWrap w:val="0"/>
            <w:vAlign w:val="center"/>
          </w:tcPr>
          <w:p w14:paraId="747C3064">
            <w:pPr>
              <w:snapToGrid w:val="0"/>
              <w:spacing w:line="360" w:lineRule="auto"/>
              <w:jc w:val="center"/>
              <w:rPr>
                <w:rFonts w:hint="eastAsia" w:ascii="仿宋_GB2312" w:hAnsi="仿宋_GB2312" w:eastAsia="仿宋_GB2312" w:cs="仿宋_GB2312"/>
                <w:color w:val="auto"/>
                <w:sz w:val="32"/>
                <w:szCs w:val="32"/>
                <w:highlight w:val="none"/>
              </w:rPr>
            </w:pP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0ADEF5B0">
            <w:pPr>
              <w:snapToGrid w:val="0"/>
              <w:spacing w:line="360" w:lineRule="auto"/>
              <w:jc w:val="center"/>
              <w:rPr>
                <w:rFonts w:hint="eastAsia" w:ascii="仿宋_GB2312" w:hAnsi="仿宋_GB2312" w:eastAsia="仿宋_GB2312" w:cs="仿宋_GB2312"/>
                <w:color w:val="auto"/>
                <w:sz w:val="32"/>
                <w:szCs w:val="32"/>
                <w:highlight w:val="none"/>
              </w:rPr>
            </w:pPr>
          </w:p>
        </w:tc>
        <w:tc>
          <w:tcPr>
            <w:tcW w:w="804" w:type="dxa"/>
            <w:tcBorders>
              <w:top w:val="single" w:color="000000" w:sz="4" w:space="0"/>
              <w:left w:val="single" w:color="000000" w:sz="4" w:space="0"/>
              <w:bottom w:val="single" w:color="000000" w:sz="4" w:space="0"/>
              <w:right w:val="single" w:color="000000" w:sz="4" w:space="0"/>
            </w:tcBorders>
            <w:noWrap w:val="0"/>
            <w:vAlign w:val="center"/>
          </w:tcPr>
          <w:p w14:paraId="39952D35">
            <w:pPr>
              <w:snapToGrid w:val="0"/>
              <w:spacing w:line="360" w:lineRule="auto"/>
              <w:jc w:val="center"/>
              <w:rPr>
                <w:rFonts w:hint="eastAsia" w:ascii="仿宋_GB2312" w:hAnsi="仿宋_GB2312" w:eastAsia="仿宋_GB2312" w:cs="仿宋_GB2312"/>
                <w:color w:val="auto"/>
                <w:sz w:val="32"/>
                <w:szCs w:val="32"/>
                <w:highlight w:val="none"/>
              </w:rPr>
            </w:pPr>
          </w:p>
        </w:tc>
        <w:tc>
          <w:tcPr>
            <w:tcW w:w="1545" w:type="dxa"/>
            <w:tcBorders>
              <w:top w:val="single" w:color="000000" w:sz="4" w:space="0"/>
              <w:left w:val="single" w:color="000000" w:sz="4" w:space="0"/>
              <w:bottom w:val="single" w:color="000000" w:sz="4" w:space="0"/>
              <w:right w:val="single" w:color="000000" w:sz="4" w:space="0"/>
            </w:tcBorders>
            <w:noWrap w:val="0"/>
            <w:vAlign w:val="center"/>
          </w:tcPr>
          <w:p w14:paraId="20741A71">
            <w:pPr>
              <w:snapToGrid w:val="0"/>
              <w:spacing w:line="360" w:lineRule="auto"/>
              <w:jc w:val="center"/>
              <w:rPr>
                <w:rFonts w:hint="eastAsia" w:ascii="仿宋_GB2312" w:hAnsi="仿宋_GB2312" w:eastAsia="仿宋_GB2312" w:cs="仿宋_GB2312"/>
                <w:color w:val="auto"/>
                <w:sz w:val="32"/>
                <w:szCs w:val="32"/>
                <w:highlight w:val="none"/>
              </w:rPr>
            </w:pPr>
          </w:p>
        </w:tc>
        <w:tc>
          <w:tcPr>
            <w:tcW w:w="1029" w:type="dxa"/>
            <w:tcBorders>
              <w:top w:val="single" w:color="000000" w:sz="4" w:space="0"/>
              <w:left w:val="single" w:color="000000" w:sz="4" w:space="0"/>
              <w:bottom w:val="single" w:color="000000" w:sz="4" w:space="0"/>
              <w:right w:val="single" w:color="000000" w:sz="4" w:space="0"/>
            </w:tcBorders>
            <w:noWrap w:val="0"/>
            <w:vAlign w:val="center"/>
          </w:tcPr>
          <w:p w14:paraId="044AE245">
            <w:pPr>
              <w:snapToGrid w:val="0"/>
              <w:spacing w:line="360" w:lineRule="auto"/>
              <w:jc w:val="center"/>
              <w:rPr>
                <w:rFonts w:hint="eastAsia" w:ascii="仿宋_GB2312" w:hAnsi="仿宋_GB2312" w:eastAsia="仿宋_GB2312" w:cs="仿宋_GB2312"/>
                <w:color w:val="auto"/>
                <w:sz w:val="32"/>
                <w:szCs w:val="32"/>
                <w:highlight w:val="none"/>
              </w:rPr>
            </w:pPr>
          </w:p>
        </w:tc>
      </w:tr>
      <w:tr w14:paraId="13D0326D">
        <w:tblPrEx>
          <w:tblCellMar>
            <w:top w:w="0" w:type="dxa"/>
            <w:left w:w="108" w:type="dxa"/>
            <w:bottom w:w="0" w:type="dxa"/>
            <w:right w:w="108" w:type="dxa"/>
          </w:tblCellMar>
        </w:tblPrEx>
        <w:trPr>
          <w:trHeight w:val="598" w:hRule="atLeast"/>
          <w:jc w:val="center"/>
        </w:trPr>
        <w:tc>
          <w:tcPr>
            <w:tcW w:w="654" w:type="dxa"/>
            <w:tcBorders>
              <w:top w:val="single" w:color="000000" w:sz="4" w:space="0"/>
              <w:left w:val="single" w:color="000000" w:sz="4" w:space="0"/>
              <w:bottom w:val="single" w:color="000000" w:sz="4" w:space="0"/>
              <w:right w:val="single" w:color="000000" w:sz="4" w:space="0"/>
            </w:tcBorders>
            <w:noWrap w:val="0"/>
            <w:vAlign w:val="center"/>
          </w:tcPr>
          <w:p w14:paraId="7F1D26D6">
            <w:pPr>
              <w:widowControl/>
              <w:snapToGrid w:val="0"/>
              <w:spacing w:line="360" w:lineRule="auto"/>
              <w:jc w:val="center"/>
              <w:textAlignment w:val="center"/>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kern w:val="0"/>
                <w:sz w:val="32"/>
                <w:szCs w:val="32"/>
                <w:highlight w:val="none"/>
                <w:lang w:bidi="ar"/>
              </w:rPr>
              <w:t>3</w:t>
            </w:r>
          </w:p>
        </w:tc>
        <w:tc>
          <w:tcPr>
            <w:tcW w:w="2854" w:type="dxa"/>
            <w:tcBorders>
              <w:top w:val="single" w:color="000000" w:sz="4" w:space="0"/>
              <w:left w:val="single" w:color="000000" w:sz="4" w:space="0"/>
              <w:bottom w:val="single" w:color="000000" w:sz="4" w:space="0"/>
              <w:right w:val="single" w:color="000000" w:sz="4" w:space="0"/>
            </w:tcBorders>
            <w:noWrap w:val="0"/>
            <w:vAlign w:val="center"/>
          </w:tcPr>
          <w:p w14:paraId="7A1FCEF8">
            <w:pPr>
              <w:snapToGrid w:val="0"/>
              <w:spacing w:line="360" w:lineRule="auto"/>
              <w:jc w:val="center"/>
              <w:rPr>
                <w:rFonts w:hint="eastAsia" w:ascii="仿宋_GB2312" w:hAnsi="仿宋_GB2312" w:eastAsia="仿宋_GB2312" w:cs="仿宋_GB2312"/>
                <w:color w:val="auto"/>
                <w:sz w:val="32"/>
                <w:szCs w:val="32"/>
                <w:highlight w:val="none"/>
              </w:rPr>
            </w:pPr>
          </w:p>
        </w:tc>
        <w:tc>
          <w:tcPr>
            <w:tcW w:w="1138" w:type="dxa"/>
            <w:tcBorders>
              <w:top w:val="single" w:color="000000" w:sz="4" w:space="0"/>
              <w:left w:val="single" w:color="000000" w:sz="4" w:space="0"/>
              <w:bottom w:val="single" w:color="000000" w:sz="4" w:space="0"/>
              <w:right w:val="single" w:color="000000" w:sz="4" w:space="0"/>
            </w:tcBorders>
            <w:noWrap w:val="0"/>
            <w:vAlign w:val="center"/>
          </w:tcPr>
          <w:p w14:paraId="50A71D5D">
            <w:pPr>
              <w:snapToGrid w:val="0"/>
              <w:spacing w:line="360" w:lineRule="auto"/>
              <w:jc w:val="center"/>
              <w:rPr>
                <w:rFonts w:hint="eastAsia" w:ascii="仿宋_GB2312" w:hAnsi="仿宋_GB2312" w:eastAsia="仿宋_GB2312" w:cs="仿宋_GB2312"/>
                <w:color w:val="auto"/>
                <w:sz w:val="32"/>
                <w:szCs w:val="32"/>
                <w:highlight w:val="none"/>
              </w:rPr>
            </w:pP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343C7C74">
            <w:pPr>
              <w:snapToGrid w:val="0"/>
              <w:spacing w:line="360" w:lineRule="auto"/>
              <w:jc w:val="center"/>
              <w:rPr>
                <w:rFonts w:hint="eastAsia" w:ascii="仿宋_GB2312" w:hAnsi="仿宋_GB2312" w:eastAsia="仿宋_GB2312" w:cs="仿宋_GB2312"/>
                <w:color w:val="auto"/>
                <w:sz w:val="32"/>
                <w:szCs w:val="32"/>
                <w:highlight w:val="none"/>
              </w:rPr>
            </w:pPr>
          </w:p>
        </w:tc>
        <w:tc>
          <w:tcPr>
            <w:tcW w:w="804" w:type="dxa"/>
            <w:tcBorders>
              <w:top w:val="single" w:color="000000" w:sz="4" w:space="0"/>
              <w:left w:val="single" w:color="000000" w:sz="4" w:space="0"/>
              <w:bottom w:val="single" w:color="000000" w:sz="4" w:space="0"/>
              <w:right w:val="single" w:color="000000" w:sz="4" w:space="0"/>
            </w:tcBorders>
            <w:noWrap w:val="0"/>
            <w:vAlign w:val="center"/>
          </w:tcPr>
          <w:p w14:paraId="4BEF89A8">
            <w:pPr>
              <w:snapToGrid w:val="0"/>
              <w:spacing w:line="360" w:lineRule="auto"/>
              <w:jc w:val="center"/>
              <w:rPr>
                <w:rFonts w:hint="eastAsia" w:ascii="仿宋_GB2312" w:hAnsi="仿宋_GB2312" w:eastAsia="仿宋_GB2312" w:cs="仿宋_GB2312"/>
                <w:color w:val="auto"/>
                <w:sz w:val="32"/>
                <w:szCs w:val="32"/>
                <w:highlight w:val="none"/>
              </w:rPr>
            </w:pPr>
          </w:p>
        </w:tc>
        <w:tc>
          <w:tcPr>
            <w:tcW w:w="1545" w:type="dxa"/>
            <w:tcBorders>
              <w:top w:val="single" w:color="000000" w:sz="4" w:space="0"/>
              <w:left w:val="single" w:color="000000" w:sz="4" w:space="0"/>
              <w:bottom w:val="single" w:color="000000" w:sz="4" w:space="0"/>
              <w:right w:val="single" w:color="000000" w:sz="4" w:space="0"/>
            </w:tcBorders>
            <w:noWrap w:val="0"/>
            <w:vAlign w:val="center"/>
          </w:tcPr>
          <w:p w14:paraId="6E28B91E">
            <w:pPr>
              <w:snapToGrid w:val="0"/>
              <w:spacing w:line="360" w:lineRule="auto"/>
              <w:jc w:val="center"/>
              <w:rPr>
                <w:rFonts w:hint="eastAsia" w:ascii="仿宋_GB2312" w:hAnsi="仿宋_GB2312" w:eastAsia="仿宋_GB2312" w:cs="仿宋_GB2312"/>
                <w:color w:val="auto"/>
                <w:sz w:val="32"/>
                <w:szCs w:val="32"/>
                <w:highlight w:val="none"/>
              </w:rPr>
            </w:pPr>
          </w:p>
        </w:tc>
        <w:tc>
          <w:tcPr>
            <w:tcW w:w="1029" w:type="dxa"/>
            <w:tcBorders>
              <w:top w:val="single" w:color="000000" w:sz="4" w:space="0"/>
              <w:left w:val="single" w:color="000000" w:sz="4" w:space="0"/>
              <w:bottom w:val="single" w:color="000000" w:sz="4" w:space="0"/>
              <w:right w:val="single" w:color="000000" w:sz="4" w:space="0"/>
            </w:tcBorders>
            <w:noWrap w:val="0"/>
            <w:vAlign w:val="center"/>
          </w:tcPr>
          <w:p w14:paraId="5A496CD1">
            <w:pPr>
              <w:snapToGrid w:val="0"/>
              <w:spacing w:line="360" w:lineRule="auto"/>
              <w:jc w:val="center"/>
              <w:rPr>
                <w:rFonts w:hint="eastAsia" w:ascii="仿宋_GB2312" w:hAnsi="仿宋_GB2312" w:eastAsia="仿宋_GB2312" w:cs="仿宋_GB2312"/>
                <w:color w:val="auto"/>
                <w:sz w:val="32"/>
                <w:szCs w:val="32"/>
                <w:highlight w:val="none"/>
              </w:rPr>
            </w:pPr>
          </w:p>
        </w:tc>
      </w:tr>
      <w:tr w14:paraId="4ECA0D40">
        <w:tblPrEx>
          <w:tblCellMar>
            <w:top w:w="0" w:type="dxa"/>
            <w:left w:w="108" w:type="dxa"/>
            <w:bottom w:w="0" w:type="dxa"/>
            <w:right w:w="108" w:type="dxa"/>
          </w:tblCellMar>
        </w:tblPrEx>
        <w:trPr>
          <w:trHeight w:val="598" w:hRule="atLeast"/>
          <w:jc w:val="center"/>
        </w:trPr>
        <w:tc>
          <w:tcPr>
            <w:tcW w:w="654" w:type="dxa"/>
            <w:tcBorders>
              <w:top w:val="single" w:color="000000" w:sz="4" w:space="0"/>
              <w:left w:val="single" w:color="000000" w:sz="4" w:space="0"/>
              <w:bottom w:val="single" w:color="000000" w:sz="4" w:space="0"/>
              <w:right w:val="single" w:color="000000" w:sz="4" w:space="0"/>
            </w:tcBorders>
            <w:noWrap w:val="0"/>
            <w:vAlign w:val="center"/>
          </w:tcPr>
          <w:p w14:paraId="2408F96D">
            <w:pPr>
              <w:widowControl/>
              <w:snapToGrid w:val="0"/>
              <w:spacing w:line="360" w:lineRule="auto"/>
              <w:jc w:val="center"/>
              <w:textAlignment w:val="center"/>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kern w:val="0"/>
                <w:sz w:val="32"/>
                <w:szCs w:val="32"/>
                <w:highlight w:val="none"/>
                <w:lang w:bidi="ar"/>
              </w:rPr>
              <w:t>4</w:t>
            </w:r>
          </w:p>
        </w:tc>
        <w:tc>
          <w:tcPr>
            <w:tcW w:w="2854" w:type="dxa"/>
            <w:tcBorders>
              <w:top w:val="single" w:color="000000" w:sz="4" w:space="0"/>
              <w:left w:val="single" w:color="000000" w:sz="4" w:space="0"/>
              <w:bottom w:val="single" w:color="000000" w:sz="4" w:space="0"/>
              <w:right w:val="single" w:color="000000" w:sz="4" w:space="0"/>
            </w:tcBorders>
            <w:noWrap w:val="0"/>
            <w:vAlign w:val="center"/>
          </w:tcPr>
          <w:p w14:paraId="2940C102">
            <w:pPr>
              <w:snapToGrid w:val="0"/>
              <w:spacing w:line="360" w:lineRule="auto"/>
              <w:jc w:val="center"/>
              <w:rPr>
                <w:rFonts w:hint="eastAsia" w:ascii="仿宋_GB2312" w:hAnsi="仿宋_GB2312" w:eastAsia="仿宋_GB2312" w:cs="仿宋_GB2312"/>
                <w:color w:val="auto"/>
                <w:sz w:val="32"/>
                <w:szCs w:val="32"/>
                <w:highlight w:val="none"/>
              </w:rPr>
            </w:pPr>
          </w:p>
        </w:tc>
        <w:tc>
          <w:tcPr>
            <w:tcW w:w="1138" w:type="dxa"/>
            <w:tcBorders>
              <w:top w:val="single" w:color="000000" w:sz="4" w:space="0"/>
              <w:left w:val="single" w:color="000000" w:sz="4" w:space="0"/>
              <w:bottom w:val="single" w:color="000000" w:sz="4" w:space="0"/>
              <w:right w:val="single" w:color="000000" w:sz="4" w:space="0"/>
            </w:tcBorders>
            <w:noWrap w:val="0"/>
            <w:vAlign w:val="center"/>
          </w:tcPr>
          <w:p w14:paraId="5CCB0E13">
            <w:pPr>
              <w:snapToGrid w:val="0"/>
              <w:spacing w:line="360" w:lineRule="auto"/>
              <w:jc w:val="center"/>
              <w:rPr>
                <w:rFonts w:hint="eastAsia" w:ascii="仿宋_GB2312" w:hAnsi="仿宋_GB2312" w:eastAsia="仿宋_GB2312" w:cs="仿宋_GB2312"/>
                <w:color w:val="auto"/>
                <w:sz w:val="32"/>
                <w:szCs w:val="32"/>
                <w:highlight w:val="none"/>
              </w:rPr>
            </w:pP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2E85AE6A">
            <w:pPr>
              <w:snapToGrid w:val="0"/>
              <w:spacing w:line="360" w:lineRule="auto"/>
              <w:jc w:val="center"/>
              <w:rPr>
                <w:rFonts w:hint="eastAsia" w:ascii="仿宋_GB2312" w:hAnsi="仿宋_GB2312" w:eastAsia="仿宋_GB2312" w:cs="仿宋_GB2312"/>
                <w:color w:val="auto"/>
                <w:sz w:val="32"/>
                <w:szCs w:val="32"/>
                <w:highlight w:val="none"/>
              </w:rPr>
            </w:pPr>
          </w:p>
        </w:tc>
        <w:tc>
          <w:tcPr>
            <w:tcW w:w="804" w:type="dxa"/>
            <w:tcBorders>
              <w:top w:val="single" w:color="000000" w:sz="4" w:space="0"/>
              <w:left w:val="single" w:color="000000" w:sz="4" w:space="0"/>
              <w:bottom w:val="single" w:color="000000" w:sz="4" w:space="0"/>
              <w:right w:val="single" w:color="000000" w:sz="4" w:space="0"/>
            </w:tcBorders>
            <w:noWrap w:val="0"/>
            <w:vAlign w:val="center"/>
          </w:tcPr>
          <w:p w14:paraId="6E308222">
            <w:pPr>
              <w:snapToGrid w:val="0"/>
              <w:spacing w:line="360" w:lineRule="auto"/>
              <w:jc w:val="center"/>
              <w:rPr>
                <w:rFonts w:hint="eastAsia" w:ascii="仿宋_GB2312" w:hAnsi="仿宋_GB2312" w:eastAsia="仿宋_GB2312" w:cs="仿宋_GB2312"/>
                <w:color w:val="auto"/>
                <w:sz w:val="32"/>
                <w:szCs w:val="32"/>
                <w:highlight w:val="none"/>
              </w:rPr>
            </w:pPr>
          </w:p>
        </w:tc>
        <w:tc>
          <w:tcPr>
            <w:tcW w:w="1545" w:type="dxa"/>
            <w:tcBorders>
              <w:top w:val="single" w:color="000000" w:sz="4" w:space="0"/>
              <w:left w:val="single" w:color="000000" w:sz="4" w:space="0"/>
              <w:bottom w:val="single" w:color="000000" w:sz="4" w:space="0"/>
              <w:right w:val="single" w:color="000000" w:sz="4" w:space="0"/>
            </w:tcBorders>
            <w:noWrap w:val="0"/>
            <w:vAlign w:val="center"/>
          </w:tcPr>
          <w:p w14:paraId="1AF1D899">
            <w:pPr>
              <w:snapToGrid w:val="0"/>
              <w:spacing w:line="360" w:lineRule="auto"/>
              <w:jc w:val="center"/>
              <w:rPr>
                <w:rFonts w:hint="eastAsia" w:ascii="仿宋_GB2312" w:hAnsi="仿宋_GB2312" w:eastAsia="仿宋_GB2312" w:cs="仿宋_GB2312"/>
                <w:color w:val="auto"/>
                <w:sz w:val="32"/>
                <w:szCs w:val="32"/>
                <w:highlight w:val="none"/>
              </w:rPr>
            </w:pPr>
          </w:p>
        </w:tc>
        <w:tc>
          <w:tcPr>
            <w:tcW w:w="1029" w:type="dxa"/>
            <w:tcBorders>
              <w:top w:val="single" w:color="000000" w:sz="4" w:space="0"/>
              <w:left w:val="single" w:color="000000" w:sz="4" w:space="0"/>
              <w:bottom w:val="single" w:color="000000" w:sz="4" w:space="0"/>
              <w:right w:val="single" w:color="000000" w:sz="4" w:space="0"/>
            </w:tcBorders>
            <w:noWrap w:val="0"/>
            <w:vAlign w:val="center"/>
          </w:tcPr>
          <w:p w14:paraId="209EEBBF">
            <w:pPr>
              <w:snapToGrid w:val="0"/>
              <w:spacing w:line="360" w:lineRule="auto"/>
              <w:jc w:val="center"/>
              <w:rPr>
                <w:rFonts w:hint="eastAsia" w:ascii="仿宋_GB2312" w:hAnsi="仿宋_GB2312" w:eastAsia="仿宋_GB2312" w:cs="仿宋_GB2312"/>
                <w:color w:val="auto"/>
                <w:sz w:val="32"/>
                <w:szCs w:val="32"/>
                <w:highlight w:val="none"/>
              </w:rPr>
            </w:pPr>
          </w:p>
        </w:tc>
      </w:tr>
      <w:tr w14:paraId="79126A82">
        <w:tblPrEx>
          <w:tblCellMar>
            <w:top w:w="0" w:type="dxa"/>
            <w:left w:w="108" w:type="dxa"/>
            <w:bottom w:w="0" w:type="dxa"/>
            <w:right w:w="108" w:type="dxa"/>
          </w:tblCellMar>
        </w:tblPrEx>
        <w:trPr>
          <w:trHeight w:val="598" w:hRule="atLeast"/>
          <w:jc w:val="center"/>
        </w:trPr>
        <w:tc>
          <w:tcPr>
            <w:tcW w:w="654" w:type="dxa"/>
            <w:tcBorders>
              <w:top w:val="single" w:color="000000" w:sz="4" w:space="0"/>
              <w:left w:val="single" w:color="000000" w:sz="4" w:space="0"/>
              <w:bottom w:val="single" w:color="000000" w:sz="4" w:space="0"/>
              <w:right w:val="single" w:color="000000" w:sz="4" w:space="0"/>
            </w:tcBorders>
            <w:noWrap w:val="0"/>
            <w:vAlign w:val="center"/>
          </w:tcPr>
          <w:p w14:paraId="3B4D7819">
            <w:pPr>
              <w:widowControl/>
              <w:snapToGrid w:val="0"/>
              <w:spacing w:line="360" w:lineRule="auto"/>
              <w:jc w:val="center"/>
              <w:textAlignment w:val="center"/>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kern w:val="0"/>
                <w:sz w:val="32"/>
                <w:szCs w:val="32"/>
                <w:highlight w:val="none"/>
                <w:lang w:bidi="ar"/>
              </w:rPr>
              <w:t>5</w:t>
            </w:r>
          </w:p>
        </w:tc>
        <w:tc>
          <w:tcPr>
            <w:tcW w:w="2854" w:type="dxa"/>
            <w:tcBorders>
              <w:top w:val="single" w:color="000000" w:sz="4" w:space="0"/>
              <w:left w:val="single" w:color="000000" w:sz="4" w:space="0"/>
              <w:bottom w:val="single" w:color="000000" w:sz="4" w:space="0"/>
              <w:right w:val="single" w:color="000000" w:sz="4" w:space="0"/>
            </w:tcBorders>
            <w:noWrap w:val="0"/>
            <w:vAlign w:val="center"/>
          </w:tcPr>
          <w:p w14:paraId="0F244BEF">
            <w:pPr>
              <w:snapToGrid w:val="0"/>
              <w:spacing w:line="360" w:lineRule="auto"/>
              <w:jc w:val="center"/>
              <w:rPr>
                <w:rFonts w:hint="eastAsia" w:ascii="仿宋_GB2312" w:hAnsi="仿宋_GB2312" w:eastAsia="仿宋_GB2312" w:cs="仿宋_GB2312"/>
                <w:color w:val="auto"/>
                <w:sz w:val="32"/>
                <w:szCs w:val="32"/>
                <w:highlight w:val="none"/>
              </w:rPr>
            </w:pPr>
          </w:p>
        </w:tc>
        <w:tc>
          <w:tcPr>
            <w:tcW w:w="1138" w:type="dxa"/>
            <w:tcBorders>
              <w:top w:val="single" w:color="000000" w:sz="4" w:space="0"/>
              <w:left w:val="single" w:color="000000" w:sz="4" w:space="0"/>
              <w:bottom w:val="single" w:color="000000" w:sz="4" w:space="0"/>
              <w:right w:val="single" w:color="000000" w:sz="4" w:space="0"/>
            </w:tcBorders>
            <w:noWrap w:val="0"/>
            <w:vAlign w:val="center"/>
          </w:tcPr>
          <w:p w14:paraId="7F482068">
            <w:pPr>
              <w:snapToGrid w:val="0"/>
              <w:spacing w:line="360" w:lineRule="auto"/>
              <w:jc w:val="center"/>
              <w:rPr>
                <w:rFonts w:hint="eastAsia" w:ascii="仿宋_GB2312" w:hAnsi="仿宋_GB2312" w:eastAsia="仿宋_GB2312" w:cs="仿宋_GB2312"/>
                <w:color w:val="auto"/>
                <w:sz w:val="32"/>
                <w:szCs w:val="32"/>
                <w:highlight w:val="none"/>
              </w:rPr>
            </w:pP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5B8CB807">
            <w:pPr>
              <w:snapToGrid w:val="0"/>
              <w:spacing w:line="360" w:lineRule="auto"/>
              <w:jc w:val="center"/>
              <w:rPr>
                <w:rFonts w:hint="eastAsia" w:ascii="仿宋_GB2312" w:hAnsi="仿宋_GB2312" w:eastAsia="仿宋_GB2312" w:cs="仿宋_GB2312"/>
                <w:color w:val="auto"/>
                <w:sz w:val="32"/>
                <w:szCs w:val="32"/>
                <w:highlight w:val="none"/>
              </w:rPr>
            </w:pPr>
          </w:p>
        </w:tc>
        <w:tc>
          <w:tcPr>
            <w:tcW w:w="804" w:type="dxa"/>
            <w:tcBorders>
              <w:top w:val="single" w:color="000000" w:sz="4" w:space="0"/>
              <w:left w:val="single" w:color="000000" w:sz="4" w:space="0"/>
              <w:bottom w:val="single" w:color="000000" w:sz="4" w:space="0"/>
              <w:right w:val="single" w:color="000000" w:sz="4" w:space="0"/>
            </w:tcBorders>
            <w:noWrap w:val="0"/>
            <w:vAlign w:val="center"/>
          </w:tcPr>
          <w:p w14:paraId="12254416">
            <w:pPr>
              <w:snapToGrid w:val="0"/>
              <w:spacing w:line="360" w:lineRule="auto"/>
              <w:jc w:val="center"/>
              <w:rPr>
                <w:rFonts w:hint="eastAsia" w:ascii="仿宋_GB2312" w:hAnsi="仿宋_GB2312" w:eastAsia="仿宋_GB2312" w:cs="仿宋_GB2312"/>
                <w:color w:val="auto"/>
                <w:sz w:val="32"/>
                <w:szCs w:val="32"/>
                <w:highlight w:val="none"/>
              </w:rPr>
            </w:pPr>
          </w:p>
        </w:tc>
        <w:tc>
          <w:tcPr>
            <w:tcW w:w="1545" w:type="dxa"/>
            <w:tcBorders>
              <w:top w:val="single" w:color="000000" w:sz="4" w:space="0"/>
              <w:left w:val="single" w:color="000000" w:sz="4" w:space="0"/>
              <w:bottom w:val="single" w:color="000000" w:sz="4" w:space="0"/>
              <w:right w:val="single" w:color="000000" w:sz="4" w:space="0"/>
            </w:tcBorders>
            <w:noWrap w:val="0"/>
            <w:vAlign w:val="center"/>
          </w:tcPr>
          <w:p w14:paraId="7A48D21A">
            <w:pPr>
              <w:snapToGrid w:val="0"/>
              <w:spacing w:line="360" w:lineRule="auto"/>
              <w:jc w:val="center"/>
              <w:rPr>
                <w:rFonts w:hint="eastAsia" w:ascii="仿宋_GB2312" w:hAnsi="仿宋_GB2312" w:eastAsia="仿宋_GB2312" w:cs="仿宋_GB2312"/>
                <w:color w:val="auto"/>
                <w:sz w:val="32"/>
                <w:szCs w:val="32"/>
                <w:highlight w:val="none"/>
              </w:rPr>
            </w:pPr>
          </w:p>
        </w:tc>
        <w:tc>
          <w:tcPr>
            <w:tcW w:w="1029" w:type="dxa"/>
            <w:tcBorders>
              <w:top w:val="single" w:color="000000" w:sz="4" w:space="0"/>
              <w:left w:val="single" w:color="000000" w:sz="4" w:space="0"/>
              <w:bottom w:val="single" w:color="000000" w:sz="4" w:space="0"/>
              <w:right w:val="single" w:color="000000" w:sz="4" w:space="0"/>
            </w:tcBorders>
            <w:noWrap w:val="0"/>
            <w:vAlign w:val="center"/>
          </w:tcPr>
          <w:p w14:paraId="192011A4">
            <w:pPr>
              <w:snapToGrid w:val="0"/>
              <w:spacing w:line="360" w:lineRule="auto"/>
              <w:jc w:val="center"/>
              <w:rPr>
                <w:rFonts w:hint="eastAsia" w:ascii="仿宋_GB2312" w:hAnsi="仿宋_GB2312" w:eastAsia="仿宋_GB2312" w:cs="仿宋_GB2312"/>
                <w:color w:val="auto"/>
                <w:sz w:val="32"/>
                <w:szCs w:val="32"/>
                <w:highlight w:val="none"/>
              </w:rPr>
            </w:pPr>
          </w:p>
        </w:tc>
      </w:tr>
      <w:tr w14:paraId="24398913">
        <w:tblPrEx>
          <w:tblCellMar>
            <w:top w:w="0" w:type="dxa"/>
            <w:left w:w="108" w:type="dxa"/>
            <w:bottom w:w="0" w:type="dxa"/>
            <w:right w:w="108" w:type="dxa"/>
          </w:tblCellMar>
        </w:tblPrEx>
        <w:trPr>
          <w:trHeight w:val="598" w:hRule="atLeast"/>
          <w:jc w:val="center"/>
        </w:trPr>
        <w:tc>
          <w:tcPr>
            <w:tcW w:w="654" w:type="dxa"/>
            <w:tcBorders>
              <w:top w:val="single" w:color="000000" w:sz="4" w:space="0"/>
              <w:left w:val="single" w:color="000000" w:sz="4" w:space="0"/>
              <w:bottom w:val="single" w:color="000000" w:sz="4" w:space="0"/>
              <w:right w:val="single" w:color="000000" w:sz="4" w:space="0"/>
            </w:tcBorders>
            <w:noWrap w:val="0"/>
            <w:vAlign w:val="center"/>
          </w:tcPr>
          <w:p w14:paraId="28836FA5">
            <w:pPr>
              <w:widowControl/>
              <w:snapToGrid w:val="0"/>
              <w:spacing w:line="360" w:lineRule="auto"/>
              <w:jc w:val="center"/>
              <w:textAlignment w:val="center"/>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kern w:val="0"/>
                <w:sz w:val="32"/>
                <w:szCs w:val="32"/>
                <w:highlight w:val="none"/>
                <w:lang w:bidi="ar"/>
              </w:rPr>
              <w:t>6</w:t>
            </w:r>
          </w:p>
        </w:tc>
        <w:tc>
          <w:tcPr>
            <w:tcW w:w="2854" w:type="dxa"/>
            <w:tcBorders>
              <w:top w:val="single" w:color="000000" w:sz="4" w:space="0"/>
              <w:left w:val="single" w:color="000000" w:sz="4" w:space="0"/>
              <w:bottom w:val="single" w:color="000000" w:sz="4" w:space="0"/>
              <w:right w:val="single" w:color="000000" w:sz="4" w:space="0"/>
            </w:tcBorders>
            <w:noWrap w:val="0"/>
            <w:vAlign w:val="center"/>
          </w:tcPr>
          <w:p w14:paraId="17C55499">
            <w:pPr>
              <w:snapToGrid w:val="0"/>
              <w:spacing w:line="360" w:lineRule="auto"/>
              <w:jc w:val="center"/>
              <w:rPr>
                <w:rFonts w:hint="eastAsia" w:ascii="仿宋_GB2312" w:hAnsi="仿宋_GB2312" w:eastAsia="仿宋_GB2312" w:cs="仿宋_GB2312"/>
                <w:color w:val="auto"/>
                <w:sz w:val="32"/>
                <w:szCs w:val="32"/>
                <w:highlight w:val="none"/>
              </w:rPr>
            </w:pPr>
          </w:p>
        </w:tc>
        <w:tc>
          <w:tcPr>
            <w:tcW w:w="1138" w:type="dxa"/>
            <w:tcBorders>
              <w:top w:val="single" w:color="000000" w:sz="4" w:space="0"/>
              <w:left w:val="single" w:color="000000" w:sz="4" w:space="0"/>
              <w:bottom w:val="single" w:color="000000" w:sz="4" w:space="0"/>
              <w:right w:val="single" w:color="000000" w:sz="4" w:space="0"/>
            </w:tcBorders>
            <w:noWrap w:val="0"/>
            <w:vAlign w:val="center"/>
          </w:tcPr>
          <w:p w14:paraId="5DFEBAB7">
            <w:pPr>
              <w:snapToGrid w:val="0"/>
              <w:spacing w:line="360" w:lineRule="auto"/>
              <w:jc w:val="center"/>
              <w:rPr>
                <w:rFonts w:hint="eastAsia" w:ascii="仿宋_GB2312" w:hAnsi="仿宋_GB2312" w:eastAsia="仿宋_GB2312" w:cs="仿宋_GB2312"/>
                <w:color w:val="auto"/>
                <w:sz w:val="32"/>
                <w:szCs w:val="32"/>
                <w:highlight w:val="none"/>
              </w:rPr>
            </w:pP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116AB9C3">
            <w:pPr>
              <w:snapToGrid w:val="0"/>
              <w:spacing w:line="360" w:lineRule="auto"/>
              <w:jc w:val="center"/>
              <w:rPr>
                <w:rFonts w:hint="eastAsia" w:ascii="仿宋_GB2312" w:hAnsi="仿宋_GB2312" w:eastAsia="仿宋_GB2312" w:cs="仿宋_GB2312"/>
                <w:color w:val="auto"/>
                <w:sz w:val="32"/>
                <w:szCs w:val="32"/>
                <w:highlight w:val="none"/>
              </w:rPr>
            </w:pPr>
          </w:p>
        </w:tc>
        <w:tc>
          <w:tcPr>
            <w:tcW w:w="804" w:type="dxa"/>
            <w:tcBorders>
              <w:top w:val="single" w:color="000000" w:sz="4" w:space="0"/>
              <w:left w:val="single" w:color="000000" w:sz="4" w:space="0"/>
              <w:bottom w:val="single" w:color="000000" w:sz="4" w:space="0"/>
              <w:right w:val="single" w:color="000000" w:sz="4" w:space="0"/>
            </w:tcBorders>
            <w:noWrap w:val="0"/>
            <w:vAlign w:val="center"/>
          </w:tcPr>
          <w:p w14:paraId="59C30102">
            <w:pPr>
              <w:snapToGrid w:val="0"/>
              <w:spacing w:line="360" w:lineRule="auto"/>
              <w:jc w:val="center"/>
              <w:rPr>
                <w:rFonts w:hint="eastAsia" w:ascii="仿宋_GB2312" w:hAnsi="仿宋_GB2312" w:eastAsia="仿宋_GB2312" w:cs="仿宋_GB2312"/>
                <w:color w:val="auto"/>
                <w:sz w:val="32"/>
                <w:szCs w:val="32"/>
                <w:highlight w:val="none"/>
              </w:rPr>
            </w:pPr>
          </w:p>
        </w:tc>
        <w:tc>
          <w:tcPr>
            <w:tcW w:w="1545" w:type="dxa"/>
            <w:tcBorders>
              <w:top w:val="single" w:color="000000" w:sz="4" w:space="0"/>
              <w:left w:val="single" w:color="000000" w:sz="4" w:space="0"/>
              <w:bottom w:val="single" w:color="000000" w:sz="4" w:space="0"/>
              <w:right w:val="single" w:color="000000" w:sz="4" w:space="0"/>
            </w:tcBorders>
            <w:noWrap w:val="0"/>
            <w:vAlign w:val="center"/>
          </w:tcPr>
          <w:p w14:paraId="26DE89C3">
            <w:pPr>
              <w:snapToGrid w:val="0"/>
              <w:spacing w:line="360" w:lineRule="auto"/>
              <w:jc w:val="center"/>
              <w:rPr>
                <w:rFonts w:hint="eastAsia" w:ascii="仿宋_GB2312" w:hAnsi="仿宋_GB2312" w:eastAsia="仿宋_GB2312" w:cs="仿宋_GB2312"/>
                <w:color w:val="auto"/>
                <w:sz w:val="32"/>
                <w:szCs w:val="32"/>
                <w:highlight w:val="none"/>
              </w:rPr>
            </w:pPr>
          </w:p>
        </w:tc>
        <w:tc>
          <w:tcPr>
            <w:tcW w:w="1029" w:type="dxa"/>
            <w:tcBorders>
              <w:top w:val="single" w:color="000000" w:sz="4" w:space="0"/>
              <w:left w:val="single" w:color="000000" w:sz="4" w:space="0"/>
              <w:bottom w:val="single" w:color="000000" w:sz="4" w:space="0"/>
              <w:right w:val="single" w:color="000000" w:sz="4" w:space="0"/>
            </w:tcBorders>
            <w:noWrap w:val="0"/>
            <w:vAlign w:val="center"/>
          </w:tcPr>
          <w:p w14:paraId="1547FA4A">
            <w:pPr>
              <w:snapToGrid w:val="0"/>
              <w:spacing w:line="360" w:lineRule="auto"/>
              <w:jc w:val="center"/>
              <w:rPr>
                <w:rFonts w:hint="eastAsia" w:ascii="仿宋_GB2312" w:hAnsi="仿宋_GB2312" w:eastAsia="仿宋_GB2312" w:cs="仿宋_GB2312"/>
                <w:color w:val="auto"/>
                <w:sz w:val="32"/>
                <w:szCs w:val="32"/>
                <w:highlight w:val="none"/>
              </w:rPr>
            </w:pPr>
          </w:p>
        </w:tc>
      </w:tr>
      <w:tr w14:paraId="465A3096">
        <w:tblPrEx>
          <w:tblCellMar>
            <w:top w:w="0" w:type="dxa"/>
            <w:left w:w="108" w:type="dxa"/>
            <w:bottom w:w="0" w:type="dxa"/>
            <w:right w:w="108" w:type="dxa"/>
          </w:tblCellMar>
        </w:tblPrEx>
        <w:trPr>
          <w:trHeight w:val="619" w:hRule="atLeast"/>
          <w:jc w:val="center"/>
        </w:trPr>
        <w:tc>
          <w:tcPr>
            <w:tcW w:w="4646" w:type="dxa"/>
            <w:gridSpan w:val="3"/>
            <w:tcBorders>
              <w:top w:val="single" w:color="000000" w:sz="4" w:space="0"/>
              <w:left w:val="single" w:color="000000" w:sz="4" w:space="0"/>
              <w:bottom w:val="single" w:color="000000" w:sz="4" w:space="0"/>
              <w:right w:val="single" w:color="000000" w:sz="4" w:space="0"/>
            </w:tcBorders>
            <w:noWrap w:val="0"/>
            <w:vAlign w:val="center"/>
          </w:tcPr>
          <w:p w14:paraId="1AE4B34E">
            <w:pPr>
              <w:widowControl/>
              <w:snapToGrid w:val="0"/>
              <w:spacing w:line="360" w:lineRule="auto"/>
              <w:jc w:val="center"/>
              <w:textAlignment w:val="center"/>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kern w:val="0"/>
                <w:sz w:val="32"/>
                <w:szCs w:val="32"/>
                <w:highlight w:val="none"/>
                <w:lang w:bidi="ar"/>
              </w:rPr>
              <w:t>合计</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45F93ADF">
            <w:pPr>
              <w:snapToGrid w:val="0"/>
              <w:spacing w:line="360" w:lineRule="auto"/>
              <w:jc w:val="center"/>
              <w:rPr>
                <w:rFonts w:hint="eastAsia" w:ascii="仿宋_GB2312" w:hAnsi="仿宋_GB2312" w:eastAsia="仿宋_GB2312" w:cs="仿宋_GB2312"/>
                <w:color w:val="auto"/>
                <w:sz w:val="32"/>
                <w:szCs w:val="32"/>
                <w:highlight w:val="none"/>
              </w:rPr>
            </w:pPr>
          </w:p>
        </w:tc>
        <w:tc>
          <w:tcPr>
            <w:tcW w:w="804" w:type="dxa"/>
            <w:tcBorders>
              <w:top w:val="single" w:color="000000" w:sz="4" w:space="0"/>
              <w:left w:val="single" w:color="000000" w:sz="4" w:space="0"/>
              <w:bottom w:val="single" w:color="000000" w:sz="4" w:space="0"/>
              <w:right w:val="single" w:color="000000" w:sz="4" w:space="0"/>
            </w:tcBorders>
            <w:noWrap w:val="0"/>
            <w:vAlign w:val="center"/>
          </w:tcPr>
          <w:p w14:paraId="44343CA6">
            <w:pPr>
              <w:snapToGrid w:val="0"/>
              <w:spacing w:line="360" w:lineRule="auto"/>
              <w:jc w:val="center"/>
              <w:rPr>
                <w:rFonts w:hint="eastAsia" w:ascii="仿宋_GB2312" w:hAnsi="仿宋_GB2312" w:eastAsia="仿宋_GB2312" w:cs="仿宋_GB2312"/>
                <w:color w:val="auto"/>
                <w:sz w:val="32"/>
                <w:szCs w:val="32"/>
                <w:highlight w:val="none"/>
              </w:rPr>
            </w:pPr>
          </w:p>
        </w:tc>
        <w:tc>
          <w:tcPr>
            <w:tcW w:w="1545" w:type="dxa"/>
            <w:tcBorders>
              <w:top w:val="single" w:color="000000" w:sz="4" w:space="0"/>
              <w:left w:val="single" w:color="000000" w:sz="4" w:space="0"/>
              <w:bottom w:val="single" w:color="000000" w:sz="4" w:space="0"/>
              <w:right w:val="single" w:color="000000" w:sz="4" w:space="0"/>
            </w:tcBorders>
            <w:noWrap w:val="0"/>
            <w:vAlign w:val="center"/>
          </w:tcPr>
          <w:p w14:paraId="3F6BD63F">
            <w:pPr>
              <w:widowControl/>
              <w:snapToGrid w:val="0"/>
              <w:spacing w:line="360" w:lineRule="auto"/>
              <w:jc w:val="center"/>
              <w:textAlignment w:val="center"/>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kern w:val="0"/>
                <w:sz w:val="32"/>
                <w:szCs w:val="32"/>
                <w:highlight w:val="none"/>
                <w:lang w:bidi="ar"/>
              </w:rPr>
              <w:t>0.00</w:t>
            </w:r>
          </w:p>
        </w:tc>
        <w:tc>
          <w:tcPr>
            <w:tcW w:w="1029" w:type="dxa"/>
            <w:tcBorders>
              <w:top w:val="single" w:color="000000" w:sz="4" w:space="0"/>
              <w:left w:val="single" w:color="000000" w:sz="4" w:space="0"/>
              <w:bottom w:val="single" w:color="000000" w:sz="4" w:space="0"/>
              <w:right w:val="single" w:color="000000" w:sz="4" w:space="0"/>
            </w:tcBorders>
            <w:noWrap w:val="0"/>
            <w:vAlign w:val="center"/>
          </w:tcPr>
          <w:p w14:paraId="3DE58BB7">
            <w:pPr>
              <w:snapToGrid w:val="0"/>
              <w:spacing w:line="360" w:lineRule="auto"/>
              <w:jc w:val="center"/>
              <w:rPr>
                <w:rFonts w:hint="eastAsia" w:ascii="仿宋_GB2312" w:hAnsi="仿宋_GB2312" w:eastAsia="仿宋_GB2312" w:cs="仿宋_GB2312"/>
                <w:color w:val="auto"/>
                <w:sz w:val="32"/>
                <w:szCs w:val="32"/>
                <w:highlight w:val="none"/>
              </w:rPr>
            </w:pPr>
          </w:p>
        </w:tc>
      </w:tr>
      <w:permEnd w:id="100"/>
    </w:tbl>
    <w:p w14:paraId="0CB43C7B">
      <w:pPr>
        <w:snapToGrid w:val="0"/>
        <w:spacing w:line="360" w:lineRule="auto"/>
        <w:rPr>
          <w:rFonts w:hint="eastAsia" w:ascii="仿宋_GB2312" w:hAnsi="仿宋_GB2312" w:eastAsia="仿宋_GB2312" w:cs="仿宋_GB2312"/>
          <w:b w:val="0"/>
          <w:color w:val="auto"/>
          <w:sz w:val="32"/>
          <w:szCs w:val="32"/>
          <w:highlight w:val="none"/>
        </w:rPr>
      </w:pPr>
      <w:bookmarkStart w:id="2951" w:name="_Toc10535"/>
      <w:bookmarkStart w:id="2952" w:name="_Toc1573"/>
      <w:bookmarkStart w:id="2953" w:name="_Toc2491"/>
      <w:bookmarkStart w:id="2954" w:name="_Toc16065"/>
      <w:bookmarkStart w:id="2955" w:name="_Toc4826"/>
      <w:bookmarkStart w:id="2956" w:name="_Toc1055"/>
      <w:bookmarkStart w:id="2957" w:name="_Toc22605"/>
      <w:r>
        <w:rPr>
          <w:rFonts w:hint="eastAsia" w:ascii="仿宋" w:hAnsi="仿宋" w:eastAsia="仿宋" w:cs="仿宋"/>
          <w:b w:val="0"/>
          <w:color w:val="auto"/>
          <w:sz w:val="32"/>
          <w:szCs w:val="32"/>
          <w:highlight w:val="none"/>
        </w:rPr>
        <w:br w:type="page"/>
      </w:r>
      <w:bookmarkStart w:id="2958" w:name="_Toc7657"/>
      <w:r>
        <w:rPr>
          <w:rFonts w:hint="eastAsia" w:ascii="黑体" w:hAnsi="黑体" w:eastAsia="黑体" w:cs="黑体"/>
          <w:b w:val="0"/>
          <w:color w:val="auto"/>
          <w:sz w:val="32"/>
          <w:szCs w:val="32"/>
          <w:highlight w:val="none"/>
        </w:rPr>
        <w:t>附件8</w:t>
      </w:r>
      <w:bookmarkEnd w:id="2951"/>
      <w:bookmarkEnd w:id="2952"/>
      <w:bookmarkEnd w:id="2953"/>
      <w:bookmarkEnd w:id="2954"/>
      <w:bookmarkEnd w:id="2955"/>
      <w:bookmarkEnd w:id="2956"/>
      <w:bookmarkEnd w:id="2957"/>
      <w:bookmarkEnd w:id="2958"/>
    </w:p>
    <w:p w14:paraId="523431B0">
      <w:pPr>
        <w:snapToGrid w:val="0"/>
        <w:spacing w:line="360" w:lineRule="auto"/>
        <w:jc w:val="center"/>
        <w:rPr>
          <w:rFonts w:hint="eastAsia" w:ascii="方正小标宋简体" w:hAnsi="方正小标宋简体" w:eastAsia="方正小标宋简体" w:cs="方正小标宋简体"/>
          <w:bCs/>
          <w:color w:val="auto"/>
          <w:sz w:val="44"/>
          <w:szCs w:val="44"/>
          <w:highlight w:val="none"/>
        </w:rPr>
      </w:pPr>
      <w:r>
        <w:rPr>
          <w:rFonts w:hint="eastAsia" w:ascii="方正小标宋简体" w:hAnsi="方正小标宋简体" w:eastAsia="方正小标宋简体" w:cs="方正小标宋简体"/>
          <w:b/>
          <w:bCs/>
          <w:color w:val="auto"/>
          <w:sz w:val="44"/>
          <w:szCs w:val="44"/>
          <w:highlight w:val="none"/>
        </w:rPr>
        <w:t>工期承诺书</w:t>
      </w:r>
    </w:p>
    <w:p w14:paraId="57B28AAB">
      <w:pPr>
        <w:snapToGrid w:val="0"/>
        <w:spacing w:line="360" w:lineRule="auto"/>
        <w:rPr>
          <w:rFonts w:ascii="仿宋" w:hAnsi="仿宋" w:eastAsia="仿宋" w:cs="仿宋"/>
          <w:color w:val="auto"/>
          <w:sz w:val="32"/>
          <w:szCs w:val="32"/>
          <w:highlight w:val="none"/>
        </w:rPr>
      </w:pPr>
      <w:r>
        <w:rPr>
          <w:rFonts w:hint="eastAsia" w:ascii="仿宋_GB2312" w:hAnsi="仿宋_GB2312" w:eastAsia="仿宋_GB2312" w:cs="仿宋_GB2312"/>
          <w:color w:val="auto"/>
          <w:sz w:val="32"/>
          <w:szCs w:val="32"/>
          <w:highlight w:val="none"/>
          <w:lang w:val="en-US" w:eastAsia="zh-CN"/>
        </w:rPr>
        <w:t xml:space="preserve">   </w:t>
      </w:r>
    </w:p>
    <w:p w14:paraId="6DD58319">
      <w:pPr>
        <w:pStyle w:val="2"/>
        <w:snapToGrid w:val="0"/>
        <w:spacing w:before="0" w:after="0" w:line="360" w:lineRule="auto"/>
        <w:rPr>
          <w:rFonts w:hint="eastAsia" w:ascii="仿宋_GB2312" w:hAnsi="仿宋_GB2312" w:eastAsia="仿宋_GB2312" w:cs="仿宋_GB2312"/>
          <w:b w:val="0"/>
          <w:color w:val="auto"/>
          <w:sz w:val="32"/>
          <w:szCs w:val="32"/>
          <w:highlight w:val="none"/>
        </w:rPr>
      </w:pPr>
      <w:bookmarkStart w:id="2959" w:name="_Toc12294"/>
      <w:bookmarkStart w:id="2960" w:name="_Toc5828"/>
      <w:bookmarkStart w:id="2961" w:name="_Toc24571"/>
      <w:bookmarkStart w:id="2962" w:name="_Toc21999"/>
      <w:bookmarkStart w:id="2963" w:name="_Toc21374"/>
      <w:bookmarkStart w:id="2964" w:name="_Toc14955"/>
      <w:bookmarkStart w:id="2965" w:name="_Toc32429"/>
      <w:r>
        <w:rPr>
          <w:rFonts w:hint="eastAsia" w:ascii="仿宋" w:hAnsi="仿宋" w:eastAsia="仿宋" w:cs="仿宋"/>
          <w:b w:val="0"/>
          <w:color w:val="auto"/>
          <w:sz w:val="32"/>
          <w:szCs w:val="32"/>
          <w:highlight w:val="none"/>
        </w:rPr>
        <w:br w:type="page"/>
      </w:r>
      <w:bookmarkStart w:id="2966" w:name="_Toc32279"/>
      <w:r>
        <w:rPr>
          <w:rFonts w:hint="eastAsia" w:ascii="黑体" w:hAnsi="黑体" w:eastAsia="黑体" w:cs="黑体"/>
          <w:b w:val="0"/>
          <w:color w:val="auto"/>
          <w:sz w:val="32"/>
          <w:szCs w:val="32"/>
          <w:highlight w:val="none"/>
        </w:rPr>
        <w:t>附件9</w:t>
      </w:r>
      <w:bookmarkEnd w:id="2959"/>
      <w:bookmarkEnd w:id="2960"/>
      <w:bookmarkEnd w:id="2961"/>
      <w:bookmarkEnd w:id="2962"/>
      <w:bookmarkEnd w:id="2963"/>
      <w:bookmarkEnd w:id="2964"/>
      <w:bookmarkEnd w:id="2965"/>
      <w:bookmarkEnd w:id="2966"/>
    </w:p>
    <w:p w14:paraId="65586436">
      <w:pPr>
        <w:snapToGrid w:val="0"/>
        <w:spacing w:line="360" w:lineRule="auto"/>
        <w:jc w:val="center"/>
        <w:rPr>
          <w:rFonts w:hint="eastAsia" w:ascii="方正小标宋简体" w:hAnsi="方正小标宋简体" w:eastAsia="方正小标宋简体" w:cs="方正小标宋简体"/>
          <w:b w:val="0"/>
          <w:bCs w:val="0"/>
          <w:color w:val="auto"/>
          <w:sz w:val="44"/>
          <w:szCs w:val="44"/>
          <w:highlight w:val="none"/>
        </w:rPr>
      </w:pPr>
      <w:r>
        <w:rPr>
          <w:rFonts w:hint="eastAsia" w:ascii="方正小标宋简体" w:hAnsi="方正小标宋简体" w:eastAsia="方正小标宋简体" w:cs="方正小标宋简体"/>
          <w:b w:val="0"/>
          <w:bCs w:val="0"/>
          <w:color w:val="auto"/>
          <w:sz w:val="44"/>
          <w:szCs w:val="44"/>
          <w:highlight w:val="none"/>
        </w:rPr>
        <w:t>工程质量保修书</w:t>
      </w:r>
    </w:p>
    <w:p w14:paraId="086A2A6A">
      <w:pPr>
        <w:autoSpaceDN w:val="0"/>
        <w:snapToGrid w:val="0"/>
        <w:spacing w:line="500" w:lineRule="exact"/>
        <w:rPr>
          <w:rFonts w:hint="eastAsia" w:ascii="黑体" w:hAnsi="黑体" w:eastAsia="黑体" w:cs="黑体"/>
          <w:b w:val="0"/>
          <w:bCs/>
          <w:color w:val="auto"/>
          <w:sz w:val="32"/>
          <w:szCs w:val="32"/>
          <w:highlight w:val="none"/>
        </w:rPr>
      </w:pPr>
      <w:r>
        <w:rPr>
          <w:rFonts w:hint="eastAsia" w:ascii="黑体" w:hAnsi="黑体" w:eastAsia="黑体" w:cs="黑体"/>
          <w:b w:val="0"/>
          <w:bCs/>
          <w:color w:val="auto"/>
          <w:sz w:val="32"/>
          <w:szCs w:val="32"/>
          <w:highlight w:val="none"/>
        </w:rPr>
        <w:t>发包人（全称）：</w:t>
      </w:r>
      <w:permStart w:id="101" w:edGrp="everyone"/>
      <w:r>
        <w:rPr>
          <w:rFonts w:hint="eastAsia" w:ascii="黑体" w:hAnsi="黑体" w:eastAsia="黑体" w:cs="黑体"/>
          <w:b w:val="0"/>
          <w:bCs/>
          <w:color w:val="auto"/>
          <w:sz w:val="32"/>
          <w:szCs w:val="32"/>
          <w:highlight w:val="none"/>
        </w:rPr>
        <w:t xml:space="preserve"> </w:t>
      </w:r>
      <w:r>
        <w:rPr>
          <w:rFonts w:hint="eastAsia" w:ascii="黑体" w:hAnsi="黑体" w:eastAsia="黑体" w:cs="黑体"/>
          <w:b w:val="0"/>
          <w:bCs/>
          <w:color w:val="auto"/>
          <w:sz w:val="32"/>
          <w:szCs w:val="32"/>
          <w:highlight w:val="none"/>
          <w:lang w:val="en-US" w:eastAsia="zh-CN"/>
        </w:rPr>
        <w:t xml:space="preserve"> </w:t>
      </w:r>
      <w:r>
        <w:rPr>
          <w:rFonts w:hint="eastAsia" w:ascii="黑体" w:hAnsi="黑体" w:eastAsia="黑体" w:cs="黑体"/>
          <w:b w:val="0"/>
          <w:bCs/>
          <w:color w:val="auto"/>
          <w:sz w:val="32"/>
          <w:szCs w:val="32"/>
          <w:highlight w:val="none"/>
        </w:rPr>
        <w:t xml:space="preserve">   </w:t>
      </w:r>
    </w:p>
    <w:permEnd w:id="101"/>
    <w:p w14:paraId="6BFFC0D9">
      <w:pPr>
        <w:autoSpaceDN w:val="0"/>
        <w:snapToGrid w:val="0"/>
        <w:spacing w:line="500" w:lineRule="exact"/>
        <w:rPr>
          <w:rFonts w:hint="eastAsia" w:ascii="黑体" w:hAnsi="黑体" w:eastAsia="黑体" w:cs="黑体"/>
          <w:bCs/>
          <w:color w:val="auto"/>
          <w:sz w:val="32"/>
          <w:szCs w:val="32"/>
          <w:highlight w:val="none"/>
        </w:rPr>
      </w:pPr>
      <w:r>
        <w:rPr>
          <w:rFonts w:hint="eastAsia" w:ascii="黑体" w:hAnsi="黑体" w:eastAsia="黑体" w:cs="黑体"/>
          <w:b w:val="0"/>
          <w:bCs/>
          <w:color w:val="auto"/>
          <w:sz w:val="32"/>
          <w:szCs w:val="32"/>
          <w:highlight w:val="none"/>
        </w:rPr>
        <w:t>承包人（全称）：</w:t>
      </w:r>
      <w:permStart w:id="102" w:edGrp="everyone"/>
      <w:r>
        <w:rPr>
          <w:rFonts w:hint="eastAsia" w:ascii="黑体" w:hAnsi="黑体" w:eastAsia="黑体" w:cs="黑体"/>
          <w:b w:val="0"/>
          <w:bCs/>
          <w:color w:val="auto"/>
          <w:sz w:val="32"/>
          <w:szCs w:val="32"/>
          <w:highlight w:val="none"/>
        </w:rPr>
        <w:t xml:space="preserve">     </w:t>
      </w:r>
    </w:p>
    <w:permEnd w:id="102"/>
    <w:p w14:paraId="740C3E30">
      <w:pPr>
        <w:snapToGrid w:val="0"/>
        <w:spacing w:line="500" w:lineRule="exac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    发包人和承包人根据《中华人民共和国建筑法》和《建设工程质量管理条例》，经协商一致就（工程全称）签订工程质量保修书。</w:t>
      </w:r>
    </w:p>
    <w:p w14:paraId="3DD17C97">
      <w:pPr>
        <w:snapToGrid w:val="0"/>
        <w:spacing w:line="500" w:lineRule="exac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w:t>
      </w:r>
      <w:r>
        <w:rPr>
          <w:rFonts w:hint="eastAsia" w:ascii="黑体" w:hAnsi="黑体" w:eastAsia="黑体" w:cs="黑体"/>
          <w:b w:val="0"/>
          <w:bCs w:val="0"/>
          <w:color w:val="auto"/>
          <w:sz w:val="32"/>
          <w:szCs w:val="32"/>
          <w:highlight w:val="none"/>
        </w:rPr>
        <w:t>一、工程质量保修范围和内容</w:t>
      </w:r>
    </w:p>
    <w:p w14:paraId="0CD6C731">
      <w:pPr>
        <w:snapToGrid w:val="0"/>
        <w:spacing w:line="500" w:lineRule="exac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承包人在质量保修期内，按照有关法律规定和合同约定，承担工程质量保修责任。</w:t>
      </w:r>
    </w:p>
    <w:p w14:paraId="3AB469FD">
      <w:pPr>
        <w:snapToGrid w:val="0"/>
        <w:spacing w:line="500" w:lineRule="exac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p>
    <w:p w14:paraId="72DFF71E">
      <w:pPr>
        <w:snapToGrid w:val="0"/>
        <w:spacing w:line="500" w:lineRule="exac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w:t>
      </w:r>
      <w:r>
        <w:rPr>
          <w:rFonts w:hint="eastAsia" w:ascii="黑体" w:hAnsi="黑体" w:eastAsia="黑体" w:cs="黑体"/>
          <w:color w:val="auto"/>
          <w:sz w:val="32"/>
          <w:szCs w:val="32"/>
          <w:highlight w:val="none"/>
        </w:rPr>
        <w:t>二、质量保修期</w:t>
      </w:r>
    </w:p>
    <w:p w14:paraId="189D294B">
      <w:pPr>
        <w:snapToGrid w:val="0"/>
        <w:spacing w:line="50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根据《建设工程质量管理条例</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海南省建筑工程防水技术标准》及有关规定，工程的质量保修期如下：</w:t>
      </w:r>
    </w:p>
    <w:p w14:paraId="653D095B">
      <w:pPr>
        <w:snapToGrid w:val="0"/>
        <w:spacing w:line="50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1．地基基础工程和主体结构工程为设计文件规定的工程合理使用年限；</w:t>
      </w:r>
    </w:p>
    <w:p w14:paraId="1B88DACA">
      <w:pPr>
        <w:snapToGrid w:val="0"/>
        <w:spacing w:line="50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2．屋面防水工程、有防水要求的卫生间、房间和外墙面的防渗为</w:t>
      </w:r>
      <w:r>
        <w:rPr>
          <w:rFonts w:hint="eastAsia" w:ascii="仿宋_GB2312" w:hAnsi="仿宋_GB2312" w:eastAsia="仿宋_GB2312" w:cs="仿宋_GB2312"/>
          <w:color w:val="auto"/>
          <w:sz w:val="32"/>
          <w:szCs w:val="32"/>
          <w:highlight w:val="none"/>
          <w:u w:val="single"/>
        </w:rPr>
        <w:t>10</w:t>
      </w:r>
      <w:r>
        <w:rPr>
          <w:rFonts w:hint="eastAsia" w:ascii="仿宋_GB2312" w:hAnsi="仿宋_GB2312" w:eastAsia="仿宋_GB2312" w:cs="仿宋_GB2312"/>
          <w:color w:val="auto"/>
          <w:sz w:val="32"/>
          <w:szCs w:val="32"/>
          <w:highlight w:val="none"/>
        </w:rPr>
        <w:t>年；</w:t>
      </w:r>
    </w:p>
    <w:p w14:paraId="23DF00B8">
      <w:pPr>
        <w:snapToGrid w:val="0"/>
        <w:spacing w:line="500" w:lineRule="exact"/>
        <w:ind w:left="420" w:leftChars="200" w:firstLine="160" w:firstLineChars="5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3．装修工程为</w:t>
      </w:r>
      <w:r>
        <w:rPr>
          <w:rFonts w:hint="eastAsia" w:ascii="仿宋_GB2312" w:hAnsi="仿宋_GB2312" w:eastAsia="仿宋_GB2312" w:cs="仿宋_GB2312"/>
          <w:color w:val="auto"/>
          <w:sz w:val="32"/>
          <w:szCs w:val="32"/>
          <w:highlight w:val="none"/>
          <w:u w:val="single"/>
        </w:rPr>
        <w:t>2</w:t>
      </w:r>
      <w:r>
        <w:rPr>
          <w:rFonts w:hint="eastAsia" w:ascii="仿宋_GB2312" w:hAnsi="仿宋_GB2312" w:eastAsia="仿宋_GB2312" w:cs="仿宋_GB2312"/>
          <w:color w:val="auto"/>
          <w:sz w:val="32"/>
          <w:szCs w:val="32"/>
          <w:highlight w:val="none"/>
        </w:rPr>
        <w:t>年；</w:t>
      </w:r>
    </w:p>
    <w:p w14:paraId="41C0B922">
      <w:pPr>
        <w:snapToGrid w:val="0"/>
        <w:spacing w:line="500" w:lineRule="exact"/>
        <w:ind w:left="420" w:leftChars="200" w:firstLine="160" w:firstLineChars="5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4．电气管线、给排水管道、设备安装工程为</w:t>
      </w:r>
      <w:r>
        <w:rPr>
          <w:rFonts w:hint="eastAsia" w:ascii="仿宋_GB2312" w:hAnsi="仿宋_GB2312" w:eastAsia="仿宋_GB2312" w:cs="仿宋_GB2312"/>
          <w:color w:val="auto"/>
          <w:sz w:val="32"/>
          <w:szCs w:val="32"/>
          <w:highlight w:val="none"/>
          <w:u w:val="single"/>
        </w:rPr>
        <w:t>2</w:t>
      </w:r>
      <w:r>
        <w:rPr>
          <w:rFonts w:hint="eastAsia" w:ascii="仿宋_GB2312" w:hAnsi="仿宋_GB2312" w:eastAsia="仿宋_GB2312" w:cs="仿宋_GB2312"/>
          <w:color w:val="auto"/>
          <w:sz w:val="32"/>
          <w:szCs w:val="32"/>
          <w:highlight w:val="none"/>
        </w:rPr>
        <w:t>年；</w:t>
      </w:r>
    </w:p>
    <w:p w14:paraId="6E8DA253">
      <w:pPr>
        <w:snapToGrid w:val="0"/>
        <w:spacing w:line="500" w:lineRule="exact"/>
        <w:ind w:left="420" w:leftChars="200" w:firstLine="160" w:firstLineChars="5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5．供热与供冷系统为</w:t>
      </w:r>
      <w:r>
        <w:rPr>
          <w:rFonts w:hint="eastAsia" w:ascii="仿宋_GB2312" w:hAnsi="仿宋_GB2312" w:eastAsia="仿宋_GB2312" w:cs="仿宋_GB2312"/>
          <w:color w:val="auto"/>
          <w:sz w:val="32"/>
          <w:szCs w:val="32"/>
          <w:highlight w:val="none"/>
          <w:u w:val="single"/>
        </w:rPr>
        <w:t>2</w:t>
      </w:r>
      <w:r>
        <w:rPr>
          <w:rFonts w:hint="eastAsia" w:ascii="仿宋_GB2312" w:hAnsi="仿宋_GB2312" w:eastAsia="仿宋_GB2312" w:cs="仿宋_GB2312"/>
          <w:color w:val="auto"/>
          <w:sz w:val="32"/>
          <w:szCs w:val="32"/>
          <w:highlight w:val="none"/>
        </w:rPr>
        <w:t>个采暖期、供冷期；</w:t>
      </w:r>
    </w:p>
    <w:p w14:paraId="10159059">
      <w:pPr>
        <w:snapToGrid w:val="0"/>
        <w:spacing w:line="500" w:lineRule="exact"/>
        <w:ind w:left="420" w:leftChars="200" w:firstLine="160" w:firstLineChars="5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6．住宅小区内的给排水设施、道路等配套工程为</w:t>
      </w:r>
      <w:r>
        <w:rPr>
          <w:rFonts w:hint="eastAsia" w:ascii="仿宋_GB2312" w:hAnsi="仿宋_GB2312" w:eastAsia="仿宋_GB2312" w:cs="仿宋_GB2312"/>
          <w:color w:val="auto"/>
          <w:sz w:val="32"/>
          <w:szCs w:val="32"/>
          <w:highlight w:val="none"/>
          <w:u w:val="single"/>
        </w:rPr>
        <w:t>2</w:t>
      </w:r>
      <w:r>
        <w:rPr>
          <w:rFonts w:hint="eastAsia" w:ascii="仿宋_GB2312" w:hAnsi="仿宋_GB2312" w:eastAsia="仿宋_GB2312" w:cs="仿宋_GB2312"/>
          <w:color w:val="auto"/>
          <w:sz w:val="32"/>
          <w:szCs w:val="32"/>
          <w:highlight w:val="none"/>
        </w:rPr>
        <w:t>年；</w:t>
      </w:r>
    </w:p>
    <w:p w14:paraId="04832A91">
      <w:pPr>
        <w:keepNext w:val="0"/>
        <w:keepLines w:val="0"/>
        <w:pageBreakBefore w:val="0"/>
        <w:widowControl w:val="0"/>
        <w:kinsoku/>
        <w:wordWrap/>
        <w:overflowPunct/>
        <w:topLinePunct w:val="0"/>
        <w:autoSpaceDE/>
        <w:autoSpaceDN w:val="0"/>
        <w:bidi w:val="0"/>
        <w:adjustRightInd/>
        <w:snapToGrid/>
        <w:spacing w:line="360" w:lineRule="auto"/>
        <w:ind w:firstLine="6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highlight w:val="none"/>
          <w:lang w:val="en-US" w:eastAsia="zh-CN"/>
        </w:rPr>
        <w:t>7.</w:t>
      </w:r>
      <w:r>
        <w:rPr>
          <w:rFonts w:hint="eastAsia" w:ascii="仿宋_GB2312" w:hAnsi="仿宋_GB2312" w:eastAsia="仿宋_GB2312" w:cs="仿宋_GB2312"/>
          <w:sz w:val="32"/>
          <w:szCs w:val="32"/>
          <w:highlight w:val="none"/>
        </w:rPr>
        <w:t>绿化工程验收合格后，按</w:t>
      </w:r>
      <w:r>
        <w:rPr>
          <w:rFonts w:hint="eastAsia" w:ascii="仿宋_GB2312" w:hAnsi="仿宋_GB2312" w:eastAsia="仿宋_GB2312" w:cs="仿宋_GB2312"/>
          <w:sz w:val="32"/>
          <w:szCs w:val="32"/>
          <w:highlight w:val="none"/>
          <w:lang w:val="en-US" w:eastAsia="zh-CN"/>
        </w:rPr>
        <w:t>最终版施工蓝图的要求进行</w:t>
      </w:r>
      <w:r>
        <w:rPr>
          <w:rFonts w:hint="eastAsia" w:ascii="仿宋_GB2312" w:hAnsi="仿宋_GB2312" w:eastAsia="仿宋_GB2312" w:cs="仿宋_GB2312"/>
          <w:sz w:val="32"/>
          <w:szCs w:val="32"/>
          <w:highlight w:val="none"/>
        </w:rPr>
        <w:t>养护</w:t>
      </w:r>
      <w:permStart w:id="103" w:edGrp="everyone"/>
      <w:r>
        <w:rPr>
          <w:rFonts w:hint="eastAsia" w:ascii="仿宋_GB2312" w:hAnsi="仿宋_GB2312" w:eastAsia="仿宋_GB2312" w:cs="仿宋_GB2312"/>
          <w:sz w:val="32"/>
          <w:szCs w:val="32"/>
          <w:highlight w:val="none"/>
          <w:u w:val="single"/>
          <w:lang w:val="en-US" w:eastAsia="zh-CN"/>
        </w:rPr>
        <w:t xml:space="preserve">   </w:t>
      </w:r>
      <w:permEnd w:id="103"/>
      <w:r>
        <w:rPr>
          <w:rFonts w:hint="eastAsia" w:ascii="仿宋_GB2312" w:hAnsi="仿宋_GB2312" w:eastAsia="仿宋_GB2312" w:cs="仿宋_GB2312"/>
          <w:sz w:val="32"/>
          <w:szCs w:val="32"/>
          <w:highlight w:val="none"/>
        </w:rPr>
        <w:t>，经竣工验收合格后，</w:t>
      </w:r>
      <w:permStart w:id="104" w:edGrp="everyone"/>
      <w:r>
        <w:rPr>
          <w:rFonts w:hint="eastAsia" w:ascii="仿宋_GB2312" w:hAnsi="仿宋_GB2312" w:eastAsia="仿宋_GB2312" w:cs="仿宋_GB2312"/>
          <w:sz w:val="32"/>
          <w:szCs w:val="32"/>
          <w:highlight w:val="none"/>
          <w:u w:val="single"/>
          <w:lang w:val="en-US" w:eastAsia="zh-CN"/>
        </w:rPr>
        <w:t xml:space="preserve">   </w:t>
      </w:r>
      <w:permEnd w:id="104"/>
      <w:r>
        <w:rPr>
          <w:rFonts w:hint="eastAsia" w:ascii="仿宋_GB2312" w:hAnsi="仿宋_GB2312" w:eastAsia="仿宋_GB2312" w:cs="仿宋_GB2312"/>
          <w:sz w:val="32"/>
          <w:szCs w:val="32"/>
          <w:highlight w:val="none"/>
        </w:rPr>
        <w:t>天内与</w:t>
      </w:r>
      <w:r>
        <w:rPr>
          <w:rFonts w:hint="eastAsia" w:ascii="仿宋_GB2312" w:hAnsi="仿宋_GB2312" w:eastAsia="仿宋_GB2312" w:cs="仿宋_GB2312"/>
          <w:sz w:val="32"/>
          <w:szCs w:val="32"/>
          <w:highlight w:val="none"/>
          <w:lang w:eastAsia="zh-CN"/>
        </w:rPr>
        <w:t>发包人</w:t>
      </w:r>
      <w:r>
        <w:rPr>
          <w:rFonts w:hint="eastAsia" w:ascii="仿宋_GB2312" w:hAnsi="仿宋_GB2312" w:eastAsia="仿宋_GB2312" w:cs="仿宋_GB2312"/>
          <w:sz w:val="32"/>
          <w:szCs w:val="32"/>
          <w:highlight w:val="none"/>
        </w:rPr>
        <w:t>办理移交</w:t>
      </w:r>
      <w:r>
        <w:rPr>
          <w:rFonts w:hint="eastAsia" w:ascii="仿宋_GB2312" w:hAnsi="仿宋_GB2312" w:eastAsia="仿宋_GB2312" w:cs="仿宋_GB2312"/>
          <w:sz w:val="32"/>
          <w:szCs w:val="32"/>
        </w:rPr>
        <w:t>；</w:t>
      </w:r>
    </w:p>
    <w:p w14:paraId="1AB287BC">
      <w:pPr>
        <w:keepNext w:val="0"/>
        <w:keepLines w:val="0"/>
        <w:pageBreakBefore w:val="0"/>
        <w:widowControl w:val="0"/>
        <w:kinsoku/>
        <w:wordWrap/>
        <w:overflowPunct/>
        <w:topLinePunct w:val="0"/>
        <w:autoSpaceDE/>
        <w:autoSpaceDN w:val="0"/>
        <w:bidi w:val="0"/>
        <w:adjustRightInd/>
        <w:snapToGrid/>
        <w:spacing w:line="360" w:lineRule="auto"/>
        <w:ind w:firstLine="601"/>
        <w:jc w:val="both"/>
        <w:textAlignment w:val="auto"/>
        <w:outlineLvl w:val="9"/>
        <w:rPr>
          <w:rFonts w:hint="eastAsia" w:ascii="仿宋_GB2312" w:hAnsi="仿宋_GB2312" w:eastAsia="仿宋_GB2312" w:cs="仿宋_GB2312"/>
          <w:sz w:val="32"/>
          <w:szCs w:val="32"/>
        </w:rPr>
      </w:pPr>
      <w:bookmarkStart w:id="2967" w:name="_Toc15359"/>
      <w:bookmarkStart w:id="2968" w:name="_Toc23349"/>
      <w:bookmarkStart w:id="2969" w:name="_Toc19812"/>
      <w:bookmarkStart w:id="2970" w:name="_Toc3592"/>
      <w:bookmarkStart w:id="2971" w:name="_Toc27198"/>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．其他项目保修期限为2年；</w:t>
      </w:r>
      <w:bookmarkEnd w:id="2967"/>
      <w:bookmarkEnd w:id="2968"/>
      <w:bookmarkEnd w:id="2969"/>
      <w:bookmarkEnd w:id="2970"/>
      <w:bookmarkEnd w:id="2971"/>
    </w:p>
    <w:p w14:paraId="71EDA3A6">
      <w:pPr>
        <w:snapToGrid w:val="0"/>
        <w:spacing w:line="500" w:lineRule="exac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质量保修期自工程竣工验收合格之日起计算。</w:t>
      </w:r>
    </w:p>
    <w:p w14:paraId="342EB7D1">
      <w:pPr>
        <w:snapToGrid w:val="0"/>
        <w:spacing w:line="500" w:lineRule="exact"/>
        <w:ind w:firstLine="640" w:firstLineChars="200"/>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三、缺陷责任期</w:t>
      </w:r>
    </w:p>
    <w:p w14:paraId="2B4EFDAB">
      <w:pPr>
        <w:snapToGrid w:val="0"/>
        <w:spacing w:line="50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000000"/>
          <w:sz w:val="32"/>
          <w:szCs w:val="32"/>
          <w:highlight w:val="none"/>
          <w:u w:val="none"/>
        </w:rPr>
        <w:t>缺陷责任期为</w:t>
      </w:r>
      <w:r>
        <w:rPr>
          <w:rFonts w:hint="eastAsia" w:ascii="仿宋_GB2312" w:hAnsi="仿宋_GB2312" w:eastAsia="仿宋_GB2312" w:cs="仿宋_GB2312"/>
          <w:color w:val="000000"/>
          <w:sz w:val="32"/>
          <w:szCs w:val="32"/>
          <w:highlight w:val="none"/>
          <w:u w:val="none"/>
          <w:lang w:val="en-US" w:eastAsia="zh-CN"/>
        </w:rPr>
        <w:t>730日历天</w:t>
      </w:r>
      <w:r>
        <w:rPr>
          <w:rFonts w:hint="eastAsia" w:ascii="仿宋_GB2312" w:hAnsi="仿宋_GB2312" w:eastAsia="仿宋_GB2312" w:cs="仿宋_GB2312"/>
          <w:color w:val="000000"/>
          <w:sz w:val="32"/>
          <w:szCs w:val="32"/>
          <w:highlight w:val="none"/>
          <w:u w:val="none"/>
        </w:rPr>
        <w:t>，自工程竣工验收合格之日起计</w:t>
      </w:r>
      <w:r>
        <w:rPr>
          <w:rFonts w:hint="eastAsia" w:ascii="仿宋_GB2312" w:hAnsi="仿宋_GB2312" w:eastAsia="仿宋_GB2312" w:cs="仿宋_GB2312"/>
          <w:color w:val="auto"/>
          <w:sz w:val="32"/>
          <w:szCs w:val="32"/>
          <w:highlight w:val="none"/>
        </w:rPr>
        <w:t>。</w:t>
      </w:r>
    </w:p>
    <w:p w14:paraId="65D240BD">
      <w:pPr>
        <w:snapToGrid w:val="0"/>
        <w:spacing w:line="50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缺陷责任期终止后，发包人应退还剩余的质量保证金。</w:t>
      </w:r>
    </w:p>
    <w:p w14:paraId="3B521E1A">
      <w:pPr>
        <w:snapToGrid w:val="0"/>
        <w:spacing w:line="500" w:lineRule="exac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    </w:t>
      </w:r>
      <w:r>
        <w:rPr>
          <w:rFonts w:hint="eastAsia" w:ascii="黑体" w:hAnsi="黑体" w:eastAsia="黑体" w:cs="黑体"/>
          <w:color w:val="auto"/>
          <w:sz w:val="32"/>
          <w:szCs w:val="32"/>
          <w:highlight w:val="none"/>
        </w:rPr>
        <w:t>四、质量保修责任</w:t>
      </w:r>
    </w:p>
    <w:p w14:paraId="494903F0">
      <w:pPr>
        <w:snapToGrid w:val="0"/>
        <w:spacing w:line="500" w:lineRule="exact"/>
        <w:ind w:left="105" w:leftChars="50" w:firstLine="656" w:firstLineChars="205"/>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1．属于保修范围、内容的项目，承包人应当在接到保修通知之日起7天内派人保修。承包人不在约定期限内派人保修的，发包人可以委托他人修理。</w:t>
      </w:r>
    </w:p>
    <w:p w14:paraId="1C9985A4">
      <w:pPr>
        <w:snapToGrid w:val="0"/>
        <w:spacing w:line="500" w:lineRule="exact"/>
        <w:ind w:left="105" w:leftChars="50" w:firstLine="656" w:firstLineChars="205"/>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2．发生紧急事故需抢修的，承包人在接到事故通知后，应当立即到达事故现场抢修。</w:t>
      </w:r>
    </w:p>
    <w:p w14:paraId="5CA6BACB">
      <w:pPr>
        <w:snapToGrid w:val="0"/>
        <w:spacing w:line="500" w:lineRule="exact"/>
        <w:ind w:left="105" w:leftChars="50" w:firstLine="656" w:firstLineChars="205"/>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1CA598EA">
      <w:pPr>
        <w:snapToGrid w:val="0"/>
        <w:spacing w:line="500" w:lineRule="exact"/>
        <w:ind w:left="420" w:leftChars="200" w:firstLine="160" w:firstLineChars="5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4．质量保修完成后，由发包人组织验收。</w:t>
      </w:r>
    </w:p>
    <w:p w14:paraId="08F9AC9C">
      <w:pPr>
        <w:snapToGrid w:val="0"/>
        <w:spacing w:line="500" w:lineRule="exac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w:t>
      </w:r>
      <w:r>
        <w:rPr>
          <w:rFonts w:hint="eastAsia" w:ascii="黑体" w:hAnsi="黑体" w:eastAsia="黑体" w:cs="黑体"/>
          <w:color w:val="auto"/>
          <w:sz w:val="32"/>
          <w:szCs w:val="32"/>
          <w:highlight w:val="none"/>
        </w:rPr>
        <w:t>五、保修费用</w:t>
      </w:r>
    </w:p>
    <w:p w14:paraId="3A98B1EC">
      <w:pPr>
        <w:snapToGrid w:val="0"/>
        <w:spacing w:line="500" w:lineRule="exac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保修费用由造成质量缺陷的责任方承担。</w:t>
      </w:r>
    </w:p>
    <w:p w14:paraId="3C564474">
      <w:pPr>
        <w:snapToGrid w:val="0"/>
        <w:spacing w:line="500" w:lineRule="exac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六、双方约定的其他工程质量保修事项：</w:t>
      </w:r>
      <w:r>
        <w:rPr>
          <w:rFonts w:hint="eastAsia" w:ascii="仿宋_GB2312" w:hAnsi="仿宋_GB2312" w:eastAsia="仿宋_GB2312" w:cs="仿宋_GB2312"/>
          <w:color w:val="auto"/>
          <w:sz w:val="32"/>
          <w:szCs w:val="32"/>
          <w:highlight w:val="none"/>
          <w:u w:val="single"/>
        </w:rPr>
        <w:t xml:space="preserve">   /    </w:t>
      </w:r>
      <w:r>
        <w:rPr>
          <w:rFonts w:hint="eastAsia" w:ascii="仿宋_GB2312" w:hAnsi="仿宋_GB2312" w:eastAsia="仿宋_GB2312" w:cs="仿宋_GB2312"/>
          <w:color w:val="auto"/>
          <w:sz w:val="32"/>
          <w:szCs w:val="32"/>
          <w:highlight w:val="none"/>
        </w:rPr>
        <w:t>。</w:t>
      </w:r>
    </w:p>
    <w:p w14:paraId="6E143197">
      <w:pPr>
        <w:snapToGrid w:val="0"/>
        <w:spacing w:line="500" w:lineRule="exact"/>
        <w:ind w:firstLine="608" w:firstLineChars="190"/>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工程质量保修书由发包人、承包人在工程竣工验收前共同签署，作为</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电力工程施工合同</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附件，其有效期限至保修期满。</w:t>
      </w:r>
      <w:r>
        <w:rPr>
          <w:rFonts w:hint="eastAsia" w:ascii="仿宋_GB2312" w:hAnsi="仿宋_GB2312" w:eastAsia="仿宋_GB2312" w:cs="仿宋_GB2312"/>
          <w:color w:val="auto"/>
          <w:sz w:val="32"/>
          <w:szCs w:val="32"/>
          <w:highlight w:val="none"/>
          <w:lang w:val="en-US" w:eastAsia="zh-CN"/>
        </w:rPr>
        <w:t>本协议经双方法定代表人或授权代表签字并加盖企业公章或合同章后生效。</w:t>
      </w:r>
    </w:p>
    <w:p w14:paraId="4AD42F9B">
      <w:pPr>
        <w:autoSpaceDN w:val="0"/>
        <w:snapToGrid w:val="0"/>
        <w:spacing w:line="360" w:lineRule="auto"/>
        <w:ind w:firstLine="570"/>
        <w:rPr>
          <w:rFonts w:hint="eastAsia" w:ascii="仿宋_GB2312" w:hAnsi="仿宋_GB2312" w:eastAsia="仿宋_GB2312" w:cs="仿宋_GB2312"/>
          <w:color w:val="auto"/>
          <w:sz w:val="32"/>
          <w:szCs w:val="32"/>
          <w:highlight w:val="none"/>
        </w:rPr>
      </w:pPr>
    </w:p>
    <w:tbl>
      <w:tblPr>
        <w:tblStyle w:val="13"/>
        <w:tblW w:w="0" w:type="auto"/>
        <w:tblInd w:w="0" w:type="dxa"/>
        <w:tblLayout w:type="autofit"/>
        <w:tblCellMar>
          <w:top w:w="0" w:type="dxa"/>
          <w:left w:w="108" w:type="dxa"/>
          <w:bottom w:w="0" w:type="dxa"/>
          <w:right w:w="108" w:type="dxa"/>
        </w:tblCellMar>
      </w:tblPr>
      <w:tblGrid>
        <w:gridCol w:w="4148"/>
        <w:gridCol w:w="4148"/>
      </w:tblGrid>
      <w:tr w14:paraId="56D8EA49">
        <w:tblPrEx>
          <w:tblCellMar>
            <w:top w:w="0" w:type="dxa"/>
            <w:left w:w="108" w:type="dxa"/>
            <w:bottom w:w="0" w:type="dxa"/>
            <w:right w:w="108" w:type="dxa"/>
          </w:tblCellMar>
        </w:tblPrEx>
        <w:tc>
          <w:tcPr>
            <w:tcW w:w="4148" w:type="dxa"/>
            <w:tcBorders>
              <w:top w:val="single" w:color="auto" w:sz="4" w:space="0"/>
              <w:left w:val="single" w:color="auto" w:sz="4" w:space="0"/>
              <w:bottom w:val="single" w:color="auto" w:sz="4" w:space="0"/>
              <w:right w:val="single" w:color="auto" w:sz="4" w:space="0"/>
            </w:tcBorders>
            <w:noWrap w:val="0"/>
            <w:vAlign w:val="top"/>
          </w:tcPr>
          <w:p w14:paraId="36B2D191">
            <w:pPr>
              <w:snapToGrid w:val="0"/>
              <w:spacing w:line="360" w:lineRule="auto"/>
              <w:rPr>
                <w:rFonts w:hint="eastAsia" w:ascii="仿宋_GB2312" w:hAnsi="仿宋_GB2312" w:eastAsia="仿宋_GB2312" w:cs="仿宋_GB2312"/>
                <w:color w:val="auto"/>
                <w:sz w:val="32"/>
                <w:szCs w:val="32"/>
                <w:highlight w:val="none"/>
              </w:rPr>
            </w:pPr>
            <w:permStart w:id="105" w:edGrp="everyone"/>
            <w:r>
              <w:rPr>
                <w:rFonts w:hint="eastAsia" w:ascii="仿宋_GB2312" w:hAnsi="仿宋_GB2312" w:eastAsia="仿宋_GB2312" w:cs="仿宋_GB2312"/>
                <w:color w:val="auto"/>
                <w:sz w:val="32"/>
                <w:szCs w:val="32"/>
                <w:highlight w:val="none"/>
              </w:rPr>
              <w:br w:type="page"/>
            </w:r>
            <w:r>
              <w:rPr>
                <w:rFonts w:hint="eastAsia" w:ascii="仿宋_GB2312" w:hAnsi="仿宋_GB2312" w:eastAsia="仿宋_GB2312" w:cs="仿宋_GB2312"/>
                <w:color w:val="auto"/>
                <w:sz w:val="32"/>
                <w:szCs w:val="32"/>
                <w:highlight w:val="none"/>
              </w:rPr>
              <w:t>发包人：（盖章）</w:t>
            </w:r>
          </w:p>
          <w:p w14:paraId="79E18E17">
            <w:pPr>
              <w:snapToGrid w:val="0"/>
              <w:spacing w:line="360" w:lineRule="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 xml:space="preserve">                          </w:t>
            </w:r>
          </w:p>
          <w:p w14:paraId="070ECB2A">
            <w:pPr>
              <w:snapToGrid w:val="0"/>
              <w:spacing w:line="360" w:lineRule="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法定代表人或其</w:t>
            </w:r>
            <w:r>
              <w:rPr>
                <w:rFonts w:hint="eastAsia" w:ascii="仿宋_GB2312" w:hAnsi="仿宋_GB2312" w:eastAsia="仿宋_GB2312" w:cs="仿宋_GB2312"/>
                <w:color w:val="auto"/>
                <w:sz w:val="32"/>
                <w:szCs w:val="32"/>
                <w:highlight w:val="none"/>
                <w:lang w:eastAsia="zh-CN"/>
              </w:rPr>
              <w:t>授权代理人</w:t>
            </w:r>
            <w:r>
              <w:rPr>
                <w:rFonts w:hint="eastAsia" w:ascii="仿宋_GB2312" w:hAnsi="仿宋_GB2312" w:eastAsia="仿宋_GB2312" w:cs="仿宋_GB2312"/>
                <w:color w:val="auto"/>
                <w:sz w:val="32"/>
                <w:szCs w:val="32"/>
                <w:highlight w:val="none"/>
              </w:rPr>
              <w:t>：</w:t>
            </w:r>
          </w:p>
          <w:p w14:paraId="19032FB8">
            <w:pPr>
              <w:snapToGrid w:val="0"/>
              <w:spacing w:line="360" w:lineRule="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（签字或盖章）</w:t>
            </w:r>
          </w:p>
        </w:tc>
        <w:tc>
          <w:tcPr>
            <w:tcW w:w="4148" w:type="dxa"/>
            <w:tcBorders>
              <w:top w:val="single" w:color="auto" w:sz="4" w:space="0"/>
              <w:left w:val="single" w:color="auto" w:sz="4" w:space="0"/>
              <w:bottom w:val="single" w:color="auto" w:sz="4" w:space="0"/>
              <w:right w:val="single" w:color="auto" w:sz="4" w:space="0"/>
            </w:tcBorders>
            <w:noWrap w:val="0"/>
            <w:vAlign w:val="top"/>
          </w:tcPr>
          <w:p w14:paraId="208F8914">
            <w:pPr>
              <w:snapToGrid w:val="0"/>
              <w:spacing w:line="360" w:lineRule="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承包人：（盖章）</w:t>
            </w:r>
          </w:p>
          <w:p w14:paraId="7041148A">
            <w:pPr>
              <w:snapToGrid w:val="0"/>
              <w:spacing w:line="360" w:lineRule="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 xml:space="preserve">                          </w:t>
            </w:r>
          </w:p>
          <w:p w14:paraId="6FD8FFB8">
            <w:pPr>
              <w:snapToGrid w:val="0"/>
              <w:spacing w:line="360" w:lineRule="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法定代表人或其</w:t>
            </w:r>
            <w:r>
              <w:rPr>
                <w:rFonts w:hint="eastAsia" w:ascii="仿宋_GB2312" w:hAnsi="仿宋_GB2312" w:eastAsia="仿宋_GB2312" w:cs="仿宋_GB2312"/>
                <w:color w:val="auto"/>
                <w:sz w:val="32"/>
                <w:szCs w:val="32"/>
                <w:highlight w:val="none"/>
                <w:lang w:eastAsia="zh-CN"/>
              </w:rPr>
              <w:t>授权代理人</w:t>
            </w:r>
            <w:r>
              <w:rPr>
                <w:rFonts w:hint="eastAsia" w:ascii="仿宋_GB2312" w:hAnsi="仿宋_GB2312" w:eastAsia="仿宋_GB2312" w:cs="仿宋_GB2312"/>
                <w:color w:val="auto"/>
                <w:sz w:val="32"/>
                <w:szCs w:val="32"/>
                <w:highlight w:val="none"/>
              </w:rPr>
              <w:t>：</w:t>
            </w:r>
          </w:p>
          <w:p w14:paraId="5D05804A">
            <w:pPr>
              <w:snapToGrid w:val="0"/>
              <w:spacing w:line="360" w:lineRule="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（签字或盖章）</w:t>
            </w:r>
          </w:p>
        </w:tc>
      </w:tr>
      <w:permEnd w:id="105"/>
    </w:tbl>
    <w:p w14:paraId="743D6C1A">
      <w:pPr>
        <w:pStyle w:val="2"/>
        <w:snapToGrid w:val="0"/>
        <w:spacing w:before="0" w:after="0" w:line="360" w:lineRule="auto"/>
        <w:rPr>
          <w:rFonts w:hint="eastAsia" w:ascii="仿宋_GB2312" w:hAnsi="仿宋_GB2312" w:eastAsia="仿宋_GB2312" w:cs="仿宋_GB2312"/>
          <w:b w:val="0"/>
          <w:color w:val="auto"/>
          <w:sz w:val="32"/>
          <w:szCs w:val="32"/>
          <w:highlight w:val="none"/>
        </w:rPr>
      </w:pPr>
      <w:r>
        <w:rPr>
          <w:rFonts w:hint="eastAsia" w:ascii="仿宋" w:hAnsi="仿宋" w:eastAsia="仿宋" w:cs="仿宋"/>
          <w:color w:val="auto"/>
          <w:sz w:val="32"/>
          <w:szCs w:val="32"/>
          <w:highlight w:val="none"/>
          <w:u w:val="single"/>
        </w:rPr>
        <w:br w:type="page"/>
      </w:r>
      <w:bookmarkStart w:id="2972" w:name="_Toc9480"/>
      <w:bookmarkStart w:id="2973" w:name="_Toc19747"/>
      <w:bookmarkStart w:id="2974" w:name="_Toc22409"/>
      <w:bookmarkStart w:id="2975" w:name="_Toc9845"/>
      <w:bookmarkStart w:id="2976" w:name="_Toc30447"/>
      <w:bookmarkStart w:id="2977" w:name="_Toc8242"/>
      <w:bookmarkStart w:id="2978" w:name="_Toc28800"/>
      <w:bookmarkStart w:id="2979" w:name="_Toc9952"/>
      <w:r>
        <w:rPr>
          <w:rFonts w:hint="eastAsia" w:ascii="黑体" w:hAnsi="黑体" w:eastAsia="黑体" w:cs="黑体"/>
          <w:b w:val="0"/>
          <w:color w:val="auto"/>
          <w:sz w:val="32"/>
          <w:szCs w:val="32"/>
          <w:highlight w:val="none"/>
        </w:rPr>
        <w:t>附件10</w:t>
      </w:r>
      <w:bookmarkEnd w:id="2972"/>
      <w:bookmarkEnd w:id="2973"/>
      <w:bookmarkEnd w:id="2974"/>
      <w:bookmarkEnd w:id="2975"/>
      <w:bookmarkEnd w:id="2976"/>
      <w:bookmarkEnd w:id="2977"/>
      <w:bookmarkEnd w:id="2978"/>
      <w:bookmarkEnd w:id="2979"/>
    </w:p>
    <w:p w14:paraId="6CA51574">
      <w:pPr>
        <w:snapToGrid w:val="0"/>
        <w:spacing w:line="360" w:lineRule="auto"/>
        <w:jc w:val="center"/>
        <w:rPr>
          <w:rFonts w:hint="eastAsia" w:ascii="方正小标宋简体" w:hAnsi="方正小标宋简体" w:eastAsia="方正小标宋简体" w:cs="方正小标宋简体"/>
          <w:b w:val="0"/>
          <w:bCs w:val="0"/>
          <w:color w:val="auto"/>
          <w:sz w:val="44"/>
          <w:szCs w:val="44"/>
          <w:highlight w:val="none"/>
        </w:rPr>
      </w:pPr>
      <w:r>
        <w:rPr>
          <w:rFonts w:hint="eastAsia" w:ascii="方正小标宋简体" w:hAnsi="方正小标宋简体" w:eastAsia="方正小标宋简体" w:cs="方正小标宋简体"/>
          <w:b w:val="0"/>
          <w:bCs w:val="0"/>
          <w:color w:val="auto"/>
          <w:sz w:val="44"/>
          <w:szCs w:val="44"/>
          <w:highlight w:val="none"/>
        </w:rPr>
        <w:t>廉政协议书</w:t>
      </w:r>
    </w:p>
    <w:p w14:paraId="42882404">
      <w:pPr>
        <w:snapToGrid w:val="0"/>
        <w:spacing w:line="360" w:lineRule="auto"/>
        <w:rPr>
          <w:rFonts w:hint="eastAsia" w:ascii="黑体" w:hAnsi="黑体" w:eastAsia="黑体" w:cs="黑体"/>
          <w:b w:val="0"/>
          <w:bCs/>
          <w:color w:val="auto"/>
          <w:sz w:val="32"/>
          <w:szCs w:val="32"/>
          <w:highlight w:val="none"/>
        </w:rPr>
      </w:pPr>
      <w:r>
        <w:rPr>
          <w:rFonts w:hint="eastAsia" w:ascii="黑体" w:hAnsi="黑体" w:eastAsia="黑体" w:cs="黑体"/>
          <w:b w:val="0"/>
          <w:bCs/>
          <w:color w:val="auto"/>
          <w:sz w:val="32"/>
          <w:szCs w:val="32"/>
          <w:highlight w:val="none"/>
        </w:rPr>
        <w:t>发包人：</w:t>
      </w:r>
      <w:permStart w:id="106" w:edGrp="everyone"/>
      <w:r>
        <w:rPr>
          <w:rFonts w:hint="eastAsia" w:ascii="黑体" w:hAnsi="黑体" w:eastAsia="黑体" w:cs="黑体"/>
          <w:b w:val="0"/>
          <w:bCs/>
          <w:color w:val="auto"/>
          <w:sz w:val="32"/>
          <w:szCs w:val="32"/>
          <w:highlight w:val="none"/>
          <w:lang w:val="en-US" w:eastAsia="zh-CN"/>
        </w:rPr>
        <w:t xml:space="preserve">       </w:t>
      </w:r>
      <w:r>
        <w:rPr>
          <w:rFonts w:hint="eastAsia" w:ascii="黑体" w:hAnsi="黑体" w:eastAsia="黑体" w:cs="黑体"/>
          <w:b w:val="0"/>
          <w:bCs/>
          <w:color w:val="auto"/>
          <w:sz w:val="32"/>
          <w:szCs w:val="32"/>
          <w:highlight w:val="none"/>
        </w:rPr>
        <w:t xml:space="preserve">   </w:t>
      </w:r>
      <w:permEnd w:id="106"/>
      <w:r>
        <w:rPr>
          <w:rFonts w:hint="eastAsia" w:ascii="黑体" w:hAnsi="黑体" w:eastAsia="黑体" w:cs="黑体"/>
          <w:b w:val="0"/>
          <w:bCs/>
          <w:color w:val="auto"/>
          <w:sz w:val="32"/>
          <w:szCs w:val="32"/>
          <w:highlight w:val="none"/>
        </w:rPr>
        <w:t xml:space="preserve">  </w:t>
      </w:r>
    </w:p>
    <w:p w14:paraId="0BF28CBB">
      <w:pPr>
        <w:snapToGrid w:val="0"/>
        <w:spacing w:line="360" w:lineRule="auto"/>
        <w:rPr>
          <w:rFonts w:hint="eastAsia" w:ascii="仿宋_GB2312" w:hAnsi="仿宋_GB2312" w:eastAsia="仿宋_GB2312" w:cs="仿宋_GB2312"/>
          <w:b/>
          <w:color w:val="auto"/>
          <w:sz w:val="32"/>
          <w:szCs w:val="32"/>
          <w:highlight w:val="none"/>
          <w:u w:val="single"/>
        </w:rPr>
      </w:pPr>
      <w:r>
        <w:rPr>
          <w:rFonts w:hint="eastAsia" w:ascii="黑体" w:hAnsi="黑体" w:eastAsia="黑体" w:cs="黑体"/>
          <w:b w:val="0"/>
          <w:bCs/>
          <w:color w:val="auto"/>
          <w:sz w:val="32"/>
          <w:szCs w:val="32"/>
          <w:highlight w:val="none"/>
        </w:rPr>
        <w:t>承包人：</w:t>
      </w:r>
      <w:permStart w:id="107" w:edGrp="everyone"/>
      <w:r>
        <w:rPr>
          <w:rFonts w:hint="eastAsia" w:ascii="黑体" w:hAnsi="黑体" w:eastAsia="黑体" w:cs="黑体"/>
          <w:b w:val="0"/>
          <w:bCs/>
          <w:color w:val="auto"/>
          <w:sz w:val="32"/>
          <w:szCs w:val="32"/>
          <w:highlight w:val="none"/>
        </w:rPr>
        <w:t xml:space="preserve">    </w:t>
      </w:r>
      <w:r>
        <w:rPr>
          <w:rFonts w:hint="eastAsia" w:ascii="黑体" w:hAnsi="黑体" w:eastAsia="黑体" w:cs="黑体"/>
          <w:b w:val="0"/>
          <w:bCs/>
          <w:color w:val="auto"/>
          <w:sz w:val="32"/>
          <w:szCs w:val="32"/>
          <w:highlight w:val="none"/>
          <w:lang w:val="en-US" w:eastAsia="zh-CN"/>
        </w:rPr>
        <w:t xml:space="preserve">      </w:t>
      </w:r>
      <w:permEnd w:id="107"/>
      <w:r>
        <w:rPr>
          <w:rFonts w:hint="eastAsia" w:ascii="黑体" w:hAnsi="黑体" w:eastAsia="黑体" w:cs="黑体"/>
          <w:b w:val="0"/>
          <w:bCs/>
          <w:color w:val="auto"/>
          <w:sz w:val="32"/>
          <w:szCs w:val="32"/>
          <w:highlight w:val="none"/>
        </w:rPr>
        <w:t xml:space="preserve"> </w:t>
      </w:r>
    </w:p>
    <w:p w14:paraId="2613796F">
      <w:pPr>
        <w:snapToGrid w:val="0"/>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为加强廉政建设</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防止发生各种谋取不正当利益的违法违纪行为，保障顺畅的商业秩序和公平的商业环境，确保双方工作人员在合同履行过程中廉洁自律、诚实守信，保护双方的合法权益</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经双方协定，签订本廉政协议书。</w:t>
      </w:r>
    </w:p>
    <w:p w14:paraId="7DDEC35B">
      <w:pPr>
        <w:snapToGrid w:val="0"/>
        <w:spacing w:line="560" w:lineRule="exact"/>
        <w:ind w:firstLine="643" w:firstLineChars="200"/>
        <w:rPr>
          <w:rFonts w:hint="eastAsia" w:ascii="仿宋_GB2312" w:hAnsi="仿宋_GB2312" w:eastAsia="仿宋_GB2312" w:cs="仿宋_GB2312"/>
          <w:b/>
          <w:color w:val="auto"/>
          <w:sz w:val="32"/>
          <w:szCs w:val="32"/>
          <w:highlight w:val="none"/>
        </w:rPr>
      </w:pPr>
      <w:r>
        <w:rPr>
          <w:rFonts w:hint="eastAsia" w:ascii="仿宋_GB2312" w:hAnsi="仿宋_GB2312" w:eastAsia="仿宋_GB2312" w:cs="仿宋_GB2312"/>
          <w:b/>
          <w:color w:val="auto"/>
          <w:sz w:val="32"/>
          <w:szCs w:val="32"/>
          <w:highlight w:val="none"/>
        </w:rPr>
        <w:t>第一条 发包人与承包人双方责任</w:t>
      </w:r>
    </w:p>
    <w:p w14:paraId="62AF64E3">
      <w:pPr>
        <w:snapToGrid w:val="0"/>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（一）严格遵守国家法律法规以及廉政建设方面的有关规定。</w:t>
      </w:r>
    </w:p>
    <w:p w14:paraId="4695C4F3">
      <w:pPr>
        <w:snapToGrid w:val="0"/>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（二）严格遵守《廉政制度》相关规定。</w:t>
      </w:r>
    </w:p>
    <w:p w14:paraId="3E8890C6">
      <w:pPr>
        <w:snapToGrid w:val="0"/>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（三）自确定合同主体、签订合同直至合同履行结束全过程，承包人和发包人双方应全面履行合同内容及廉政协议的各项规定，自觉按合同办事。</w:t>
      </w:r>
    </w:p>
    <w:p w14:paraId="4E8FB685">
      <w:pPr>
        <w:snapToGrid w:val="0"/>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（四）双方的业务活动坚持公开、公正、诚信、透明的原则，法律认定另有说明规定的商业秘密和合同文件除外。</w:t>
      </w:r>
    </w:p>
    <w:p w14:paraId="6C46F516">
      <w:pPr>
        <w:snapToGrid w:val="0"/>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（五）在业务活动中发现对方有违规、违纪、违法行为的，应及时提醒对方，情节严重的应向其上级主管部门或纪检监察部门举报。</w:t>
      </w:r>
    </w:p>
    <w:p w14:paraId="3469BEB8">
      <w:pPr>
        <w:snapToGrid w:val="0"/>
        <w:spacing w:line="560" w:lineRule="exact"/>
        <w:ind w:firstLine="643" w:firstLineChars="200"/>
        <w:rPr>
          <w:rFonts w:hint="eastAsia" w:ascii="仿宋_GB2312" w:hAnsi="仿宋_GB2312" w:eastAsia="仿宋_GB2312" w:cs="仿宋_GB2312"/>
          <w:b/>
          <w:color w:val="auto"/>
          <w:sz w:val="32"/>
          <w:szCs w:val="32"/>
          <w:highlight w:val="none"/>
        </w:rPr>
      </w:pPr>
      <w:r>
        <w:rPr>
          <w:rFonts w:hint="eastAsia" w:ascii="仿宋_GB2312" w:hAnsi="仿宋_GB2312" w:eastAsia="仿宋_GB2312" w:cs="仿宋_GB2312"/>
          <w:b/>
          <w:color w:val="auto"/>
          <w:sz w:val="32"/>
          <w:szCs w:val="32"/>
          <w:highlight w:val="none"/>
        </w:rPr>
        <w:t xml:space="preserve">第二条 </w:t>
      </w:r>
      <w:r>
        <w:rPr>
          <w:rFonts w:hint="eastAsia" w:ascii="仿宋_GB2312" w:hAnsi="仿宋_GB2312" w:eastAsia="仿宋_GB2312" w:cs="仿宋_GB2312"/>
          <w:b/>
          <w:color w:val="auto"/>
          <w:sz w:val="32"/>
          <w:szCs w:val="32"/>
          <w:highlight w:val="none"/>
          <w:lang w:eastAsia="zh-CN"/>
        </w:rPr>
        <w:t>发包人</w:t>
      </w:r>
      <w:r>
        <w:rPr>
          <w:rFonts w:hint="eastAsia" w:ascii="仿宋_GB2312" w:hAnsi="仿宋_GB2312" w:eastAsia="仿宋_GB2312" w:cs="仿宋_GB2312"/>
          <w:b/>
          <w:color w:val="auto"/>
          <w:sz w:val="32"/>
          <w:szCs w:val="32"/>
          <w:highlight w:val="none"/>
        </w:rPr>
        <w:t>责任</w:t>
      </w:r>
    </w:p>
    <w:p w14:paraId="327AA1C6">
      <w:pPr>
        <w:snapToGrid w:val="0"/>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发包人单位及工作人员在合同签订及履行过程中应做到：</w:t>
      </w:r>
    </w:p>
    <w:p w14:paraId="5D9C607E">
      <w:pPr>
        <w:snapToGrid w:val="0"/>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（一）严格遵守廉洁从业各项规定，不得以任何形式向</w:t>
      </w:r>
      <w:r>
        <w:rPr>
          <w:rFonts w:hint="eastAsia" w:ascii="仿宋_GB2312" w:hAnsi="仿宋_GB2312" w:eastAsia="仿宋_GB2312" w:cs="仿宋_GB2312"/>
          <w:color w:val="auto"/>
          <w:sz w:val="32"/>
          <w:szCs w:val="32"/>
          <w:highlight w:val="none"/>
          <w:lang w:eastAsia="zh-CN"/>
        </w:rPr>
        <w:t>承包人</w:t>
      </w:r>
      <w:r>
        <w:rPr>
          <w:rFonts w:hint="eastAsia" w:ascii="仿宋_GB2312" w:hAnsi="仿宋_GB2312" w:eastAsia="仿宋_GB2312" w:cs="仿宋_GB2312"/>
          <w:color w:val="auto"/>
          <w:sz w:val="32"/>
          <w:szCs w:val="32"/>
          <w:highlight w:val="none"/>
        </w:rPr>
        <w:t>索取和收受不正当利益，包括但不限于金钱和实物（如回扣、佣金、股份、股东资格、债券、</w:t>
      </w:r>
      <w:r>
        <w:rPr>
          <w:rFonts w:hint="eastAsia" w:ascii="仿宋_GB2312" w:hAnsi="仿宋_GB2312" w:eastAsia="仿宋_GB2312" w:cs="仿宋_GB2312"/>
          <w:color w:val="auto"/>
          <w:sz w:val="32"/>
          <w:szCs w:val="32"/>
          <w:highlight w:val="none"/>
          <w:lang w:eastAsia="zh-CN"/>
        </w:rPr>
        <w:t>促消费</w:t>
      </w:r>
      <w:r>
        <w:rPr>
          <w:rFonts w:hint="eastAsia" w:ascii="仿宋_GB2312" w:hAnsi="仿宋_GB2312" w:eastAsia="仿宋_GB2312" w:cs="仿宋_GB2312"/>
          <w:color w:val="auto"/>
          <w:sz w:val="32"/>
          <w:szCs w:val="32"/>
          <w:highlight w:val="none"/>
        </w:rPr>
        <w:t>、赞助费、广告宣传费、劳务费、红包、礼金、含有金额的会员卡、代币卡/券、旅游费用、就业机会、项目机会、各种高档生活用品、奢侈消费品、工艺品、收藏品、房屋、车辆、减免债务、提供担保、免费娱乐、旅游、考察、提供房屋装修、借贷款项、借用物品、特殊待遇等财产性或者非财产性利益等）。</w:t>
      </w:r>
    </w:p>
    <w:p w14:paraId="2C5E78C1">
      <w:pPr>
        <w:snapToGrid w:val="0"/>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（二）不得在承包人单位及</w:t>
      </w:r>
      <w:r>
        <w:rPr>
          <w:rFonts w:hint="eastAsia" w:ascii="仿宋_GB2312" w:hAnsi="仿宋_GB2312" w:eastAsia="仿宋_GB2312" w:cs="仿宋_GB2312"/>
          <w:color w:val="auto"/>
          <w:sz w:val="32"/>
          <w:szCs w:val="32"/>
          <w:highlight w:val="none"/>
          <w:lang w:eastAsia="zh-CN"/>
        </w:rPr>
        <w:t>承包人</w:t>
      </w:r>
      <w:r>
        <w:rPr>
          <w:rFonts w:hint="eastAsia" w:ascii="仿宋_GB2312" w:hAnsi="仿宋_GB2312" w:eastAsia="仿宋_GB2312" w:cs="仿宋_GB2312"/>
          <w:color w:val="auto"/>
          <w:sz w:val="32"/>
          <w:szCs w:val="32"/>
          <w:highlight w:val="none"/>
        </w:rPr>
        <w:t>所属单位报销任何应由发包人单位或个人支付的费用；</w:t>
      </w:r>
    </w:p>
    <w:p w14:paraId="3C74BF1B">
      <w:pPr>
        <w:snapToGrid w:val="0"/>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（三）不得参加可能对公正执行公务有影响的宴请和娱乐活动；</w:t>
      </w:r>
    </w:p>
    <w:p w14:paraId="0B48B006">
      <w:pPr>
        <w:snapToGrid w:val="0"/>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（四）除合同特别约定外，不得向承包人推销或指定使用各种材料及设备等。</w:t>
      </w:r>
    </w:p>
    <w:p w14:paraId="5144EE47">
      <w:pPr>
        <w:snapToGrid w:val="0"/>
        <w:spacing w:line="560" w:lineRule="exact"/>
        <w:ind w:firstLine="643" w:firstLineChars="200"/>
        <w:rPr>
          <w:rFonts w:hint="eastAsia" w:ascii="仿宋_GB2312" w:hAnsi="仿宋_GB2312" w:eastAsia="仿宋_GB2312" w:cs="仿宋_GB2312"/>
          <w:b/>
          <w:color w:val="auto"/>
          <w:sz w:val="32"/>
          <w:szCs w:val="32"/>
          <w:highlight w:val="none"/>
        </w:rPr>
      </w:pPr>
      <w:r>
        <w:rPr>
          <w:rFonts w:hint="eastAsia" w:ascii="仿宋_GB2312" w:hAnsi="仿宋_GB2312" w:eastAsia="仿宋_GB2312" w:cs="仿宋_GB2312"/>
          <w:b/>
          <w:color w:val="auto"/>
          <w:sz w:val="32"/>
          <w:szCs w:val="32"/>
          <w:highlight w:val="none"/>
        </w:rPr>
        <w:t xml:space="preserve">第三条 </w:t>
      </w:r>
      <w:r>
        <w:rPr>
          <w:rFonts w:hint="eastAsia" w:ascii="仿宋_GB2312" w:hAnsi="仿宋_GB2312" w:eastAsia="仿宋_GB2312" w:cs="仿宋_GB2312"/>
          <w:b/>
          <w:color w:val="auto"/>
          <w:sz w:val="32"/>
          <w:szCs w:val="32"/>
          <w:highlight w:val="none"/>
          <w:lang w:eastAsia="zh-CN"/>
        </w:rPr>
        <w:t>承包人</w:t>
      </w:r>
      <w:r>
        <w:rPr>
          <w:rFonts w:hint="eastAsia" w:ascii="仿宋_GB2312" w:hAnsi="仿宋_GB2312" w:eastAsia="仿宋_GB2312" w:cs="仿宋_GB2312"/>
          <w:b/>
          <w:color w:val="auto"/>
          <w:sz w:val="32"/>
          <w:szCs w:val="32"/>
          <w:highlight w:val="none"/>
        </w:rPr>
        <w:t>责任</w:t>
      </w:r>
    </w:p>
    <w:p w14:paraId="2B5F398D">
      <w:pPr>
        <w:snapToGrid w:val="0"/>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承包人单位及所属工作人员在合同签订及履行过程中应做到：</w:t>
      </w:r>
    </w:p>
    <w:p w14:paraId="7DDED0D8">
      <w:pPr>
        <w:snapToGrid w:val="0"/>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（一）不得向发包人工作人员及第三方赠送礼品、礼金、有价证券、支付凭证等金钱或实物；</w:t>
      </w:r>
    </w:p>
    <w:p w14:paraId="50461A80">
      <w:pPr>
        <w:snapToGrid w:val="0"/>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（三）不得为发包人单位或个人购置或者提供通信工具、交通工具、家电、高档办公用品等；</w:t>
      </w:r>
    </w:p>
    <w:p w14:paraId="1959B243">
      <w:pPr>
        <w:snapToGrid w:val="0"/>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（三）不得以任何形式、理由为发包人和相关单位报销应由发包人单位或工作人员支付的费用；</w:t>
      </w:r>
    </w:p>
    <w:p w14:paraId="7BC42874">
      <w:pPr>
        <w:snapToGrid w:val="0"/>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（四）不得组织有可能影响发包人工作人员履行公职职责或可能影响产品质量、廉政建设的宴请、旅游等各种高消费娱乐活动。</w:t>
      </w:r>
    </w:p>
    <w:p w14:paraId="598B834C">
      <w:pPr>
        <w:snapToGrid w:val="0"/>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（五）不得为发包人工作人员住房装修、婚丧嫁娶、家属和子女的工作安排以及出国等提供方便。</w:t>
      </w:r>
    </w:p>
    <w:p w14:paraId="0D3EB9A2">
      <w:pPr>
        <w:snapToGrid w:val="0"/>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（六）如遇到发包人工作人员向承包人单位或个人索要任何不正当利益时，承包人单位或个人有义务向发包人举报。</w:t>
      </w:r>
    </w:p>
    <w:p w14:paraId="5A9E9479">
      <w:pPr>
        <w:snapToGrid w:val="0"/>
        <w:spacing w:line="560" w:lineRule="exact"/>
        <w:ind w:firstLine="643" w:firstLineChars="200"/>
        <w:rPr>
          <w:rFonts w:hint="eastAsia" w:ascii="仿宋_GB2312" w:hAnsi="仿宋_GB2312" w:eastAsia="仿宋_GB2312" w:cs="仿宋_GB2312"/>
          <w:b/>
          <w:color w:val="auto"/>
          <w:sz w:val="32"/>
          <w:szCs w:val="32"/>
          <w:highlight w:val="none"/>
        </w:rPr>
      </w:pPr>
      <w:r>
        <w:rPr>
          <w:rFonts w:hint="eastAsia" w:ascii="仿宋_GB2312" w:hAnsi="仿宋_GB2312" w:eastAsia="仿宋_GB2312" w:cs="仿宋_GB2312"/>
          <w:b/>
          <w:color w:val="auto"/>
          <w:sz w:val="32"/>
          <w:szCs w:val="32"/>
          <w:highlight w:val="none"/>
        </w:rPr>
        <w:t>第四条 违约责任</w:t>
      </w:r>
    </w:p>
    <w:p w14:paraId="7C392D83">
      <w:pPr>
        <w:snapToGrid w:val="0"/>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（一）发包人工作人员有违反本协议书责任行为的，按照管理权限，依据有关法律法规和规定，追究相关法律责任。涉嫌犯罪的，移交司法机关追究刑事责任；给承包人单位造成经济损失的，应予以赔偿。</w:t>
      </w:r>
    </w:p>
    <w:p w14:paraId="5CD24496">
      <w:pPr>
        <w:snapToGrid w:val="0"/>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二）承包人工作人员或所属单位人员有违反本协议书责任行为的，发包人有权要求承包人承担施工合同总金额30%的违约金；违约情况严重而被当地纪检、监察、检察机关立案调查的，除追究承包人的上述责任外，发包人有权终止与承包人签订的合作合同；违约金不足以弥补给发包人造成的实际经济损失的，承包人应当赔偿给发包人造成的实际经济损失。</w:t>
      </w:r>
    </w:p>
    <w:p w14:paraId="35A2E67A">
      <w:pPr>
        <w:snapToGrid w:val="0"/>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（三）双方约定：本协议书由发包人与承包人双方上级主管部门担任监督单位。违约情况</w:t>
      </w:r>
      <w:r>
        <w:rPr>
          <w:rFonts w:hint="eastAsia" w:ascii="仿宋_GB2312" w:hAnsi="仿宋_GB2312" w:eastAsia="仿宋_GB2312" w:cs="仿宋_GB2312"/>
          <w:color w:val="auto"/>
          <w:sz w:val="32"/>
          <w:szCs w:val="32"/>
          <w:highlight w:val="none"/>
          <w:lang w:eastAsia="zh-CN"/>
        </w:rPr>
        <w:t>发生</w:t>
      </w:r>
      <w:r>
        <w:rPr>
          <w:rFonts w:hint="eastAsia" w:ascii="仿宋_GB2312" w:hAnsi="仿宋_GB2312" w:eastAsia="仿宋_GB2312" w:cs="仿宋_GB2312"/>
          <w:color w:val="auto"/>
          <w:sz w:val="32"/>
          <w:szCs w:val="32"/>
          <w:highlight w:val="none"/>
        </w:rPr>
        <w:t xml:space="preserve">由双方监督单位对本协议书履行情况进行检查，提出在本承诺书规定范围内的裁定意见。  </w:t>
      </w:r>
    </w:p>
    <w:p w14:paraId="4CF59386">
      <w:pPr>
        <w:snapToGrid w:val="0"/>
        <w:spacing w:line="560" w:lineRule="exact"/>
        <w:ind w:firstLine="643"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color w:val="auto"/>
          <w:sz w:val="32"/>
          <w:szCs w:val="32"/>
          <w:highlight w:val="none"/>
        </w:rPr>
        <w:t xml:space="preserve">第五条 </w:t>
      </w:r>
      <w:r>
        <w:rPr>
          <w:rFonts w:hint="eastAsia" w:ascii="仿宋_GB2312" w:hAnsi="仿宋_GB2312" w:eastAsia="仿宋_GB2312" w:cs="仿宋_GB2312"/>
          <w:color w:val="auto"/>
          <w:sz w:val="32"/>
          <w:szCs w:val="32"/>
          <w:highlight w:val="none"/>
        </w:rPr>
        <w:t>本协议书作为《</w:t>
      </w:r>
      <w:r>
        <w:rPr>
          <w:rFonts w:hint="eastAsia" w:ascii="仿宋_GB2312" w:hAnsi="仿宋_GB2312" w:eastAsia="仿宋_GB2312" w:cs="仿宋_GB2312"/>
          <w:color w:val="auto"/>
          <w:sz w:val="32"/>
          <w:szCs w:val="32"/>
          <w:highlight w:val="none"/>
          <w:lang w:val="en-US" w:eastAsia="zh-CN"/>
        </w:rPr>
        <w:t>电力工程</w:t>
      </w:r>
      <w:r>
        <w:rPr>
          <w:rFonts w:hint="eastAsia" w:ascii="仿宋_GB2312" w:hAnsi="仿宋_GB2312" w:eastAsia="仿宋_GB2312" w:cs="仿宋_GB2312"/>
          <w:color w:val="auto"/>
          <w:sz w:val="32"/>
          <w:szCs w:val="32"/>
          <w:highlight w:val="none"/>
        </w:rPr>
        <w:t>施工合同》的附件，与《</w:t>
      </w:r>
      <w:r>
        <w:rPr>
          <w:rFonts w:hint="eastAsia" w:ascii="仿宋_GB2312" w:hAnsi="仿宋_GB2312" w:eastAsia="仿宋_GB2312" w:cs="仿宋_GB2312"/>
          <w:color w:val="auto"/>
          <w:sz w:val="32"/>
          <w:szCs w:val="32"/>
          <w:highlight w:val="none"/>
          <w:lang w:val="en-US" w:eastAsia="zh-CN"/>
        </w:rPr>
        <w:t>电力工程</w:t>
      </w:r>
      <w:r>
        <w:rPr>
          <w:rFonts w:hint="eastAsia" w:ascii="仿宋_GB2312" w:hAnsi="仿宋_GB2312" w:eastAsia="仿宋_GB2312" w:cs="仿宋_GB2312"/>
          <w:color w:val="auto"/>
          <w:sz w:val="32"/>
          <w:szCs w:val="32"/>
          <w:highlight w:val="none"/>
        </w:rPr>
        <w:t>施工合同》具有同等法律效力，经双方</w:t>
      </w:r>
      <w:r>
        <w:rPr>
          <w:rFonts w:hint="eastAsia" w:ascii="仿宋_GB2312" w:hAnsi="仿宋_GB2312" w:eastAsia="仿宋_GB2312" w:cs="仿宋_GB2312"/>
          <w:color w:val="auto"/>
          <w:sz w:val="32"/>
          <w:szCs w:val="32"/>
          <w:highlight w:val="none"/>
          <w:lang w:val="en-US" w:eastAsia="zh-CN"/>
        </w:rPr>
        <w:t>法定代表人或授权代表签字并加盖企业公章或合同章</w:t>
      </w:r>
      <w:r>
        <w:rPr>
          <w:rFonts w:hint="eastAsia" w:ascii="仿宋_GB2312" w:hAnsi="仿宋_GB2312" w:eastAsia="仿宋_GB2312" w:cs="仿宋_GB2312"/>
          <w:color w:val="auto"/>
          <w:sz w:val="32"/>
          <w:szCs w:val="32"/>
          <w:highlight w:val="none"/>
        </w:rPr>
        <w:t>后生效。</w:t>
      </w:r>
    </w:p>
    <w:p w14:paraId="2A20C7CD">
      <w:pPr>
        <w:snapToGrid w:val="0"/>
        <w:spacing w:line="560" w:lineRule="exact"/>
        <w:ind w:firstLine="643"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color w:val="auto"/>
          <w:sz w:val="32"/>
          <w:szCs w:val="32"/>
          <w:highlight w:val="none"/>
        </w:rPr>
        <w:t xml:space="preserve">第六条 </w:t>
      </w:r>
      <w:r>
        <w:rPr>
          <w:rFonts w:hint="eastAsia" w:ascii="仿宋_GB2312" w:hAnsi="仿宋_GB2312" w:eastAsia="仿宋_GB2312" w:cs="仿宋_GB2312"/>
          <w:color w:val="auto"/>
          <w:sz w:val="32"/>
          <w:szCs w:val="32"/>
          <w:highlight w:val="none"/>
        </w:rPr>
        <w:t>本协议书的有效期与主合同的有效期一致。</w:t>
      </w:r>
    </w:p>
    <w:p w14:paraId="13771524">
      <w:pPr>
        <w:snapToGrid w:val="0"/>
        <w:spacing w:line="560" w:lineRule="exact"/>
        <w:ind w:firstLine="643"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color w:val="auto"/>
          <w:sz w:val="32"/>
          <w:szCs w:val="32"/>
          <w:highlight w:val="none"/>
        </w:rPr>
        <w:t xml:space="preserve">第七条  </w:t>
      </w:r>
      <w:r>
        <w:rPr>
          <w:rFonts w:hint="eastAsia" w:ascii="仿宋_GB2312" w:hAnsi="仿宋_GB2312" w:eastAsia="仿宋_GB2312" w:cs="仿宋_GB2312"/>
          <w:color w:val="auto"/>
          <w:sz w:val="32"/>
          <w:szCs w:val="32"/>
          <w:highlight w:val="none"/>
        </w:rPr>
        <w:t>未尽事宜，由双方协商解决。</w:t>
      </w:r>
    </w:p>
    <w:p w14:paraId="2EF80329">
      <w:pPr>
        <w:snapToGrid w:val="0"/>
        <w:spacing w:line="360" w:lineRule="auto"/>
        <w:ind w:firstLine="640" w:firstLineChars="200"/>
        <w:rPr>
          <w:rFonts w:hint="eastAsia" w:ascii="仿宋_GB2312" w:hAnsi="仿宋_GB2312" w:eastAsia="仿宋_GB2312" w:cs="仿宋_GB2312"/>
          <w:color w:val="auto"/>
          <w:sz w:val="32"/>
          <w:szCs w:val="32"/>
          <w:highlight w:val="none"/>
        </w:rPr>
      </w:pPr>
    </w:p>
    <w:p w14:paraId="71842307">
      <w:pPr>
        <w:snapToGrid w:val="0"/>
        <w:spacing w:line="360" w:lineRule="auto"/>
        <w:rPr>
          <w:rFonts w:hint="eastAsia" w:ascii="仿宋_GB2312" w:hAnsi="仿宋_GB2312" w:eastAsia="仿宋_GB2312" w:cs="仿宋_GB2312"/>
          <w:color w:val="auto"/>
          <w:sz w:val="32"/>
          <w:szCs w:val="32"/>
          <w:highlight w:val="none"/>
        </w:rPr>
      </w:pPr>
    </w:p>
    <w:tbl>
      <w:tblPr>
        <w:tblStyle w:val="13"/>
        <w:tblW w:w="0" w:type="auto"/>
        <w:tblInd w:w="0" w:type="dxa"/>
        <w:tblLayout w:type="autofit"/>
        <w:tblCellMar>
          <w:top w:w="0" w:type="dxa"/>
          <w:left w:w="108" w:type="dxa"/>
          <w:bottom w:w="0" w:type="dxa"/>
          <w:right w:w="108" w:type="dxa"/>
        </w:tblCellMar>
      </w:tblPr>
      <w:tblGrid>
        <w:gridCol w:w="4148"/>
        <w:gridCol w:w="4148"/>
      </w:tblGrid>
      <w:tr w14:paraId="6164B9AF">
        <w:tblPrEx>
          <w:tblCellMar>
            <w:top w:w="0" w:type="dxa"/>
            <w:left w:w="108" w:type="dxa"/>
            <w:bottom w:w="0" w:type="dxa"/>
            <w:right w:w="108" w:type="dxa"/>
          </w:tblCellMar>
        </w:tblPrEx>
        <w:tc>
          <w:tcPr>
            <w:tcW w:w="4148" w:type="dxa"/>
            <w:noWrap w:val="0"/>
            <w:vAlign w:val="top"/>
          </w:tcPr>
          <w:p w14:paraId="459EB902">
            <w:pPr>
              <w:snapToGrid w:val="0"/>
              <w:spacing w:line="360" w:lineRule="auto"/>
              <w:rPr>
                <w:rFonts w:hint="eastAsia" w:ascii="仿宋_GB2312" w:hAnsi="仿宋_GB2312" w:eastAsia="仿宋_GB2312" w:cs="仿宋_GB2312"/>
                <w:color w:val="auto"/>
                <w:sz w:val="32"/>
                <w:szCs w:val="32"/>
                <w:highlight w:val="none"/>
              </w:rPr>
            </w:pPr>
            <w:permStart w:id="108" w:edGrp="everyone"/>
            <w:r>
              <w:rPr>
                <w:rFonts w:hint="eastAsia" w:ascii="仿宋_GB2312" w:hAnsi="仿宋_GB2312" w:eastAsia="仿宋_GB2312" w:cs="仿宋_GB2312"/>
                <w:color w:val="auto"/>
                <w:sz w:val="32"/>
                <w:szCs w:val="32"/>
                <w:highlight w:val="none"/>
              </w:rPr>
              <w:br w:type="page"/>
            </w:r>
            <w:r>
              <w:rPr>
                <w:rFonts w:hint="eastAsia" w:ascii="仿宋_GB2312" w:hAnsi="仿宋_GB2312" w:eastAsia="仿宋_GB2312" w:cs="仿宋_GB2312"/>
                <w:color w:val="auto"/>
                <w:sz w:val="32"/>
                <w:szCs w:val="32"/>
                <w:highlight w:val="none"/>
              </w:rPr>
              <w:t>发包人：（盖章）</w:t>
            </w:r>
          </w:p>
          <w:p w14:paraId="3A5CE5EE">
            <w:pPr>
              <w:snapToGrid w:val="0"/>
              <w:spacing w:line="360" w:lineRule="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 xml:space="preserve">                          </w:t>
            </w:r>
          </w:p>
          <w:p w14:paraId="287DF0FD">
            <w:pPr>
              <w:snapToGrid w:val="0"/>
              <w:spacing w:line="360" w:lineRule="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法定代表人或其</w:t>
            </w:r>
            <w:r>
              <w:rPr>
                <w:rFonts w:hint="eastAsia" w:ascii="仿宋_GB2312" w:hAnsi="仿宋_GB2312" w:eastAsia="仿宋_GB2312" w:cs="仿宋_GB2312"/>
                <w:color w:val="auto"/>
                <w:sz w:val="32"/>
                <w:szCs w:val="32"/>
                <w:highlight w:val="none"/>
                <w:lang w:eastAsia="zh-CN"/>
              </w:rPr>
              <w:t>授权代理人</w:t>
            </w:r>
            <w:r>
              <w:rPr>
                <w:rFonts w:hint="eastAsia" w:ascii="仿宋_GB2312" w:hAnsi="仿宋_GB2312" w:eastAsia="仿宋_GB2312" w:cs="仿宋_GB2312"/>
                <w:color w:val="auto"/>
                <w:sz w:val="32"/>
                <w:szCs w:val="32"/>
                <w:highlight w:val="none"/>
              </w:rPr>
              <w:t>：</w:t>
            </w:r>
          </w:p>
          <w:p w14:paraId="51BFFFBB">
            <w:pPr>
              <w:snapToGrid w:val="0"/>
              <w:spacing w:line="360" w:lineRule="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（签字或盖章）</w:t>
            </w:r>
          </w:p>
        </w:tc>
        <w:tc>
          <w:tcPr>
            <w:tcW w:w="4148" w:type="dxa"/>
            <w:noWrap w:val="0"/>
            <w:vAlign w:val="top"/>
          </w:tcPr>
          <w:p w14:paraId="57F41D3D">
            <w:pPr>
              <w:snapToGrid w:val="0"/>
              <w:spacing w:line="360" w:lineRule="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承包人：（盖章）</w:t>
            </w:r>
          </w:p>
          <w:p w14:paraId="68E12F60">
            <w:pPr>
              <w:snapToGrid w:val="0"/>
              <w:spacing w:line="360" w:lineRule="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 xml:space="preserve">                          </w:t>
            </w:r>
          </w:p>
          <w:p w14:paraId="4C8E5449">
            <w:pPr>
              <w:snapToGrid w:val="0"/>
              <w:spacing w:line="360" w:lineRule="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法定代表人或其</w:t>
            </w:r>
            <w:r>
              <w:rPr>
                <w:rFonts w:hint="eastAsia" w:ascii="仿宋_GB2312" w:hAnsi="仿宋_GB2312" w:eastAsia="仿宋_GB2312" w:cs="仿宋_GB2312"/>
                <w:color w:val="auto"/>
                <w:sz w:val="32"/>
                <w:szCs w:val="32"/>
                <w:highlight w:val="none"/>
                <w:lang w:eastAsia="zh-CN"/>
              </w:rPr>
              <w:t>授权代理人</w:t>
            </w:r>
            <w:r>
              <w:rPr>
                <w:rFonts w:hint="eastAsia" w:ascii="仿宋_GB2312" w:hAnsi="仿宋_GB2312" w:eastAsia="仿宋_GB2312" w:cs="仿宋_GB2312"/>
                <w:color w:val="auto"/>
                <w:sz w:val="32"/>
                <w:szCs w:val="32"/>
                <w:highlight w:val="none"/>
              </w:rPr>
              <w:t>：</w:t>
            </w:r>
          </w:p>
          <w:p w14:paraId="3FA148AD">
            <w:pPr>
              <w:snapToGrid w:val="0"/>
              <w:spacing w:line="360" w:lineRule="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（签字或盖章）</w:t>
            </w:r>
          </w:p>
        </w:tc>
      </w:tr>
      <w:permEnd w:id="108"/>
    </w:tbl>
    <w:p w14:paraId="159AA2C4">
      <w:pPr>
        <w:snapToGrid w:val="0"/>
        <w:spacing w:before="0" w:after="0" w:line="360" w:lineRule="auto"/>
        <w:rPr>
          <w:rFonts w:hint="eastAsia" w:ascii="仿宋" w:hAnsi="仿宋" w:eastAsia="仿宋" w:cs="仿宋"/>
          <w:b w:val="0"/>
          <w:bCs w:val="0"/>
          <w:color w:val="auto"/>
          <w:sz w:val="32"/>
          <w:szCs w:val="32"/>
          <w:highlight w:val="none"/>
        </w:rPr>
      </w:pPr>
      <w:bookmarkStart w:id="2980" w:name="_Toc30549"/>
      <w:bookmarkStart w:id="2981" w:name="_Toc20224"/>
      <w:bookmarkStart w:id="2982" w:name="_Toc15345"/>
      <w:bookmarkStart w:id="2983" w:name="_Toc17094"/>
      <w:bookmarkStart w:id="2984" w:name="_Toc9430"/>
      <w:bookmarkStart w:id="2985" w:name="_Toc4118"/>
      <w:bookmarkStart w:id="2986" w:name="_Toc14129"/>
    </w:p>
    <w:p w14:paraId="448D527E">
      <w:pPr>
        <w:pStyle w:val="2"/>
        <w:snapToGrid w:val="0"/>
        <w:spacing w:before="0" w:after="0" w:line="360" w:lineRule="auto"/>
        <w:rPr>
          <w:rFonts w:hint="eastAsia" w:ascii="仿宋_GB2312" w:hAnsi="仿宋_GB2312" w:eastAsia="仿宋_GB2312" w:cs="仿宋_GB2312"/>
          <w:b w:val="0"/>
          <w:bCs w:val="0"/>
          <w:color w:val="auto"/>
          <w:sz w:val="32"/>
          <w:szCs w:val="32"/>
          <w:highlight w:val="none"/>
        </w:rPr>
      </w:pPr>
      <w:r>
        <w:rPr>
          <w:rFonts w:hint="eastAsia" w:ascii="仿宋" w:hAnsi="仿宋" w:eastAsia="仿宋" w:cs="仿宋"/>
          <w:b w:val="0"/>
          <w:bCs w:val="0"/>
          <w:color w:val="auto"/>
          <w:sz w:val="32"/>
          <w:szCs w:val="32"/>
          <w:highlight w:val="none"/>
        </w:rPr>
        <w:br w:type="page"/>
      </w:r>
      <w:bookmarkStart w:id="2987" w:name="_Toc19873"/>
      <w:r>
        <w:rPr>
          <w:rFonts w:hint="eastAsia" w:ascii="黑体" w:hAnsi="黑体" w:eastAsia="黑体" w:cs="黑体"/>
          <w:b w:val="0"/>
          <w:bCs w:val="0"/>
          <w:color w:val="auto"/>
          <w:sz w:val="32"/>
          <w:szCs w:val="32"/>
          <w:highlight w:val="none"/>
        </w:rPr>
        <w:t>附件11</w:t>
      </w:r>
      <w:bookmarkEnd w:id="2980"/>
      <w:bookmarkEnd w:id="2981"/>
      <w:bookmarkEnd w:id="2982"/>
      <w:bookmarkEnd w:id="2983"/>
      <w:bookmarkEnd w:id="2984"/>
      <w:bookmarkEnd w:id="2987"/>
    </w:p>
    <w:p w14:paraId="119E8757">
      <w:pPr>
        <w:snapToGrid w:val="0"/>
        <w:spacing w:line="360" w:lineRule="auto"/>
        <w:jc w:val="center"/>
        <w:rPr>
          <w:rFonts w:hint="eastAsia" w:ascii="方正小标宋简体" w:hAnsi="方正小标宋简体" w:eastAsia="方正小标宋简体" w:cs="方正小标宋简体"/>
          <w:b w:val="0"/>
          <w:bCs w:val="0"/>
          <w:color w:val="auto"/>
          <w:sz w:val="44"/>
          <w:szCs w:val="44"/>
          <w:highlight w:val="none"/>
        </w:rPr>
      </w:pPr>
      <w:r>
        <w:rPr>
          <w:rFonts w:hint="eastAsia" w:ascii="方正小标宋简体" w:hAnsi="方正小标宋简体" w:eastAsia="方正小标宋简体" w:cs="方正小标宋简体"/>
          <w:b w:val="0"/>
          <w:bCs w:val="0"/>
          <w:color w:val="auto"/>
          <w:sz w:val="44"/>
          <w:szCs w:val="44"/>
          <w:highlight w:val="none"/>
        </w:rPr>
        <w:t>建设工程质量责任合同</w:t>
      </w:r>
    </w:p>
    <w:p w14:paraId="5716D8B6">
      <w:pPr>
        <w:snapToGrid/>
        <w:spacing w:line="576" w:lineRule="exact"/>
        <w:rPr>
          <w:rFonts w:hint="eastAsia" w:ascii="黑体" w:hAnsi="黑体" w:eastAsia="黑体" w:cs="黑体"/>
          <w:b w:val="0"/>
          <w:bCs/>
          <w:color w:val="auto"/>
          <w:sz w:val="32"/>
          <w:szCs w:val="32"/>
          <w:highlight w:val="none"/>
        </w:rPr>
      </w:pPr>
      <w:r>
        <w:rPr>
          <w:rFonts w:hint="eastAsia" w:ascii="黑体" w:hAnsi="黑体" w:eastAsia="黑体" w:cs="黑体"/>
          <w:b w:val="0"/>
          <w:bCs/>
          <w:color w:val="auto"/>
          <w:sz w:val="32"/>
          <w:szCs w:val="32"/>
          <w:highlight w:val="none"/>
        </w:rPr>
        <w:t>发包人（全称）：</w:t>
      </w:r>
      <w:permStart w:id="109" w:edGrp="everyone"/>
      <w:r>
        <w:rPr>
          <w:rFonts w:hint="eastAsia" w:ascii="黑体" w:hAnsi="黑体" w:eastAsia="黑体" w:cs="黑体"/>
          <w:b w:val="0"/>
          <w:bCs/>
          <w:color w:val="auto"/>
          <w:sz w:val="32"/>
          <w:szCs w:val="32"/>
          <w:highlight w:val="none"/>
          <w:lang w:val="en-US" w:eastAsia="zh-CN"/>
        </w:rPr>
        <w:t xml:space="preserve">       </w:t>
      </w:r>
      <w:r>
        <w:rPr>
          <w:rFonts w:hint="eastAsia" w:ascii="黑体" w:hAnsi="黑体" w:eastAsia="黑体" w:cs="黑体"/>
          <w:b w:val="0"/>
          <w:bCs/>
          <w:color w:val="auto"/>
          <w:sz w:val="32"/>
          <w:szCs w:val="32"/>
          <w:highlight w:val="none"/>
        </w:rPr>
        <w:t xml:space="preserve">   </w:t>
      </w:r>
      <w:permEnd w:id="109"/>
      <w:r>
        <w:rPr>
          <w:rFonts w:hint="eastAsia" w:ascii="黑体" w:hAnsi="黑体" w:eastAsia="黑体" w:cs="黑体"/>
          <w:b w:val="0"/>
          <w:bCs/>
          <w:color w:val="auto"/>
          <w:sz w:val="32"/>
          <w:szCs w:val="32"/>
          <w:highlight w:val="none"/>
        </w:rPr>
        <w:t xml:space="preserve">  </w:t>
      </w:r>
    </w:p>
    <w:p w14:paraId="105C1107">
      <w:pPr>
        <w:snapToGrid/>
        <w:spacing w:line="576" w:lineRule="exact"/>
        <w:rPr>
          <w:rFonts w:hint="eastAsia" w:ascii="仿宋_GB2312" w:hAnsi="仿宋_GB2312" w:eastAsia="仿宋_GB2312" w:cs="仿宋_GB2312"/>
          <w:b/>
          <w:color w:val="auto"/>
          <w:sz w:val="32"/>
          <w:szCs w:val="32"/>
          <w:highlight w:val="none"/>
          <w:u w:val="single"/>
        </w:rPr>
      </w:pPr>
      <w:r>
        <w:rPr>
          <w:rFonts w:hint="eastAsia" w:ascii="黑体" w:hAnsi="黑体" w:eastAsia="黑体" w:cs="黑体"/>
          <w:b w:val="0"/>
          <w:bCs/>
          <w:color w:val="auto"/>
          <w:sz w:val="32"/>
          <w:szCs w:val="32"/>
          <w:highlight w:val="none"/>
        </w:rPr>
        <w:t>承包人（全称）：</w:t>
      </w:r>
      <w:permStart w:id="110" w:edGrp="everyone"/>
      <w:r>
        <w:rPr>
          <w:rFonts w:hint="eastAsia" w:ascii="黑体" w:hAnsi="黑体" w:eastAsia="黑体" w:cs="黑体"/>
          <w:b w:val="0"/>
          <w:bCs/>
          <w:color w:val="auto"/>
          <w:sz w:val="32"/>
          <w:szCs w:val="32"/>
          <w:highlight w:val="none"/>
          <w:lang w:val="en-US" w:eastAsia="zh-CN"/>
        </w:rPr>
        <w:t xml:space="preserve">          </w:t>
      </w:r>
      <w:permEnd w:id="110"/>
      <w:r>
        <w:rPr>
          <w:rFonts w:hint="eastAsia" w:ascii="黑体" w:hAnsi="黑体" w:eastAsia="黑体" w:cs="黑体"/>
          <w:b w:val="0"/>
          <w:bCs/>
          <w:color w:val="auto"/>
          <w:sz w:val="32"/>
          <w:szCs w:val="32"/>
          <w:highlight w:val="none"/>
        </w:rPr>
        <w:t xml:space="preserve">  </w:t>
      </w:r>
      <w:r>
        <w:rPr>
          <w:rFonts w:hint="eastAsia" w:ascii="仿宋_GB2312" w:hAnsi="仿宋_GB2312" w:eastAsia="仿宋_GB2312" w:cs="仿宋_GB2312"/>
          <w:b/>
          <w:color w:val="auto"/>
          <w:sz w:val="32"/>
          <w:szCs w:val="32"/>
          <w:highlight w:val="none"/>
        </w:rPr>
        <w:t xml:space="preserve">    </w:t>
      </w:r>
    </w:p>
    <w:p w14:paraId="097809E8">
      <w:pPr>
        <w:widowControl/>
        <w:snapToGrid/>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根据国务院《建设工程质量管理条例》，为保证在设计使用年限内建设工程质量，发包人</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以下称“甲方”</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与承包人</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以下称“乙方”</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 xml:space="preserve"> 就订立如下质量责任合同。</w:t>
      </w:r>
    </w:p>
    <w:p w14:paraId="34B02E68">
      <w:pPr>
        <w:widowControl/>
        <w:snapToGrid/>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黑体" w:hAnsi="黑体" w:eastAsia="黑体" w:cs="黑体"/>
          <w:color w:val="auto"/>
          <w:sz w:val="32"/>
          <w:szCs w:val="32"/>
          <w:highlight w:val="none"/>
        </w:rPr>
        <w:t>第一条</w:t>
      </w:r>
      <w:r>
        <w:rPr>
          <w:rFonts w:hint="eastAsia" w:ascii="仿宋_GB2312" w:hAnsi="仿宋_GB2312" w:eastAsia="仿宋_GB2312" w:cs="仿宋_GB2312"/>
          <w:color w:val="auto"/>
          <w:sz w:val="32"/>
          <w:szCs w:val="32"/>
          <w:highlight w:val="none"/>
        </w:rPr>
        <w:t xml:space="preserve">  本建设工程项目的质量目标为合格工程，施工单位对本建设工程的施工质量在设计使用年限内依法终身负责。</w:t>
      </w:r>
    </w:p>
    <w:p w14:paraId="073D293E">
      <w:pPr>
        <w:widowControl/>
        <w:snapToGrid/>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黑体" w:hAnsi="黑体" w:eastAsia="黑体" w:cs="黑体"/>
          <w:color w:val="auto"/>
          <w:sz w:val="32"/>
          <w:szCs w:val="32"/>
          <w:highlight w:val="none"/>
        </w:rPr>
        <w:t>第二条</w:t>
      </w:r>
      <w:r>
        <w:rPr>
          <w:rFonts w:hint="eastAsia" w:ascii="仿宋_GB2312" w:hAnsi="仿宋_GB2312" w:eastAsia="仿宋_GB2312" w:cs="仿宋_GB2312"/>
          <w:color w:val="auto"/>
          <w:sz w:val="32"/>
          <w:szCs w:val="32"/>
          <w:highlight w:val="none"/>
        </w:rPr>
        <w:t xml:space="preserve">  甲乙双方的权利与义务</w:t>
      </w:r>
    </w:p>
    <w:p w14:paraId="4D6AE695">
      <w:pPr>
        <w:widowControl/>
        <w:snapToGrid/>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一</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严格遵守国家有关法律法规及交通部、建设部的有关规定。</w:t>
      </w:r>
    </w:p>
    <w:p w14:paraId="5C634640">
      <w:pPr>
        <w:widowControl/>
        <w:snapToGrid/>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二</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严格执行工程合同文件，自觉按合同办事。</w:t>
      </w:r>
    </w:p>
    <w:p w14:paraId="24F0A529">
      <w:pPr>
        <w:widowControl/>
        <w:snapToGrid/>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三</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双方的业务活动必须坚持科学、公正、诚信、平等的原则，不得损害国家、集体的利益，不得违反工程建设管理规章制度。</w:t>
      </w:r>
    </w:p>
    <w:p w14:paraId="28F3A100">
      <w:pPr>
        <w:widowControl/>
        <w:snapToGrid/>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四</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发现对方在业务活动中，有违反有关规定的行为，有及时提醒对方纠正的权利和义务。</w:t>
      </w:r>
    </w:p>
    <w:p w14:paraId="0EF07EF9">
      <w:pPr>
        <w:widowControl/>
        <w:snapToGrid/>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五</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发现对方严重违反合同文件的行为，有向其上级有关部门举报，建议给予处理并要求告知处理结果的权利。</w:t>
      </w:r>
    </w:p>
    <w:p w14:paraId="1C2EBAAA">
      <w:pPr>
        <w:widowControl/>
        <w:snapToGrid/>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黑体" w:hAnsi="黑体" w:eastAsia="黑体" w:cs="黑体"/>
          <w:color w:val="auto"/>
          <w:sz w:val="32"/>
          <w:szCs w:val="32"/>
          <w:highlight w:val="none"/>
        </w:rPr>
        <w:t>第三条</w:t>
      </w:r>
      <w:r>
        <w:rPr>
          <w:rFonts w:hint="eastAsia" w:ascii="仿宋_GB2312" w:hAnsi="仿宋_GB2312" w:eastAsia="仿宋_GB2312" w:cs="仿宋_GB2312"/>
          <w:color w:val="auto"/>
          <w:sz w:val="32"/>
          <w:szCs w:val="32"/>
          <w:highlight w:val="none"/>
        </w:rPr>
        <w:t xml:space="preserve">  甲方的义务</w:t>
      </w:r>
    </w:p>
    <w:p w14:paraId="102BF3D3">
      <w:pPr>
        <w:widowControl/>
        <w:snapToGrid/>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一</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甲方向乙方及时提供有关资料</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包括技术规范、工程量清单、监理图等</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w:t>
      </w:r>
    </w:p>
    <w:p w14:paraId="59F050B9">
      <w:pPr>
        <w:widowControl/>
        <w:snapToGrid/>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二</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甲方不得指使乙方不按</w:t>
      </w:r>
      <w:r>
        <w:rPr>
          <w:rFonts w:hint="eastAsia" w:ascii="仿宋_GB2312" w:hAnsi="仿宋_GB2312" w:eastAsia="仿宋_GB2312" w:cs="仿宋_GB2312"/>
          <w:color w:val="auto"/>
          <w:sz w:val="32"/>
          <w:szCs w:val="32"/>
          <w:highlight w:val="none"/>
          <w:lang w:eastAsia="zh-CN"/>
        </w:rPr>
        <w:t>法律法规</w:t>
      </w:r>
      <w:r>
        <w:rPr>
          <w:rFonts w:hint="eastAsia" w:ascii="仿宋_GB2312" w:hAnsi="仿宋_GB2312" w:eastAsia="仿宋_GB2312" w:cs="仿宋_GB2312"/>
          <w:color w:val="auto"/>
          <w:sz w:val="32"/>
          <w:szCs w:val="32"/>
          <w:highlight w:val="none"/>
        </w:rPr>
        <w:t>、工程建设强制性标准和施工规范进行工程的施工活动。</w:t>
      </w:r>
    </w:p>
    <w:p w14:paraId="033E607B">
      <w:pPr>
        <w:widowControl/>
        <w:snapToGrid/>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三</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甲方须按施工合同的约定支付工程费，除合同的约定外，甲方不得以任何借口克扣工程款或拖延工程款的支付。</w:t>
      </w:r>
    </w:p>
    <w:p w14:paraId="2AB6AE44">
      <w:pPr>
        <w:widowControl/>
        <w:snapToGrid/>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五</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甲方不得明示或暗示向乙方推荐单位或个人承包或分包本工程项目的施工任务。</w:t>
      </w:r>
    </w:p>
    <w:p w14:paraId="56CB437C">
      <w:pPr>
        <w:widowControl/>
        <w:snapToGrid/>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六</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甲方不得以任何理由索取回扣</w:t>
      </w:r>
      <w:r>
        <w:rPr>
          <w:rFonts w:hint="eastAsia" w:ascii="仿宋_GB2312" w:hAnsi="仿宋_GB2312" w:eastAsia="仿宋_GB2312" w:cs="仿宋_GB2312"/>
          <w:color w:val="auto"/>
          <w:sz w:val="32"/>
          <w:szCs w:val="32"/>
          <w:highlight w:val="none"/>
          <w:lang w:eastAsia="zh-CN"/>
        </w:rPr>
        <w:t>或其他好处</w:t>
      </w:r>
      <w:r>
        <w:rPr>
          <w:rFonts w:hint="eastAsia" w:ascii="仿宋_GB2312" w:hAnsi="仿宋_GB2312" w:eastAsia="仿宋_GB2312" w:cs="仿宋_GB2312"/>
          <w:color w:val="auto"/>
          <w:sz w:val="32"/>
          <w:szCs w:val="32"/>
          <w:highlight w:val="none"/>
        </w:rPr>
        <w:t>。</w:t>
      </w:r>
    </w:p>
    <w:p w14:paraId="7B4CA77C">
      <w:pPr>
        <w:widowControl/>
        <w:snapToGrid/>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黑体" w:hAnsi="黑体" w:eastAsia="黑体" w:cs="黑体"/>
          <w:color w:val="auto"/>
          <w:sz w:val="32"/>
          <w:szCs w:val="32"/>
          <w:highlight w:val="none"/>
        </w:rPr>
        <w:t>第四条</w:t>
      </w:r>
      <w:r>
        <w:rPr>
          <w:rFonts w:hint="eastAsia" w:ascii="仿宋_GB2312" w:hAnsi="仿宋_GB2312" w:eastAsia="仿宋_GB2312" w:cs="仿宋_GB2312"/>
          <w:color w:val="auto"/>
          <w:sz w:val="32"/>
          <w:szCs w:val="32"/>
          <w:highlight w:val="none"/>
        </w:rPr>
        <w:t xml:space="preserve">  乙方的义务</w:t>
      </w:r>
    </w:p>
    <w:p w14:paraId="0462FF5A">
      <w:pPr>
        <w:widowControl/>
        <w:snapToGrid/>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一</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乙方应具备与本工程项目相应等级的施工资质证书。</w:t>
      </w:r>
    </w:p>
    <w:p w14:paraId="3E554FC1">
      <w:pPr>
        <w:widowControl/>
        <w:snapToGrid/>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二</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乙方不得允许</w:t>
      </w:r>
      <w:r>
        <w:rPr>
          <w:rFonts w:hint="eastAsia" w:ascii="仿宋_GB2312" w:hAnsi="仿宋_GB2312" w:eastAsia="仿宋_GB2312" w:cs="仿宋_GB2312"/>
          <w:color w:val="auto"/>
          <w:sz w:val="32"/>
          <w:szCs w:val="32"/>
          <w:highlight w:val="none"/>
          <w:lang w:eastAsia="zh-CN"/>
        </w:rPr>
        <w:t>其他单位或个人</w:t>
      </w:r>
      <w:r>
        <w:rPr>
          <w:rFonts w:hint="eastAsia" w:ascii="仿宋_GB2312" w:hAnsi="仿宋_GB2312" w:eastAsia="仿宋_GB2312" w:cs="仿宋_GB2312"/>
          <w:color w:val="auto"/>
          <w:sz w:val="32"/>
          <w:szCs w:val="32"/>
          <w:highlight w:val="none"/>
        </w:rPr>
        <w:t>以乙方的名义承揽本工程项目的施工任务，不得转包或违法分包所承揽的本工程的项目施工任务。</w:t>
      </w:r>
    </w:p>
    <w:p w14:paraId="40DC9794">
      <w:pPr>
        <w:widowControl/>
        <w:snapToGrid/>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三</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乙方必须严格履行施工合同，按投标承诺的施工技术人员及时到位。施工技术人员原则上不得擅自调换，如有特殊原因确需调换的，须经发包人书面同意方能换人。</w:t>
      </w:r>
    </w:p>
    <w:p w14:paraId="35773E9E">
      <w:pPr>
        <w:widowControl/>
        <w:snapToGrid/>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四</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乙方必须建立工地临时试验室，按要求配合相应的试验检测人员和设备，并取得工地临时试验室资质证书。按有关规定做好各类试验，试验资料应真实、完整，统一归档。</w:t>
      </w:r>
    </w:p>
    <w:p w14:paraId="2F6F6F9B">
      <w:pPr>
        <w:widowControl/>
        <w:snapToGrid/>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五</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乙方必须按照工程设计图纸和施工技术规范监理，不得擅自修改工程设计。</w:t>
      </w:r>
    </w:p>
    <w:p w14:paraId="6D395D04">
      <w:pPr>
        <w:widowControl/>
        <w:snapToGrid/>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六</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乙方在施工过程中发现设计文件和图纸有差错的，应当及时提出意见和建议。</w:t>
      </w:r>
    </w:p>
    <w:p w14:paraId="1DAD6633">
      <w:pPr>
        <w:widowControl/>
        <w:snapToGrid/>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七</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乙方与甲方之间有关工程质量、进度和费用的一切往来函件、报表均应分类编号归档保存；施工技术资料应真实、完整。</w:t>
      </w:r>
    </w:p>
    <w:p w14:paraId="72851E19">
      <w:pPr>
        <w:widowControl/>
        <w:snapToGrid/>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（八）乙方应加强对甲方按合同规定指定采购的材料和设备的检验，对检验不合格的产品，乙方应拒绝使用。</w:t>
      </w:r>
    </w:p>
    <w:p w14:paraId="0470A9CC">
      <w:pPr>
        <w:widowControl/>
        <w:snapToGrid/>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（九）乙方不得暗示材料、设备供应单位提供使用不合格或质量低劣的材料、设备。</w:t>
      </w:r>
    </w:p>
    <w:p w14:paraId="43DA91E2">
      <w:pPr>
        <w:widowControl/>
        <w:snapToGrid/>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黑体" w:hAnsi="黑体" w:eastAsia="黑体" w:cs="黑体"/>
          <w:color w:val="auto"/>
          <w:sz w:val="32"/>
          <w:szCs w:val="32"/>
          <w:highlight w:val="none"/>
        </w:rPr>
        <w:t>第五条</w:t>
      </w:r>
      <w:r>
        <w:rPr>
          <w:rFonts w:hint="eastAsia" w:ascii="仿宋_GB2312" w:hAnsi="仿宋_GB2312" w:eastAsia="仿宋_GB2312" w:cs="仿宋_GB2312"/>
          <w:color w:val="auto"/>
          <w:sz w:val="32"/>
          <w:szCs w:val="32"/>
          <w:highlight w:val="none"/>
        </w:rPr>
        <w:t xml:space="preserve">  违约责任</w:t>
      </w:r>
    </w:p>
    <w:p w14:paraId="481950F9">
      <w:pPr>
        <w:widowControl/>
        <w:snapToGrid/>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一</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甲方及其工作人员违反本合同第二、三条，按管理权限，依据国务院《建设工程质量管理条例》有关规定给予相应的处罚；涉嫌犯罪的，依法追究刑事责任；给乙方单位造成经济损失的，应予以赔偿。</w:t>
      </w:r>
    </w:p>
    <w:p w14:paraId="3966D8B8">
      <w:pPr>
        <w:widowControl/>
        <w:snapToGrid/>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二</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乙方及其工作人员违反本合同第二、四条，按管理权限，依据国务院《建设工程质量管理条例》有关规定给予相应的处罚；涉嫌犯罪的，依法追究刑事责任；给甲方单位造成经济损失的，应予以赔偿。</w:t>
      </w:r>
    </w:p>
    <w:p w14:paraId="27EC3B1C">
      <w:pPr>
        <w:widowControl/>
        <w:snapToGrid/>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黑体" w:hAnsi="黑体" w:eastAsia="黑体" w:cs="黑体"/>
          <w:color w:val="auto"/>
          <w:sz w:val="32"/>
          <w:szCs w:val="32"/>
          <w:highlight w:val="none"/>
        </w:rPr>
        <w:t>第六条</w:t>
      </w:r>
      <w:r>
        <w:rPr>
          <w:rFonts w:hint="eastAsia" w:ascii="仿宋_GB2312" w:hAnsi="仿宋_GB2312" w:eastAsia="仿宋_GB2312" w:cs="仿宋_GB2312"/>
          <w:color w:val="auto"/>
          <w:sz w:val="32"/>
          <w:szCs w:val="32"/>
          <w:highlight w:val="none"/>
        </w:rPr>
        <w:t xml:space="preserve">  本合同有效期为甲乙双方自签署之日起至该工程项目设计使用年限之日止。</w:t>
      </w:r>
    </w:p>
    <w:p w14:paraId="0E0DC956">
      <w:pPr>
        <w:widowControl/>
        <w:snapToGrid/>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黑体" w:hAnsi="黑体" w:eastAsia="黑体" w:cs="黑体"/>
          <w:color w:val="auto"/>
          <w:sz w:val="32"/>
          <w:szCs w:val="32"/>
          <w:highlight w:val="none"/>
        </w:rPr>
        <w:t>第七条</w:t>
      </w:r>
      <w:r>
        <w:rPr>
          <w:rFonts w:hint="eastAsia" w:ascii="仿宋_GB2312" w:hAnsi="仿宋_GB2312" w:eastAsia="仿宋_GB2312" w:cs="仿宋_GB2312"/>
          <w:color w:val="auto"/>
          <w:sz w:val="32"/>
          <w:szCs w:val="32"/>
          <w:highlight w:val="none"/>
        </w:rPr>
        <w:t xml:space="preserve">  本合同作为《</w:t>
      </w:r>
      <w:r>
        <w:rPr>
          <w:rFonts w:hint="eastAsia" w:ascii="仿宋_GB2312" w:hAnsi="仿宋_GB2312" w:eastAsia="仿宋_GB2312" w:cs="仿宋_GB2312"/>
          <w:color w:val="auto"/>
          <w:sz w:val="32"/>
          <w:szCs w:val="32"/>
          <w:highlight w:val="none"/>
          <w:lang w:val="en-US" w:eastAsia="zh-CN"/>
        </w:rPr>
        <w:t>电力工程</w:t>
      </w:r>
      <w:r>
        <w:rPr>
          <w:rFonts w:hint="eastAsia" w:ascii="仿宋_GB2312" w:hAnsi="仿宋_GB2312" w:eastAsia="仿宋_GB2312" w:cs="仿宋_GB2312"/>
          <w:color w:val="auto"/>
          <w:sz w:val="32"/>
          <w:szCs w:val="32"/>
          <w:highlight w:val="none"/>
        </w:rPr>
        <w:t>施工合同》附件，与《</w:t>
      </w:r>
      <w:r>
        <w:rPr>
          <w:rFonts w:hint="eastAsia" w:ascii="仿宋_GB2312" w:hAnsi="仿宋_GB2312" w:eastAsia="仿宋_GB2312" w:cs="仿宋_GB2312"/>
          <w:color w:val="auto"/>
          <w:sz w:val="32"/>
          <w:szCs w:val="32"/>
          <w:highlight w:val="none"/>
          <w:lang w:val="en-US" w:eastAsia="zh-CN"/>
        </w:rPr>
        <w:t>电力工程</w:t>
      </w:r>
      <w:r>
        <w:rPr>
          <w:rFonts w:hint="eastAsia" w:ascii="仿宋_GB2312" w:hAnsi="仿宋_GB2312" w:eastAsia="仿宋_GB2312" w:cs="仿宋_GB2312"/>
          <w:color w:val="auto"/>
          <w:sz w:val="32"/>
          <w:szCs w:val="32"/>
          <w:highlight w:val="none"/>
        </w:rPr>
        <w:t>施工合同》具有同等的法律效力，经合同双方</w:t>
      </w:r>
      <w:r>
        <w:rPr>
          <w:rFonts w:hint="eastAsia" w:ascii="仿宋_GB2312" w:hAnsi="仿宋_GB2312" w:eastAsia="仿宋_GB2312" w:cs="仿宋_GB2312"/>
          <w:color w:val="auto"/>
          <w:sz w:val="32"/>
          <w:szCs w:val="32"/>
          <w:highlight w:val="none"/>
          <w:lang w:val="en-US" w:eastAsia="zh-CN"/>
        </w:rPr>
        <w:t>法定代表人或授权代表签字并加盖企业公章或合同章</w:t>
      </w:r>
      <w:r>
        <w:rPr>
          <w:rFonts w:hint="eastAsia" w:ascii="仿宋_GB2312" w:hAnsi="仿宋_GB2312" w:eastAsia="仿宋_GB2312" w:cs="仿宋_GB2312"/>
          <w:color w:val="auto"/>
          <w:sz w:val="32"/>
          <w:szCs w:val="32"/>
          <w:highlight w:val="none"/>
        </w:rPr>
        <w:t>后立即生效。</w:t>
      </w:r>
    </w:p>
    <w:p w14:paraId="7A30D35C">
      <w:pPr>
        <w:widowControl/>
        <w:snapToGrid/>
        <w:spacing w:line="576" w:lineRule="exact"/>
        <w:ind w:firstLine="480"/>
        <w:rPr>
          <w:rFonts w:hint="eastAsia" w:ascii="仿宋_GB2312" w:hAnsi="仿宋_GB2312" w:eastAsia="仿宋_GB2312" w:cs="仿宋_GB2312"/>
          <w:color w:val="auto"/>
          <w:sz w:val="32"/>
          <w:szCs w:val="32"/>
          <w:highlight w:val="none"/>
        </w:rPr>
      </w:pPr>
    </w:p>
    <w:p w14:paraId="4F133968">
      <w:pPr>
        <w:snapToGrid/>
        <w:spacing w:line="576" w:lineRule="exact"/>
        <w:rPr>
          <w:rFonts w:hint="eastAsia" w:ascii="仿宋_GB2312" w:hAnsi="仿宋_GB2312" w:eastAsia="仿宋_GB2312" w:cs="仿宋_GB2312"/>
          <w:color w:val="auto"/>
          <w:sz w:val="32"/>
          <w:szCs w:val="32"/>
          <w:highlight w:val="none"/>
        </w:rPr>
      </w:pPr>
    </w:p>
    <w:tbl>
      <w:tblPr>
        <w:tblStyle w:val="13"/>
        <w:tblW w:w="0" w:type="auto"/>
        <w:tblInd w:w="0" w:type="dxa"/>
        <w:tblLayout w:type="autofit"/>
        <w:tblCellMar>
          <w:top w:w="0" w:type="dxa"/>
          <w:left w:w="108" w:type="dxa"/>
          <w:bottom w:w="0" w:type="dxa"/>
          <w:right w:w="108" w:type="dxa"/>
        </w:tblCellMar>
      </w:tblPr>
      <w:tblGrid>
        <w:gridCol w:w="4148"/>
        <w:gridCol w:w="4148"/>
      </w:tblGrid>
      <w:tr w14:paraId="4F3074D0">
        <w:tblPrEx>
          <w:tblCellMar>
            <w:top w:w="0" w:type="dxa"/>
            <w:left w:w="108" w:type="dxa"/>
            <w:bottom w:w="0" w:type="dxa"/>
            <w:right w:w="108" w:type="dxa"/>
          </w:tblCellMar>
        </w:tblPrEx>
        <w:tc>
          <w:tcPr>
            <w:tcW w:w="4148" w:type="dxa"/>
            <w:noWrap w:val="0"/>
            <w:vAlign w:val="top"/>
          </w:tcPr>
          <w:p w14:paraId="756F60D6">
            <w:pPr>
              <w:snapToGrid/>
              <w:spacing w:line="576" w:lineRule="exact"/>
              <w:rPr>
                <w:rFonts w:hint="eastAsia" w:ascii="仿宋_GB2312" w:hAnsi="仿宋_GB2312" w:eastAsia="仿宋_GB2312" w:cs="仿宋_GB2312"/>
                <w:color w:val="auto"/>
                <w:sz w:val="32"/>
                <w:szCs w:val="32"/>
                <w:highlight w:val="none"/>
              </w:rPr>
            </w:pPr>
            <w:permStart w:id="111" w:edGrp="everyone"/>
            <w:r>
              <w:rPr>
                <w:rFonts w:hint="eastAsia" w:ascii="仿宋_GB2312" w:hAnsi="仿宋_GB2312" w:eastAsia="仿宋_GB2312" w:cs="仿宋_GB2312"/>
                <w:color w:val="auto"/>
                <w:sz w:val="32"/>
                <w:szCs w:val="32"/>
                <w:highlight w:val="none"/>
              </w:rPr>
              <w:br w:type="page"/>
            </w:r>
            <w:r>
              <w:rPr>
                <w:rFonts w:hint="eastAsia" w:ascii="仿宋_GB2312" w:hAnsi="仿宋_GB2312" w:eastAsia="仿宋_GB2312" w:cs="仿宋_GB2312"/>
                <w:color w:val="auto"/>
                <w:sz w:val="32"/>
                <w:szCs w:val="32"/>
                <w:highlight w:val="none"/>
              </w:rPr>
              <w:t>发包人：（盖章）</w:t>
            </w:r>
          </w:p>
          <w:p w14:paraId="52691797">
            <w:pPr>
              <w:snapToGrid/>
              <w:spacing w:line="576" w:lineRule="exac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 xml:space="preserve">                          </w:t>
            </w:r>
          </w:p>
          <w:p w14:paraId="1739DB5B">
            <w:pPr>
              <w:snapToGrid/>
              <w:spacing w:line="576" w:lineRule="exac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法定代表人或其</w:t>
            </w:r>
            <w:r>
              <w:rPr>
                <w:rFonts w:hint="eastAsia" w:ascii="仿宋_GB2312" w:hAnsi="仿宋_GB2312" w:eastAsia="仿宋_GB2312" w:cs="仿宋_GB2312"/>
                <w:color w:val="auto"/>
                <w:sz w:val="32"/>
                <w:szCs w:val="32"/>
                <w:highlight w:val="none"/>
                <w:lang w:eastAsia="zh-CN"/>
              </w:rPr>
              <w:t>授权代理人</w:t>
            </w:r>
            <w:r>
              <w:rPr>
                <w:rFonts w:hint="eastAsia" w:ascii="仿宋_GB2312" w:hAnsi="仿宋_GB2312" w:eastAsia="仿宋_GB2312" w:cs="仿宋_GB2312"/>
                <w:color w:val="auto"/>
                <w:sz w:val="32"/>
                <w:szCs w:val="32"/>
                <w:highlight w:val="none"/>
              </w:rPr>
              <w:t>：</w:t>
            </w:r>
          </w:p>
          <w:p w14:paraId="20AC12DF">
            <w:pPr>
              <w:snapToGrid/>
              <w:spacing w:line="576" w:lineRule="exac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（签字或盖章）</w:t>
            </w:r>
          </w:p>
        </w:tc>
        <w:tc>
          <w:tcPr>
            <w:tcW w:w="4148" w:type="dxa"/>
            <w:noWrap w:val="0"/>
            <w:vAlign w:val="top"/>
          </w:tcPr>
          <w:p w14:paraId="7ADEF506">
            <w:pPr>
              <w:snapToGrid/>
              <w:spacing w:line="576" w:lineRule="exac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承包人：（盖章）</w:t>
            </w:r>
          </w:p>
          <w:p w14:paraId="1AC21320">
            <w:pPr>
              <w:snapToGrid/>
              <w:spacing w:line="576" w:lineRule="exac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 xml:space="preserve">                          </w:t>
            </w:r>
          </w:p>
          <w:p w14:paraId="4B2D0940">
            <w:pPr>
              <w:snapToGrid/>
              <w:spacing w:line="576" w:lineRule="exac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法定代表人或其</w:t>
            </w:r>
            <w:r>
              <w:rPr>
                <w:rFonts w:hint="eastAsia" w:ascii="仿宋_GB2312" w:hAnsi="仿宋_GB2312" w:eastAsia="仿宋_GB2312" w:cs="仿宋_GB2312"/>
                <w:color w:val="auto"/>
                <w:sz w:val="32"/>
                <w:szCs w:val="32"/>
                <w:highlight w:val="none"/>
                <w:lang w:eastAsia="zh-CN"/>
              </w:rPr>
              <w:t>授权代理人</w:t>
            </w:r>
            <w:r>
              <w:rPr>
                <w:rFonts w:hint="eastAsia" w:ascii="仿宋_GB2312" w:hAnsi="仿宋_GB2312" w:eastAsia="仿宋_GB2312" w:cs="仿宋_GB2312"/>
                <w:color w:val="auto"/>
                <w:sz w:val="32"/>
                <w:szCs w:val="32"/>
                <w:highlight w:val="none"/>
              </w:rPr>
              <w:t>：</w:t>
            </w:r>
          </w:p>
          <w:p w14:paraId="6214FE4B">
            <w:pPr>
              <w:snapToGrid/>
              <w:spacing w:line="576" w:lineRule="exac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（签字或盖章）</w:t>
            </w:r>
          </w:p>
        </w:tc>
      </w:tr>
      <w:permEnd w:id="111"/>
    </w:tbl>
    <w:p w14:paraId="550985E4">
      <w:pPr>
        <w:rPr>
          <w:rFonts w:hint="eastAsia" w:ascii="仿宋" w:hAnsi="仿宋" w:eastAsia="仿宋" w:cs="仿宋"/>
          <w:b w:val="0"/>
          <w:bCs w:val="0"/>
          <w:color w:val="auto"/>
          <w:sz w:val="32"/>
          <w:szCs w:val="32"/>
          <w:highlight w:val="none"/>
        </w:rPr>
      </w:pPr>
    </w:p>
    <w:p w14:paraId="0A1A082F">
      <w:pPr>
        <w:pStyle w:val="2"/>
        <w:snapToGrid/>
        <w:spacing w:before="0" w:after="0" w:line="576" w:lineRule="exact"/>
        <w:rPr>
          <w:rFonts w:hint="eastAsia" w:ascii="仿宋_GB2312" w:hAnsi="仿宋_GB2312" w:eastAsia="仿宋_GB2312" w:cs="仿宋_GB2312"/>
          <w:b w:val="0"/>
          <w:bCs w:val="0"/>
          <w:color w:val="auto"/>
          <w:sz w:val="32"/>
          <w:szCs w:val="32"/>
          <w:highlight w:val="none"/>
        </w:rPr>
      </w:pPr>
      <w:bookmarkStart w:id="2988" w:name="_Toc23640"/>
      <w:bookmarkStart w:id="2989" w:name="_Toc7409"/>
      <w:bookmarkStart w:id="2990" w:name="_Toc17420"/>
      <w:bookmarkStart w:id="2991" w:name="_Toc16087"/>
      <w:bookmarkStart w:id="2992" w:name="_Toc9367"/>
      <w:r>
        <w:rPr>
          <w:rFonts w:hint="eastAsia" w:ascii="仿宋" w:hAnsi="仿宋" w:eastAsia="仿宋" w:cs="仿宋"/>
          <w:b w:val="0"/>
          <w:bCs w:val="0"/>
          <w:color w:val="auto"/>
          <w:sz w:val="32"/>
          <w:szCs w:val="32"/>
          <w:highlight w:val="none"/>
        </w:rPr>
        <w:br w:type="page"/>
      </w:r>
      <w:bookmarkStart w:id="2993" w:name="_Toc9157"/>
      <w:r>
        <w:rPr>
          <w:rFonts w:hint="eastAsia" w:ascii="黑体" w:hAnsi="黑体" w:eastAsia="黑体" w:cs="黑体"/>
          <w:b w:val="0"/>
          <w:bCs w:val="0"/>
          <w:color w:val="auto"/>
          <w:sz w:val="32"/>
          <w:szCs w:val="32"/>
          <w:highlight w:val="none"/>
        </w:rPr>
        <w:t>附件1</w:t>
      </w:r>
      <w:r>
        <w:rPr>
          <w:rFonts w:hint="eastAsia" w:ascii="黑体" w:hAnsi="黑体" w:eastAsia="黑体" w:cs="黑体"/>
          <w:b w:val="0"/>
          <w:bCs w:val="0"/>
          <w:color w:val="auto"/>
          <w:sz w:val="32"/>
          <w:szCs w:val="32"/>
          <w:highlight w:val="none"/>
          <w:lang w:val="en-US" w:eastAsia="zh-CN"/>
        </w:rPr>
        <w:t>2</w:t>
      </w:r>
      <w:bookmarkEnd w:id="2985"/>
      <w:bookmarkEnd w:id="2986"/>
      <w:bookmarkEnd w:id="2988"/>
      <w:bookmarkEnd w:id="2989"/>
      <w:bookmarkEnd w:id="2990"/>
      <w:bookmarkEnd w:id="2991"/>
      <w:bookmarkEnd w:id="2992"/>
      <w:bookmarkEnd w:id="2993"/>
    </w:p>
    <w:p w14:paraId="0A66776B">
      <w:pPr>
        <w:rPr>
          <w:rFonts w:hint="eastAsia"/>
        </w:rPr>
      </w:pPr>
    </w:p>
    <w:p w14:paraId="4B587B53">
      <w:pPr>
        <w:snapToGrid/>
        <w:spacing w:line="576" w:lineRule="exact"/>
        <w:jc w:val="center"/>
        <w:rPr>
          <w:rFonts w:hint="eastAsia" w:ascii="方正小标宋简体" w:hAnsi="方正小标宋简体" w:eastAsia="方正小标宋简体" w:cs="方正小标宋简体"/>
          <w:b w:val="0"/>
          <w:bCs w:val="0"/>
          <w:color w:val="auto"/>
          <w:sz w:val="44"/>
          <w:szCs w:val="44"/>
          <w:highlight w:val="none"/>
        </w:rPr>
      </w:pPr>
      <w:r>
        <w:rPr>
          <w:rFonts w:hint="eastAsia" w:ascii="方正小标宋简体" w:hAnsi="方正小标宋简体" w:eastAsia="方正小标宋简体" w:cs="方正小标宋简体"/>
          <w:b w:val="0"/>
          <w:bCs w:val="0"/>
          <w:color w:val="auto"/>
          <w:sz w:val="44"/>
          <w:szCs w:val="44"/>
          <w:highlight w:val="none"/>
        </w:rPr>
        <w:t>建设工程安全文明施工协议</w:t>
      </w:r>
    </w:p>
    <w:p w14:paraId="1DB3B95D">
      <w:pPr>
        <w:snapToGrid/>
        <w:spacing w:line="576" w:lineRule="exact"/>
        <w:jc w:val="center"/>
        <w:rPr>
          <w:rFonts w:hint="eastAsia" w:ascii="方正小标宋简体" w:hAnsi="方正小标宋简体" w:eastAsia="方正小标宋简体" w:cs="方正小标宋简体"/>
          <w:b w:val="0"/>
          <w:bCs w:val="0"/>
          <w:color w:val="auto"/>
          <w:sz w:val="44"/>
          <w:szCs w:val="44"/>
          <w:highlight w:val="none"/>
        </w:rPr>
      </w:pPr>
    </w:p>
    <w:p w14:paraId="2718F111">
      <w:pPr>
        <w:snapToGrid/>
        <w:spacing w:line="576" w:lineRule="exact"/>
        <w:rPr>
          <w:rFonts w:hint="eastAsia" w:ascii="黑体" w:hAnsi="黑体" w:eastAsia="黑体" w:cs="黑体"/>
          <w:b w:val="0"/>
          <w:bCs/>
          <w:color w:val="auto"/>
          <w:sz w:val="32"/>
          <w:szCs w:val="32"/>
          <w:highlight w:val="none"/>
        </w:rPr>
      </w:pPr>
      <w:r>
        <w:rPr>
          <w:rFonts w:hint="eastAsia" w:ascii="黑体" w:hAnsi="黑体" w:eastAsia="黑体" w:cs="黑体"/>
          <w:b w:val="0"/>
          <w:bCs/>
          <w:color w:val="auto"/>
          <w:sz w:val="32"/>
          <w:szCs w:val="32"/>
          <w:highlight w:val="none"/>
        </w:rPr>
        <w:t>发包人（全称）：</w:t>
      </w:r>
      <w:permStart w:id="112" w:edGrp="everyone"/>
      <w:r>
        <w:rPr>
          <w:rFonts w:hint="eastAsia" w:ascii="黑体" w:hAnsi="黑体" w:eastAsia="黑体" w:cs="黑体"/>
          <w:b w:val="0"/>
          <w:bCs/>
          <w:color w:val="auto"/>
          <w:sz w:val="32"/>
          <w:szCs w:val="32"/>
          <w:highlight w:val="none"/>
        </w:rPr>
        <w:t xml:space="preserve"> </w:t>
      </w:r>
      <w:r>
        <w:rPr>
          <w:rFonts w:hint="eastAsia" w:ascii="黑体" w:hAnsi="黑体" w:eastAsia="黑体" w:cs="黑体"/>
          <w:b w:val="0"/>
          <w:bCs/>
          <w:color w:val="auto"/>
          <w:sz w:val="32"/>
          <w:szCs w:val="32"/>
          <w:highlight w:val="none"/>
          <w:lang w:val="en-US" w:eastAsia="zh-CN"/>
        </w:rPr>
        <w:t xml:space="preserve">      </w:t>
      </w:r>
      <w:r>
        <w:rPr>
          <w:rFonts w:hint="eastAsia" w:ascii="黑体" w:hAnsi="黑体" w:eastAsia="黑体" w:cs="黑体"/>
          <w:b w:val="0"/>
          <w:bCs/>
          <w:color w:val="auto"/>
          <w:sz w:val="32"/>
          <w:szCs w:val="32"/>
          <w:highlight w:val="none"/>
        </w:rPr>
        <w:t xml:space="preserve">    </w:t>
      </w:r>
      <w:permEnd w:id="112"/>
    </w:p>
    <w:p w14:paraId="194A731B">
      <w:pPr>
        <w:snapToGrid/>
        <w:spacing w:line="576" w:lineRule="exact"/>
        <w:rPr>
          <w:rFonts w:hint="eastAsia" w:ascii="仿宋_GB2312" w:hAnsi="仿宋_GB2312" w:eastAsia="仿宋_GB2312" w:cs="仿宋_GB2312"/>
          <w:b/>
          <w:color w:val="auto"/>
          <w:sz w:val="32"/>
          <w:szCs w:val="32"/>
          <w:highlight w:val="none"/>
          <w:u w:val="single"/>
        </w:rPr>
      </w:pPr>
      <w:r>
        <w:rPr>
          <w:rFonts w:hint="eastAsia" w:ascii="黑体" w:hAnsi="黑体" w:eastAsia="黑体" w:cs="黑体"/>
          <w:b w:val="0"/>
          <w:bCs/>
          <w:color w:val="auto"/>
          <w:sz w:val="32"/>
          <w:szCs w:val="32"/>
          <w:highlight w:val="none"/>
        </w:rPr>
        <w:t>承包人（全称）：</w:t>
      </w:r>
      <w:permStart w:id="113" w:edGrp="everyone"/>
      <w:r>
        <w:rPr>
          <w:rFonts w:hint="eastAsia" w:ascii="黑体" w:hAnsi="黑体" w:eastAsia="黑体" w:cs="黑体"/>
          <w:b w:val="0"/>
          <w:bCs/>
          <w:color w:val="auto"/>
          <w:sz w:val="32"/>
          <w:szCs w:val="32"/>
          <w:highlight w:val="none"/>
          <w:lang w:val="en-US" w:eastAsia="zh-CN"/>
        </w:rPr>
        <w:t xml:space="preserve">           </w:t>
      </w:r>
      <w:permEnd w:id="113"/>
      <w:r>
        <w:rPr>
          <w:rFonts w:hint="eastAsia" w:ascii="黑体" w:hAnsi="黑体" w:eastAsia="黑体" w:cs="黑体"/>
          <w:b w:val="0"/>
          <w:bCs/>
          <w:color w:val="auto"/>
          <w:sz w:val="32"/>
          <w:szCs w:val="32"/>
          <w:highlight w:val="none"/>
        </w:rPr>
        <w:t xml:space="preserve">   </w:t>
      </w:r>
      <w:r>
        <w:rPr>
          <w:rFonts w:hint="eastAsia" w:ascii="仿宋_GB2312" w:hAnsi="仿宋_GB2312" w:eastAsia="仿宋_GB2312" w:cs="仿宋_GB2312"/>
          <w:b/>
          <w:color w:val="auto"/>
          <w:sz w:val="32"/>
          <w:szCs w:val="32"/>
          <w:highlight w:val="none"/>
        </w:rPr>
        <w:t xml:space="preserve">  </w:t>
      </w:r>
    </w:p>
    <w:p w14:paraId="080C5452">
      <w:pPr>
        <w:widowControl/>
        <w:snapToGrid/>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为切实贯彻和落实《中华人民共和国安全生产法》和海南省工程建设地方标准《建设工程文明施工标准》及有关</w:t>
      </w:r>
      <w:r>
        <w:rPr>
          <w:rFonts w:hint="eastAsia" w:ascii="仿宋_GB2312" w:hAnsi="仿宋_GB2312" w:eastAsia="仿宋_GB2312" w:cs="仿宋_GB2312"/>
          <w:color w:val="auto"/>
          <w:sz w:val="32"/>
          <w:szCs w:val="32"/>
          <w:highlight w:val="none"/>
          <w:lang w:eastAsia="zh-CN"/>
        </w:rPr>
        <w:t>法律法规</w:t>
      </w:r>
      <w:r>
        <w:rPr>
          <w:rFonts w:hint="eastAsia" w:ascii="仿宋_GB2312" w:hAnsi="仿宋_GB2312" w:eastAsia="仿宋_GB2312" w:cs="仿宋_GB2312"/>
          <w:color w:val="auto"/>
          <w:sz w:val="32"/>
          <w:szCs w:val="32"/>
          <w:highlight w:val="none"/>
        </w:rPr>
        <w:t>的相关规定，在施工过程中创造安全、高效、文明的施工环境，切实搞好施工安全文明管理工作，本项目发包</w:t>
      </w:r>
      <w:r>
        <w:rPr>
          <w:rFonts w:hint="eastAsia" w:ascii="仿宋_GB2312" w:hAnsi="仿宋_GB2312" w:eastAsia="仿宋_GB2312" w:cs="仿宋_GB2312"/>
          <w:color w:val="auto"/>
          <w:sz w:val="32"/>
          <w:szCs w:val="32"/>
          <w:highlight w:val="none"/>
          <w:lang w:val="en-US" w:eastAsia="zh-CN"/>
        </w:rPr>
        <w:t>人</w:t>
      </w:r>
      <w:r>
        <w:rPr>
          <w:rFonts w:hint="eastAsia" w:ascii="仿宋_GB2312" w:hAnsi="仿宋_GB2312" w:eastAsia="仿宋_GB2312" w:cs="仿宋_GB2312"/>
          <w:color w:val="auto"/>
          <w:sz w:val="32"/>
          <w:szCs w:val="32"/>
          <w:highlight w:val="none"/>
        </w:rPr>
        <w:t xml:space="preserve">与承包人特此签订建设工程安全文明管理协议： </w:t>
      </w:r>
    </w:p>
    <w:p w14:paraId="36C9AA1A">
      <w:pPr>
        <w:widowControl/>
        <w:snapToGrid/>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黑体" w:hAnsi="黑体" w:eastAsia="黑体" w:cs="黑体"/>
          <w:color w:val="auto"/>
          <w:sz w:val="32"/>
          <w:szCs w:val="32"/>
          <w:highlight w:val="none"/>
        </w:rPr>
        <w:t>一</w:t>
      </w:r>
      <w:r>
        <w:rPr>
          <w:rFonts w:hint="eastAsia" w:ascii="黑体" w:hAnsi="黑体" w:eastAsia="黑体" w:cs="黑体"/>
          <w:color w:val="auto"/>
          <w:sz w:val="32"/>
          <w:szCs w:val="32"/>
          <w:highlight w:val="none"/>
          <w:lang w:val="en-US" w:eastAsia="zh-CN"/>
        </w:rPr>
        <w:t xml:space="preserve"> </w:t>
      </w:r>
      <w:r>
        <w:rPr>
          <w:rFonts w:hint="eastAsia" w:ascii="黑体" w:hAnsi="黑体" w:eastAsia="黑体" w:cs="黑体"/>
          <w:color w:val="auto"/>
          <w:sz w:val="32"/>
          <w:szCs w:val="32"/>
          <w:highlight w:val="none"/>
        </w:rPr>
        <w:t>发包人职责</w:t>
      </w:r>
      <w:r>
        <w:rPr>
          <w:rFonts w:hint="eastAsia" w:ascii="仿宋_GB2312" w:hAnsi="仿宋_GB2312" w:eastAsia="仿宋_GB2312" w:cs="仿宋_GB2312"/>
          <w:color w:val="auto"/>
          <w:sz w:val="32"/>
          <w:szCs w:val="32"/>
          <w:highlight w:val="none"/>
        </w:rPr>
        <w:t xml:space="preserve"> </w:t>
      </w:r>
    </w:p>
    <w:p w14:paraId="1622A0D8">
      <w:pPr>
        <w:widowControl/>
        <w:snapToGrid/>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rPr>
        <w:t xml:space="preserve">严格遵守国家、省市有关安全生产、文明施工的法律法规，认真执行工程承包合同中的有关安全文明施工要求。 </w:t>
      </w:r>
    </w:p>
    <w:p w14:paraId="6529BDF6">
      <w:pPr>
        <w:widowControl/>
        <w:snapToGrid/>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rPr>
        <w:t>按照“安全第一、预防为主、综合治理”和坚持“管生产必须管安全”的原则进行安全生产管理，做到生产与安全文明工作同时计划、布置、检查。</w:t>
      </w:r>
    </w:p>
    <w:p w14:paraId="4650AEF8">
      <w:pPr>
        <w:widowControl/>
        <w:snapToGrid/>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rPr>
        <w:t xml:space="preserve">重要的安全文明设施必须坚持与主体工程“三同时”的原则，即：同时设计、审批，同时施工，同时验收、投入使用。 </w:t>
      </w:r>
    </w:p>
    <w:p w14:paraId="6E63FEA7">
      <w:pPr>
        <w:widowControl/>
        <w:snapToGrid/>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4</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rPr>
        <w:t>定期召开安全生产会，及时传达中央及地方有关安全生产的精神。</w:t>
      </w:r>
    </w:p>
    <w:p w14:paraId="1832C27D">
      <w:pPr>
        <w:widowControl/>
        <w:snapToGrid/>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5</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rPr>
        <w:t>组织对承包人施工现场安全文明施工生产检查，监督承包人及时处理发现的各种安全文明隐患。</w:t>
      </w:r>
    </w:p>
    <w:p w14:paraId="4DAF286D">
      <w:pPr>
        <w:widowControl/>
        <w:snapToGrid/>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黑体" w:hAnsi="黑体" w:eastAsia="黑体" w:cs="黑体"/>
          <w:color w:val="auto"/>
          <w:sz w:val="32"/>
          <w:szCs w:val="32"/>
          <w:highlight w:val="none"/>
        </w:rPr>
        <w:t>二</w:t>
      </w:r>
      <w:r>
        <w:rPr>
          <w:rFonts w:hint="eastAsia" w:ascii="黑体" w:hAnsi="黑体" w:eastAsia="黑体" w:cs="黑体"/>
          <w:color w:val="auto"/>
          <w:sz w:val="32"/>
          <w:szCs w:val="32"/>
          <w:highlight w:val="none"/>
          <w:lang w:val="en-US" w:eastAsia="zh-CN"/>
        </w:rPr>
        <w:t xml:space="preserve"> </w:t>
      </w:r>
      <w:r>
        <w:rPr>
          <w:rFonts w:hint="eastAsia" w:ascii="黑体" w:hAnsi="黑体" w:eastAsia="黑体" w:cs="黑体"/>
          <w:color w:val="auto"/>
          <w:sz w:val="32"/>
          <w:szCs w:val="32"/>
          <w:highlight w:val="none"/>
        </w:rPr>
        <w:t>承包人职责</w:t>
      </w:r>
      <w:r>
        <w:rPr>
          <w:rFonts w:hint="eastAsia" w:ascii="仿宋_GB2312" w:hAnsi="仿宋_GB2312" w:eastAsia="仿宋_GB2312" w:cs="仿宋_GB2312"/>
          <w:color w:val="auto"/>
          <w:sz w:val="32"/>
          <w:szCs w:val="32"/>
          <w:highlight w:val="none"/>
        </w:rPr>
        <w:t xml:space="preserve"> </w:t>
      </w:r>
    </w:p>
    <w:p w14:paraId="66CE8D71">
      <w:pPr>
        <w:widowControl/>
        <w:snapToGrid/>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rPr>
        <w:t xml:space="preserve">严格遵守国家、省市有关安全生产、文明施工的法律法规、住房和城乡建设部门颁发的相关施工安全文明技术规程和机械操作规程有关安全文明的规定，认真执行工程承包合同中的有关安全文明施工要求。 </w:t>
      </w:r>
    </w:p>
    <w:p w14:paraId="14DE6BB7">
      <w:pPr>
        <w:widowControl/>
        <w:snapToGrid/>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rPr>
        <w:t>承包人必须遵守发包人的安全管理制度要求，不得触犯法律红线及发包人安全管理红线。对于发包人提出的安全管理措施和相关要求，承包人要严格落实。对于发包人检查发现的问题，必须按时组织整改并回复，对于回复不及时和整改不到位的，视为违约，并采取违约处罚措施</w:t>
      </w:r>
    </w:p>
    <w:p w14:paraId="7A90DEC3">
      <w:pPr>
        <w:widowControl/>
        <w:snapToGrid/>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rPr>
        <w:t xml:space="preserve">坚持“安全第一、预防为主、综合治理”和“管生产必须管安全”的原则，加强安全文明施工宣传教育和安全培训，增强全员安全文明施工意识，建立健全各项安全文明施工及生产的管理机构和安全生产管理制度，配备专职安全管理人员，有组织地开展安全文明施工。项目经理、工程技术人员、生产管理人员和具体操作人员，必须熟悉和遵守本条款的各项规定，做到生产与安全文明同时计划、布置、检查、总结。 </w:t>
      </w:r>
    </w:p>
    <w:p w14:paraId="7CA8B504">
      <w:pPr>
        <w:widowControl/>
        <w:snapToGrid/>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4</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rPr>
        <w:t>承包人必须对其入场的工人进行安全教育及交底，教育内容包括但不限于：国家法律法规、公司及项目安全管理要求、岗位操作规程、应急处理措施、交通安全、用电安全、消防安全等内容；每道工序或新技术、新工艺、新设备、新材料开始前应组织进行安全技术交底</w:t>
      </w:r>
    </w:p>
    <w:p w14:paraId="49433CA6">
      <w:pPr>
        <w:widowControl/>
        <w:snapToGrid/>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5</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rPr>
        <w:t>项目经理、专职安全管理人员，必须经行业主管部门考核合格，取得相应的资格证书，方可上岗。项目经理、总工、生产经理、专职安全管理人员等安全关键岗位，必须经过发包人面试，面试合格批准后方可履职。后续因履职不合格，发包人有权要求更换。</w:t>
      </w:r>
    </w:p>
    <w:p w14:paraId="20ED3368">
      <w:pPr>
        <w:widowControl/>
        <w:snapToGrid/>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6</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rPr>
        <w:t>在工程施工前，施工单位应编制安全文明施工方案。同时根据建设工程的特点制定相应的安全技术措施，对专业性较强的工程项目，编制专项安全施工方案，并采取安全技术措施。</w:t>
      </w:r>
    </w:p>
    <w:p w14:paraId="6FB59634">
      <w:pPr>
        <w:widowControl/>
        <w:snapToGrid/>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7</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rPr>
        <w:t xml:space="preserve">建立健全安全生产责任制。从派往项目实施的项目经理到生产工人（包括临时雇请的民工）的安全生产管理系统必须做到纵向到底，一环不漏；各职能部门、人员的安全生产责任制做到横向到边，人人有责。项目经理是安全生产的第一责任人，现场设置的安全机构，应按施工人员的1%—3%配备专职安全管理人员，具体配备标准严格按照《海南省关于建筑工程关键岗位配备及履职管理办法》进行配备。专职负责所有员工的安全、治安保卫、文明施工工作及预防事故的发生。安全机构人员，有权按有关规定发布停工指令及其他整改通知要求，并采取保护性措施防止事故发生。 </w:t>
      </w:r>
    </w:p>
    <w:p w14:paraId="0DB39097">
      <w:pPr>
        <w:widowControl/>
        <w:snapToGrid/>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8</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rPr>
        <w:t xml:space="preserve">承包人在任何时候都应采取各种合理的预防措施，防止其员工发生任何违法、违禁、暴力或妨碍治安的行为。 </w:t>
      </w:r>
    </w:p>
    <w:p w14:paraId="13080B18">
      <w:pPr>
        <w:widowControl/>
        <w:snapToGrid/>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9</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rPr>
        <w:t xml:space="preserve">承包人必须具有行业安全管理部门颁发的安全生产证书，参加施工的人员，必须接受安全技术教育，熟知和遵守本工种的各项安全技术操作规程，定期进行安全技术考核，合格者方准上岗操作。对于从事电气、起重、建筑登高架设作业、锅炉、压力容器、焊接、机动车船艇驾驶、爆破、潜水、瓦斯检验等特殊工种的人员，经过专业培训，获得特种作业操作资格证书后，方准持证上岗。施工现场如出现特种作业无证操作现象时，项目经理必须承担管理责任。 </w:t>
      </w:r>
    </w:p>
    <w:p w14:paraId="41BAC98B">
      <w:pPr>
        <w:widowControl/>
        <w:snapToGrid/>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10</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rPr>
        <w:t xml:space="preserve">对于易燃易爆的材料除应专门妥善保管之外，还应配备有足够的消防设施，所有施工人员都应熟悉消防设备的性能和使用方法；承包人不得将任何种类的爆炸物给予、易货或以其他方式转让给任何其他人，或允许、容忍上述同样行为。 </w:t>
      </w:r>
    </w:p>
    <w:p w14:paraId="2C34041E">
      <w:pPr>
        <w:widowControl/>
        <w:snapToGrid/>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11</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rPr>
        <w:t xml:space="preserve">操作人员上岗，必须按规定穿戴防护用品。施工负责人和安全检查员应随时检查劳动防护用品的穿戴情况，不按规定穿戴防护用品的人员不得上岗。 </w:t>
      </w:r>
    </w:p>
    <w:p w14:paraId="7FA29305">
      <w:pPr>
        <w:widowControl/>
        <w:snapToGrid/>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12</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rPr>
        <w:t xml:space="preserve">所有施工机具设备和高空作业的设备均应定期检查，并有安全员的签字记录，保证其经常处于完好状态；不合格的机具、设备和劳动保护用品严禁使用。 </w:t>
      </w:r>
    </w:p>
    <w:p w14:paraId="4EFD1668">
      <w:pPr>
        <w:widowControl/>
        <w:snapToGrid/>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13</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rPr>
        <w:t xml:space="preserve">施工中采用新技术、新工艺、新设备、新材料时，必须制定相应的安全技术措施，施工现场必须具有相关的安全标志牌。 </w:t>
      </w:r>
    </w:p>
    <w:p w14:paraId="5DE7B80F">
      <w:pPr>
        <w:widowControl/>
        <w:snapToGrid/>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14</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rPr>
        <w:t>承包人应将安全文明施工措施费全额投入现场使用，确保现场安全。应为工人统一提供合格的劳保用品，做好四口五临边防护、临时用电防护、消防设备设施、机械设备防护、文明施工等费用投入。安全文明措施费必须严格做到专款专用专项支出，支出台账和发票凭证等资料每月报监理审批，以备</w:t>
      </w:r>
      <w:r>
        <w:rPr>
          <w:rFonts w:hint="eastAsia" w:ascii="仿宋_GB2312" w:hAnsi="仿宋_GB2312" w:eastAsia="仿宋_GB2312" w:cs="仿宋_GB2312"/>
          <w:color w:val="auto"/>
          <w:sz w:val="32"/>
          <w:szCs w:val="32"/>
          <w:highlight w:val="none"/>
          <w:lang w:val="en-US" w:eastAsia="zh-CN"/>
        </w:rPr>
        <w:t>发</w:t>
      </w:r>
      <w:r>
        <w:rPr>
          <w:rFonts w:hint="eastAsia" w:ascii="仿宋_GB2312" w:hAnsi="仿宋_GB2312" w:eastAsia="仿宋_GB2312" w:cs="仿宋_GB2312"/>
          <w:color w:val="auto"/>
          <w:sz w:val="32"/>
          <w:szCs w:val="32"/>
          <w:highlight w:val="none"/>
        </w:rPr>
        <w:t>包人随时抽查。对于安措费未及时有效投入的、不能提供详细投入凭证的，视为严重违约</w:t>
      </w:r>
    </w:p>
    <w:p w14:paraId="56E587C5">
      <w:pPr>
        <w:widowControl/>
        <w:snapToGrid/>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15</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rPr>
        <w:t>承包人的人员包括其分包人员，在施工作业过程中发生死亡、伤害事件时，承包人必须立即采取救护措施，按照事故上报原则逐级上报至政府相关部门，且同时报告</w:t>
      </w:r>
      <w:r>
        <w:rPr>
          <w:rFonts w:hint="eastAsia" w:ascii="仿宋_GB2312" w:hAnsi="仿宋_GB2312" w:eastAsia="仿宋_GB2312" w:cs="仿宋_GB2312"/>
          <w:color w:val="auto"/>
          <w:sz w:val="32"/>
          <w:szCs w:val="32"/>
          <w:highlight w:val="none"/>
          <w:lang w:val="en-US" w:eastAsia="zh-CN"/>
        </w:rPr>
        <w:t>发</w:t>
      </w:r>
      <w:r>
        <w:rPr>
          <w:rFonts w:hint="eastAsia" w:ascii="仿宋_GB2312" w:hAnsi="仿宋_GB2312" w:eastAsia="仿宋_GB2312" w:cs="仿宋_GB2312"/>
          <w:color w:val="auto"/>
          <w:sz w:val="32"/>
          <w:szCs w:val="32"/>
          <w:highlight w:val="none"/>
        </w:rPr>
        <w:t>包人，不得瞒报、谎报、漏报。</w:t>
      </w:r>
    </w:p>
    <w:p w14:paraId="2E21A337">
      <w:pPr>
        <w:widowControl/>
        <w:snapToGrid/>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16</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rPr>
        <w:t>承包人必须按照本工程项目特点，组织制定本工程实施中的生产安全事故应急救援预案；如果发生安全事故，应按照《国务院关于特大安全事故行政责任追究的规定》</w:t>
      </w:r>
      <w:r>
        <w:rPr>
          <w:rFonts w:hint="eastAsia" w:ascii="仿宋_GB2312" w:hAnsi="仿宋_GB2312" w:eastAsia="仿宋_GB2312" w:cs="仿宋_GB2312"/>
          <w:color w:val="auto"/>
          <w:sz w:val="32"/>
          <w:szCs w:val="32"/>
          <w:highlight w:val="none"/>
          <w:lang w:eastAsia="zh-CN"/>
        </w:rPr>
        <w:t>以及其他</w:t>
      </w:r>
      <w:r>
        <w:rPr>
          <w:rFonts w:hint="eastAsia" w:ascii="仿宋_GB2312" w:hAnsi="仿宋_GB2312" w:eastAsia="仿宋_GB2312" w:cs="仿宋_GB2312"/>
          <w:color w:val="auto"/>
          <w:sz w:val="32"/>
          <w:szCs w:val="32"/>
          <w:highlight w:val="none"/>
        </w:rPr>
        <w:t xml:space="preserve">有关规定，及时上报有关部门，并坚持“三不放过”的原则，严肃处理相关责任人。 </w:t>
      </w:r>
    </w:p>
    <w:p w14:paraId="09D8A3D6">
      <w:pPr>
        <w:widowControl/>
        <w:snapToGrid/>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17</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rPr>
        <w:t>承包人应当积极主动处理好与毗邻单位和居民的关系，自觉遵守辖区的各项管理规定。因施工造成毗邻单位、居民的出入口障碍和交通堵塞的，承包人必须采取有效措施，确保出入口和交通的畅通、安全。</w:t>
      </w:r>
    </w:p>
    <w:p w14:paraId="51B971B0">
      <w:pPr>
        <w:widowControl/>
        <w:snapToGrid/>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18</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rPr>
        <w:t>施工现场设置大门，在大门处张挂五牌一图，保持干净整洁的场容场貌。</w:t>
      </w:r>
    </w:p>
    <w:p w14:paraId="2DF52EDA">
      <w:pPr>
        <w:widowControl/>
        <w:snapToGrid/>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黑体" w:hAnsi="黑体" w:eastAsia="黑体" w:cs="黑体"/>
          <w:color w:val="auto"/>
          <w:sz w:val="32"/>
          <w:szCs w:val="32"/>
          <w:highlight w:val="none"/>
        </w:rPr>
        <w:t>三</w:t>
      </w:r>
      <w:r>
        <w:rPr>
          <w:rFonts w:hint="eastAsia" w:ascii="黑体" w:hAnsi="黑体" w:eastAsia="黑体" w:cs="黑体"/>
          <w:color w:val="auto"/>
          <w:sz w:val="32"/>
          <w:szCs w:val="32"/>
          <w:highlight w:val="none"/>
          <w:lang w:val="en-US" w:eastAsia="zh-CN"/>
        </w:rPr>
        <w:t xml:space="preserve"> </w:t>
      </w:r>
      <w:r>
        <w:rPr>
          <w:rFonts w:hint="eastAsia" w:ascii="黑体" w:hAnsi="黑体" w:eastAsia="黑体" w:cs="黑体"/>
          <w:color w:val="auto"/>
          <w:sz w:val="32"/>
          <w:szCs w:val="32"/>
          <w:highlight w:val="none"/>
        </w:rPr>
        <w:t>违约责任</w:t>
      </w:r>
      <w:r>
        <w:rPr>
          <w:rFonts w:hint="eastAsia" w:ascii="仿宋_GB2312" w:hAnsi="仿宋_GB2312" w:eastAsia="仿宋_GB2312" w:cs="仿宋_GB2312"/>
          <w:color w:val="auto"/>
          <w:sz w:val="32"/>
          <w:szCs w:val="32"/>
          <w:highlight w:val="none"/>
        </w:rPr>
        <w:t xml:space="preserve"> </w:t>
      </w:r>
    </w:p>
    <w:p w14:paraId="60CC7F56">
      <w:pPr>
        <w:widowControl/>
        <w:snapToGrid/>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如因发包人或承包人违约造成安全事故，将追究合同违约责任。 </w:t>
      </w:r>
    </w:p>
    <w:p w14:paraId="457F7085">
      <w:pPr>
        <w:widowControl/>
        <w:snapToGrid/>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黑体" w:hAnsi="黑体" w:eastAsia="黑体" w:cs="黑体"/>
          <w:color w:val="auto"/>
          <w:sz w:val="32"/>
          <w:szCs w:val="32"/>
          <w:highlight w:val="none"/>
        </w:rPr>
        <w:t>四、</w:t>
      </w:r>
      <w:r>
        <w:rPr>
          <w:rFonts w:hint="eastAsia" w:ascii="仿宋_GB2312" w:hAnsi="仿宋_GB2312" w:eastAsia="仿宋_GB2312" w:cs="仿宋_GB2312"/>
          <w:color w:val="auto"/>
          <w:sz w:val="32"/>
          <w:szCs w:val="32"/>
          <w:highlight w:val="none"/>
        </w:rPr>
        <w:t>本协议作为《</w:t>
      </w:r>
      <w:r>
        <w:rPr>
          <w:rFonts w:hint="eastAsia" w:ascii="仿宋_GB2312" w:hAnsi="仿宋_GB2312" w:eastAsia="仿宋_GB2312" w:cs="仿宋_GB2312"/>
          <w:color w:val="auto"/>
          <w:sz w:val="32"/>
          <w:szCs w:val="32"/>
          <w:highlight w:val="none"/>
          <w:lang w:val="en-US" w:eastAsia="zh-CN"/>
        </w:rPr>
        <w:t>电力工程</w:t>
      </w:r>
      <w:r>
        <w:rPr>
          <w:rFonts w:hint="eastAsia" w:ascii="仿宋_GB2312" w:hAnsi="仿宋_GB2312" w:eastAsia="仿宋_GB2312" w:cs="仿宋_GB2312"/>
          <w:color w:val="auto"/>
          <w:sz w:val="32"/>
          <w:szCs w:val="32"/>
          <w:highlight w:val="none"/>
        </w:rPr>
        <w:t>施工合同》附件，与《</w:t>
      </w:r>
      <w:r>
        <w:rPr>
          <w:rFonts w:hint="eastAsia" w:ascii="仿宋_GB2312" w:hAnsi="仿宋_GB2312" w:eastAsia="仿宋_GB2312" w:cs="仿宋_GB2312"/>
          <w:color w:val="auto"/>
          <w:sz w:val="32"/>
          <w:szCs w:val="32"/>
          <w:highlight w:val="none"/>
          <w:lang w:val="en-US" w:eastAsia="zh-CN"/>
        </w:rPr>
        <w:t>电力工程</w:t>
      </w:r>
      <w:r>
        <w:rPr>
          <w:rFonts w:hint="eastAsia" w:ascii="仿宋_GB2312" w:hAnsi="仿宋_GB2312" w:eastAsia="仿宋_GB2312" w:cs="仿宋_GB2312"/>
          <w:color w:val="auto"/>
          <w:sz w:val="32"/>
          <w:szCs w:val="32"/>
          <w:highlight w:val="none"/>
        </w:rPr>
        <w:t>施工合同》具有同等的法律效力，经协议双方</w:t>
      </w:r>
      <w:r>
        <w:rPr>
          <w:rFonts w:hint="eastAsia" w:ascii="仿宋_GB2312" w:hAnsi="仿宋_GB2312" w:eastAsia="仿宋_GB2312" w:cs="仿宋_GB2312"/>
          <w:color w:val="auto"/>
          <w:sz w:val="32"/>
          <w:szCs w:val="32"/>
          <w:highlight w:val="none"/>
          <w:lang w:val="en-US" w:eastAsia="zh-CN"/>
        </w:rPr>
        <w:t>法定代表人或授权代表签字并加盖企业公章或合同章</w:t>
      </w:r>
      <w:r>
        <w:rPr>
          <w:rFonts w:hint="eastAsia" w:ascii="仿宋_GB2312" w:hAnsi="仿宋_GB2312" w:eastAsia="仿宋_GB2312" w:cs="仿宋_GB2312"/>
          <w:color w:val="auto"/>
          <w:sz w:val="32"/>
          <w:szCs w:val="32"/>
          <w:highlight w:val="none"/>
        </w:rPr>
        <w:t xml:space="preserve">后立即生效。 </w:t>
      </w:r>
    </w:p>
    <w:p w14:paraId="395F2314">
      <w:pPr>
        <w:widowControl/>
        <w:snapToGrid/>
        <w:spacing w:line="576" w:lineRule="exact"/>
        <w:ind w:firstLine="480"/>
        <w:rPr>
          <w:rFonts w:hint="eastAsia" w:ascii="仿宋_GB2312" w:hAnsi="仿宋_GB2312" w:eastAsia="仿宋_GB2312" w:cs="仿宋_GB2312"/>
          <w:color w:val="auto"/>
          <w:sz w:val="32"/>
          <w:szCs w:val="32"/>
          <w:highlight w:val="none"/>
        </w:rPr>
      </w:pPr>
    </w:p>
    <w:p w14:paraId="2B56AFDF">
      <w:pPr>
        <w:widowControl/>
        <w:snapToGrid/>
        <w:spacing w:line="576" w:lineRule="exact"/>
        <w:ind w:firstLine="480"/>
        <w:rPr>
          <w:rFonts w:hint="eastAsia" w:ascii="仿宋_GB2312" w:hAnsi="仿宋_GB2312" w:eastAsia="仿宋_GB2312" w:cs="仿宋_GB2312"/>
          <w:color w:val="auto"/>
          <w:sz w:val="32"/>
          <w:szCs w:val="32"/>
          <w:highlight w:val="none"/>
        </w:rPr>
      </w:pPr>
    </w:p>
    <w:p w14:paraId="1E9A1E84">
      <w:pPr>
        <w:snapToGrid/>
        <w:spacing w:line="576" w:lineRule="exact"/>
        <w:rPr>
          <w:rFonts w:hint="eastAsia" w:ascii="仿宋_GB2312" w:hAnsi="仿宋_GB2312" w:eastAsia="仿宋_GB2312" w:cs="仿宋_GB2312"/>
          <w:color w:val="auto"/>
          <w:sz w:val="32"/>
          <w:szCs w:val="32"/>
          <w:highlight w:val="none"/>
        </w:rPr>
      </w:pPr>
    </w:p>
    <w:tbl>
      <w:tblPr>
        <w:tblStyle w:val="13"/>
        <w:tblW w:w="0" w:type="auto"/>
        <w:tblInd w:w="0" w:type="dxa"/>
        <w:tblLayout w:type="autofit"/>
        <w:tblCellMar>
          <w:top w:w="0" w:type="dxa"/>
          <w:left w:w="108" w:type="dxa"/>
          <w:bottom w:w="0" w:type="dxa"/>
          <w:right w:w="108" w:type="dxa"/>
        </w:tblCellMar>
      </w:tblPr>
      <w:tblGrid>
        <w:gridCol w:w="4148"/>
        <w:gridCol w:w="4148"/>
      </w:tblGrid>
      <w:tr w14:paraId="5785090B">
        <w:tblPrEx>
          <w:tblCellMar>
            <w:top w:w="0" w:type="dxa"/>
            <w:left w:w="108" w:type="dxa"/>
            <w:bottom w:w="0" w:type="dxa"/>
            <w:right w:w="108" w:type="dxa"/>
          </w:tblCellMar>
        </w:tblPrEx>
        <w:tc>
          <w:tcPr>
            <w:tcW w:w="4148" w:type="dxa"/>
            <w:noWrap w:val="0"/>
            <w:vAlign w:val="top"/>
          </w:tcPr>
          <w:p w14:paraId="7E5F1A0E">
            <w:pPr>
              <w:snapToGrid/>
              <w:spacing w:line="576" w:lineRule="exact"/>
              <w:rPr>
                <w:rFonts w:hint="eastAsia" w:ascii="仿宋_GB2312" w:hAnsi="仿宋_GB2312" w:eastAsia="仿宋_GB2312" w:cs="仿宋_GB2312"/>
                <w:color w:val="auto"/>
                <w:sz w:val="32"/>
                <w:szCs w:val="32"/>
                <w:highlight w:val="none"/>
              </w:rPr>
            </w:pPr>
            <w:permStart w:id="114" w:edGrp="everyone"/>
            <w:r>
              <w:rPr>
                <w:rFonts w:hint="eastAsia" w:ascii="仿宋_GB2312" w:hAnsi="仿宋_GB2312" w:eastAsia="仿宋_GB2312" w:cs="仿宋_GB2312"/>
                <w:color w:val="auto"/>
                <w:sz w:val="32"/>
                <w:szCs w:val="32"/>
                <w:highlight w:val="none"/>
              </w:rPr>
              <w:br w:type="page"/>
            </w:r>
            <w:r>
              <w:rPr>
                <w:rFonts w:hint="eastAsia" w:ascii="仿宋_GB2312" w:hAnsi="仿宋_GB2312" w:eastAsia="仿宋_GB2312" w:cs="仿宋_GB2312"/>
                <w:color w:val="auto"/>
                <w:sz w:val="32"/>
                <w:szCs w:val="32"/>
                <w:highlight w:val="none"/>
              </w:rPr>
              <w:t>发包人：（盖章）</w:t>
            </w:r>
          </w:p>
          <w:p w14:paraId="52055BFD">
            <w:pPr>
              <w:snapToGrid/>
              <w:spacing w:line="576" w:lineRule="exac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 xml:space="preserve">                          </w:t>
            </w:r>
          </w:p>
          <w:p w14:paraId="51EB3835">
            <w:pPr>
              <w:snapToGrid/>
              <w:spacing w:line="576" w:lineRule="exac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法定代表人或其</w:t>
            </w:r>
            <w:r>
              <w:rPr>
                <w:rFonts w:hint="eastAsia" w:ascii="仿宋_GB2312" w:hAnsi="仿宋_GB2312" w:eastAsia="仿宋_GB2312" w:cs="仿宋_GB2312"/>
                <w:color w:val="auto"/>
                <w:sz w:val="32"/>
                <w:szCs w:val="32"/>
                <w:highlight w:val="none"/>
                <w:lang w:eastAsia="zh-CN"/>
              </w:rPr>
              <w:t>授权代理人</w:t>
            </w:r>
            <w:r>
              <w:rPr>
                <w:rFonts w:hint="eastAsia" w:ascii="仿宋_GB2312" w:hAnsi="仿宋_GB2312" w:eastAsia="仿宋_GB2312" w:cs="仿宋_GB2312"/>
                <w:color w:val="auto"/>
                <w:sz w:val="32"/>
                <w:szCs w:val="32"/>
                <w:highlight w:val="none"/>
              </w:rPr>
              <w:t>：</w:t>
            </w:r>
          </w:p>
          <w:p w14:paraId="1D2FDA80">
            <w:pPr>
              <w:snapToGrid/>
              <w:spacing w:line="576" w:lineRule="exac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（签字或盖章）</w:t>
            </w:r>
          </w:p>
        </w:tc>
        <w:tc>
          <w:tcPr>
            <w:tcW w:w="4148" w:type="dxa"/>
            <w:noWrap w:val="0"/>
            <w:vAlign w:val="top"/>
          </w:tcPr>
          <w:p w14:paraId="0DA6E269">
            <w:pPr>
              <w:snapToGrid/>
              <w:spacing w:line="576" w:lineRule="exac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承包人：（盖章）</w:t>
            </w:r>
          </w:p>
          <w:p w14:paraId="614B88D7">
            <w:pPr>
              <w:snapToGrid/>
              <w:spacing w:line="576" w:lineRule="exac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 xml:space="preserve">                          </w:t>
            </w:r>
          </w:p>
          <w:p w14:paraId="0927DF0D">
            <w:pPr>
              <w:snapToGrid/>
              <w:spacing w:line="576" w:lineRule="exac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法定代表人或其</w:t>
            </w:r>
            <w:r>
              <w:rPr>
                <w:rFonts w:hint="eastAsia" w:ascii="仿宋_GB2312" w:hAnsi="仿宋_GB2312" w:eastAsia="仿宋_GB2312" w:cs="仿宋_GB2312"/>
                <w:color w:val="auto"/>
                <w:sz w:val="32"/>
                <w:szCs w:val="32"/>
                <w:highlight w:val="none"/>
                <w:lang w:eastAsia="zh-CN"/>
              </w:rPr>
              <w:t>授权代理人</w:t>
            </w:r>
            <w:r>
              <w:rPr>
                <w:rFonts w:hint="eastAsia" w:ascii="仿宋_GB2312" w:hAnsi="仿宋_GB2312" w:eastAsia="仿宋_GB2312" w:cs="仿宋_GB2312"/>
                <w:color w:val="auto"/>
                <w:sz w:val="32"/>
                <w:szCs w:val="32"/>
                <w:highlight w:val="none"/>
              </w:rPr>
              <w:t>：</w:t>
            </w:r>
          </w:p>
          <w:p w14:paraId="11460E9A">
            <w:pPr>
              <w:snapToGrid/>
              <w:spacing w:line="576" w:lineRule="exac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（签字或盖章）</w:t>
            </w:r>
          </w:p>
        </w:tc>
      </w:tr>
      <w:permEnd w:id="114"/>
    </w:tbl>
    <w:p w14:paraId="7635EFEF">
      <w:pPr>
        <w:rPr>
          <w:rFonts w:hint="eastAsia" w:ascii="仿宋" w:hAnsi="仿宋" w:eastAsia="仿宋" w:cs="仿宋"/>
          <w:color w:val="auto"/>
          <w:sz w:val="32"/>
          <w:szCs w:val="32"/>
          <w:highlight w:val="none"/>
        </w:rPr>
      </w:pPr>
      <w:bookmarkStart w:id="2994" w:name="_Toc23619"/>
      <w:bookmarkStart w:id="2995" w:name="_Toc24992"/>
    </w:p>
    <w:p w14:paraId="1EC0F370">
      <w:pPr>
        <w:snapToGrid w:val="0"/>
        <w:spacing w:line="576" w:lineRule="exact"/>
        <w:outlineLvl w:val="2"/>
        <w:rPr>
          <w:rFonts w:hint="eastAsia" w:ascii="仿宋_GB2312" w:hAnsi="仿宋_GB2312" w:eastAsia="仿宋_GB2312" w:cs="仿宋_GB2312"/>
          <w:color w:val="auto"/>
          <w:sz w:val="32"/>
          <w:szCs w:val="32"/>
          <w:highlight w:val="none"/>
        </w:rPr>
      </w:pPr>
      <w:bookmarkStart w:id="2996" w:name="_Toc5790"/>
      <w:bookmarkStart w:id="2997" w:name="_Toc9432"/>
      <w:bookmarkStart w:id="2998" w:name="_Toc21124"/>
      <w:bookmarkStart w:id="2999" w:name="_Toc30077"/>
      <w:bookmarkStart w:id="3000" w:name="_Toc16646"/>
      <w:r>
        <w:rPr>
          <w:rFonts w:hint="eastAsia" w:ascii="仿宋" w:hAnsi="仿宋" w:eastAsia="仿宋" w:cs="仿宋"/>
          <w:color w:val="auto"/>
          <w:sz w:val="32"/>
          <w:szCs w:val="32"/>
          <w:highlight w:val="none"/>
        </w:rPr>
        <w:br w:type="page"/>
      </w:r>
      <w:bookmarkStart w:id="3001" w:name="_Toc30982"/>
      <w:r>
        <w:rPr>
          <w:rFonts w:hint="eastAsia" w:ascii="黑体" w:hAnsi="黑体" w:eastAsia="黑体" w:cs="黑体"/>
          <w:color w:val="auto"/>
          <w:sz w:val="32"/>
          <w:szCs w:val="32"/>
          <w:highlight w:val="none"/>
        </w:rPr>
        <w:t>附件13</w:t>
      </w:r>
      <w:bookmarkEnd w:id="2994"/>
      <w:bookmarkEnd w:id="2995"/>
      <w:bookmarkEnd w:id="2996"/>
      <w:bookmarkEnd w:id="2997"/>
      <w:bookmarkEnd w:id="2998"/>
      <w:bookmarkEnd w:id="2999"/>
      <w:bookmarkEnd w:id="3000"/>
      <w:bookmarkEnd w:id="3001"/>
    </w:p>
    <w:p w14:paraId="2DFB2212">
      <w:pPr>
        <w:snapToGrid w:val="0"/>
        <w:spacing w:line="576" w:lineRule="exact"/>
        <w:jc w:val="center"/>
        <w:rPr>
          <w:rFonts w:hint="eastAsia" w:ascii="方正小标宋简体" w:hAnsi="方正小标宋简体" w:eastAsia="方正小标宋简体" w:cs="方正小标宋简体"/>
          <w:b w:val="0"/>
          <w:bCs w:val="0"/>
          <w:color w:val="auto"/>
          <w:sz w:val="44"/>
          <w:szCs w:val="44"/>
          <w:highlight w:val="none"/>
        </w:rPr>
      </w:pPr>
      <w:r>
        <w:rPr>
          <w:rFonts w:hint="eastAsia" w:ascii="方正小标宋简体" w:hAnsi="方正小标宋简体" w:eastAsia="方正小标宋简体" w:cs="方正小标宋简体"/>
          <w:b w:val="0"/>
          <w:bCs w:val="0"/>
          <w:color w:val="auto"/>
          <w:sz w:val="44"/>
          <w:szCs w:val="44"/>
          <w:highlight w:val="none"/>
        </w:rPr>
        <w:t>保密承诺函</w:t>
      </w:r>
    </w:p>
    <w:p w14:paraId="4F6DFAB7">
      <w:pPr>
        <w:snapToGrid/>
        <w:spacing w:line="576" w:lineRule="exac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致：</w:t>
      </w:r>
      <w:permStart w:id="115" w:edGrp="everyone"/>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 xml:space="preserve"> </w:t>
      </w:r>
      <w:permEnd w:id="115"/>
      <w:r>
        <w:rPr>
          <w:rFonts w:hint="eastAsia" w:ascii="仿宋_GB2312" w:hAnsi="仿宋_GB2312" w:eastAsia="仿宋_GB2312" w:cs="仿宋_GB2312"/>
          <w:color w:val="auto"/>
          <w:sz w:val="32"/>
          <w:szCs w:val="32"/>
          <w:highlight w:val="none"/>
        </w:rPr>
        <w:t xml:space="preserve">    </w:t>
      </w:r>
    </w:p>
    <w:p w14:paraId="53B7BB1E">
      <w:pPr>
        <w:snapToGrid/>
        <w:spacing w:line="576"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我司受</w:t>
      </w:r>
      <w:permStart w:id="116" w:edGrp="everyone"/>
      <w:r>
        <w:rPr>
          <w:rFonts w:hint="eastAsia" w:ascii="仿宋_GB2312" w:hAnsi="仿宋_GB2312" w:eastAsia="仿宋_GB2312" w:cs="仿宋_GB2312"/>
          <w:color w:val="auto"/>
          <w:sz w:val="32"/>
          <w:szCs w:val="32"/>
          <w:highlight w:val="none"/>
        </w:rPr>
        <w:t xml:space="preserve">     </w:t>
      </w:r>
      <w:permEnd w:id="116"/>
      <w:r>
        <w:rPr>
          <w:rFonts w:hint="eastAsia" w:ascii="仿宋_GB2312" w:hAnsi="仿宋_GB2312" w:eastAsia="仿宋_GB2312" w:cs="仿宋_GB2312"/>
          <w:color w:val="auto"/>
          <w:sz w:val="32"/>
          <w:szCs w:val="32"/>
          <w:highlight w:val="none"/>
        </w:rPr>
        <w:t>（以下简称“委托人”）委托，负责</w:t>
      </w:r>
      <w:permStart w:id="117" w:edGrp="everyone"/>
      <w:r>
        <w:rPr>
          <w:rFonts w:hint="eastAsia" w:ascii="仿宋_GB2312" w:hAnsi="仿宋_GB2312" w:eastAsia="仿宋_GB2312" w:cs="仿宋_GB2312"/>
          <w:color w:val="auto"/>
          <w:sz w:val="32"/>
          <w:szCs w:val="32"/>
          <w:highlight w:val="none"/>
        </w:rPr>
        <w:t xml:space="preserve">     </w:t>
      </w:r>
      <w:permEnd w:id="117"/>
      <w:r>
        <w:rPr>
          <w:rFonts w:hint="eastAsia" w:ascii="仿宋_GB2312" w:hAnsi="仿宋_GB2312" w:eastAsia="仿宋_GB2312" w:cs="仿宋_GB2312"/>
          <w:color w:val="auto"/>
          <w:sz w:val="32"/>
          <w:szCs w:val="32"/>
          <w:highlight w:val="none"/>
        </w:rPr>
        <w:t>工作，我司在此承诺：</w:t>
      </w:r>
    </w:p>
    <w:p w14:paraId="1D82E377">
      <w:pPr>
        <w:snapToGrid/>
        <w:spacing w:line="576"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1、保密信息是指在履行本合同过程中获得的委托人及利益相关方的一切非公开资料、信息，包括但不限于关于     基础资料及数据，以及本合同内容等，我司对保密信息负有保密义务，我司承诺不以任何方式（包括但不限于复制、仿造等）将保密信息泄露给本合同以外的任何人，不将保密信息用于本项目以外的其他用途。</w:t>
      </w:r>
    </w:p>
    <w:p w14:paraId="426EA0CB">
      <w:pPr>
        <w:snapToGrid/>
        <w:spacing w:line="576"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2、我司承担保密义务</w:t>
      </w:r>
      <w:r>
        <w:rPr>
          <w:rFonts w:hint="eastAsia" w:ascii="仿宋_GB2312" w:hAnsi="仿宋_GB2312" w:eastAsia="仿宋_GB2312" w:cs="仿宋_GB2312"/>
          <w:color w:val="auto"/>
          <w:sz w:val="32"/>
          <w:szCs w:val="32"/>
          <w:highlight w:val="none"/>
          <w:lang w:eastAsia="zh-CN"/>
        </w:rPr>
        <w:t>直</w:t>
      </w:r>
      <w:r>
        <w:rPr>
          <w:rFonts w:hint="eastAsia" w:ascii="仿宋_GB2312" w:hAnsi="仿宋_GB2312" w:eastAsia="仿宋_GB2312" w:cs="仿宋_GB2312"/>
          <w:color w:val="auto"/>
          <w:sz w:val="32"/>
          <w:szCs w:val="32"/>
          <w:highlight w:val="none"/>
        </w:rPr>
        <w:t>至本条款中所称的保密信息进入公示领域或委托人将这些保密信息公开为止，不因本合同终止或履行完毕而终止。</w:t>
      </w:r>
    </w:p>
    <w:p w14:paraId="326FE289">
      <w:pPr>
        <w:snapToGrid/>
        <w:spacing w:line="576"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我司充分了解并知悉，若违反前述承诺，将会损害委托人利益，给委托人带来严重的经济损失或负面影响，我司承担由此引起的所有责任和经济损失，委托人有权依据本承诺函追究我司责任。同时我司愿意承担因违反前述承诺及约定，导致委托人支出的诉讼费、保全费、评估费、鉴定费、调查费、公证费、律师费，以及向第三方支付的赔偿、为应对第三方的指控而支付的一切费用等。</w:t>
      </w:r>
    </w:p>
    <w:p w14:paraId="7695195A">
      <w:pPr>
        <w:spacing w:line="576" w:lineRule="exac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                </w:t>
      </w:r>
    </w:p>
    <w:p w14:paraId="299A93F3">
      <w:pPr>
        <w:snapToGrid/>
        <w:spacing w:line="576" w:lineRule="exact"/>
        <w:ind w:left="0" w:leftChars="0" w:firstLine="4000" w:firstLineChars="125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承诺人名称：</w:t>
      </w:r>
      <w:permStart w:id="118" w:edGrp="everyone"/>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 xml:space="preserve"> </w:t>
      </w:r>
      <w:permEnd w:id="118"/>
      <w:r>
        <w:rPr>
          <w:rFonts w:hint="eastAsia" w:ascii="仿宋_GB2312" w:hAnsi="仿宋_GB2312" w:eastAsia="仿宋_GB2312" w:cs="仿宋_GB2312"/>
          <w:color w:val="auto"/>
          <w:sz w:val="32"/>
          <w:szCs w:val="32"/>
          <w:highlight w:val="none"/>
        </w:rPr>
        <w:t xml:space="preserve">        </w:t>
      </w:r>
    </w:p>
    <w:p w14:paraId="5007035D">
      <w:pPr>
        <w:snapToGrid/>
        <w:spacing w:line="576" w:lineRule="exact"/>
        <w:ind w:firstLine="3680" w:firstLineChars="115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日      期：</w:t>
      </w:r>
      <w:permStart w:id="119" w:edGrp="everyone"/>
      <w:r>
        <w:rPr>
          <w:rFonts w:hint="eastAsia" w:ascii="仿宋_GB2312" w:hAnsi="仿宋_GB2312" w:eastAsia="仿宋_GB2312" w:cs="仿宋_GB2312"/>
          <w:color w:val="auto"/>
          <w:sz w:val="32"/>
          <w:szCs w:val="32"/>
          <w:highlight w:val="none"/>
        </w:rPr>
        <w:t xml:space="preserve">  年  月  日</w:t>
      </w:r>
      <w:permEnd w:id="119"/>
    </w:p>
    <w:p w14:paraId="01736D61">
      <w:pPr>
        <w:snapToGrid w:val="0"/>
        <w:spacing w:line="360" w:lineRule="auto"/>
        <w:jc w:val="both"/>
        <w:rPr>
          <w:rFonts w:hint="default" w:ascii="仿宋_GB2312" w:hAnsi="仿宋_GB2312" w:eastAsia="仿宋_GB2312" w:cs="仿宋_GB2312"/>
          <w:b/>
          <w:bCs/>
          <w:color w:val="auto"/>
          <w:sz w:val="32"/>
          <w:szCs w:val="32"/>
          <w:highlight w:val="none"/>
          <w:lang w:val="en-US" w:eastAsia="zh-CN"/>
        </w:rPr>
      </w:pPr>
      <w:r>
        <w:rPr>
          <w:rFonts w:hint="eastAsia" w:ascii="黑体" w:hAnsi="黑体" w:eastAsia="黑体" w:cs="黑体"/>
          <w:color w:val="auto"/>
          <w:sz w:val="32"/>
          <w:szCs w:val="32"/>
          <w:highlight w:val="none"/>
        </w:rPr>
        <w:t>附件1</w:t>
      </w:r>
      <w:r>
        <w:rPr>
          <w:rFonts w:hint="eastAsia" w:ascii="黑体" w:hAnsi="黑体" w:eastAsia="黑体" w:cs="黑体"/>
          <w:color w:val="auto"/>
          <w:sz w:val="32"/>
          <w:szCs w:val="32"/>
          <w:highlight w:val="none"/>
          <w:lang w:val="en-US" w:eastAsia="zh-CN"/>
        </w:rPr>
        <w:t>4</w:t>
      </w:r>
    </w:p>
    <w:p w14:paraId="01614330">
      <w:pPr>
        <w:snapToGrid w:val="0"/>
        <w:spacing w:line="360" w:lineRule="auto"/>
        <w:jc w:val="center"/>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监理人和设计人信息表</w:t>
      </w:r>
    </w:p>
    <w:tbl>
      <w:tblPr>
        <w:tblStyle w:val="13"/>
        <w:tblpPr w:leftFromText="180" w:rightFromText="180" w:vertAnchor="text" w:horzAnchor="page" w:tblpX="1259" w:tblpY="72"/>
        <w:tblOverlap w:val="never"/>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8"/>
        <w:gridCol w:w="2575"/>
        <w:gridCol w:w="4956"/>
      </w:tblGrid>
      <w:tr w14:paraId="37236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0" w:type="pct"/>
            <w:vMerge w:val="restart"/>
            <w:noWrap w:val="0"/>
            <w:textDirection w:val="tbRlV"/>
            <w:vAlign w:val="center"/>
          </w:tcPr>
          <w:p w14:paraId="295D2A6D">
            <w:pPr>
              <w:pStyle w:val="16"/>
              <w:snapToGrid w:val="0"/>
              <w:ind w:left="113" w:right="113" w:firstLine="0" w:firstLineChars="0"/>
              <w:jc w:val="center"/>
              <w:rPr>
                <w:rFonts w:hint="eastAsia" w:ascii="仿宋_GB2312" w:hAnsi="仿宋_GB2312" w:eastAsia="仿宋_GB2312" w:cs="仿宋_GB2312"/>
                <w:color w:val="auto"/>
                <w:sz w:val="32"/>
                <w:szCs w:val="32"/>
                <w:highlight w:val="none"/>
                <w:lang w:bidi="ar"/>
              </w:rPr>
            </w:pPr>
            <w:r>
              <w:rPr>
                <w:rFonts w:hint="eastAsia" w:ascii="仿宋_GB2312" w:hAnsi="仿宋_GB2312" w:eastAsia="仿宋_GB2312" w:cs="仿宋_GB2312"/>
                <w:color w:val="auto"/>
                <w:sz w:val="32"/>
                <w:szCs w:val="32"/>
                <w:highlight w:val="none"/>
                <w:lang w:bidi="ar"/>
              </w:rPr>
              <w:t>监理人</w:t>
            </w:r>
          </w:p>
        </w:tc>
        <w:tc>
          <w:tcPr>
            <w:tcW w:w="1511" w:type="pct"/>
            <w:noWrap w:val="0"/>
            <w:vAlign w:val="center"/>
          </w:tcPr>
          <w:p w14:paraId="443D838D">
            <w:pPr>
              <w:pStyle w:val="16"/>
              <w:snapToGrid w:val="0"/>
              <w:ind w:firstLine="0" w:firstLineChars="0"/>
              <w:jc w:val="center"/>
              <w:rPr>
                <w:rFonts w:hint="eastAsia" w:ascii="仿宋_GB2312" w:hAnsi="仿宋_GB2312" w:eastAsia="仿宋_GB2312" w:cs="仿宋_GB2312"/>
                <w:color w:val="auto"/>
                <w:sz w:val="32"/>
                <w:szCs w:val="32"/>
                <w:highlight w:val="none"/>
                <w:lang w:bidi="ar"/>
              </w:rPr>
            </w:pPr>
            <w:r>
              <w:rPr>
                <w:rFonts w:hint="eastAsia" w:ascii="仿宋_GB2312" w:hAnsi="仿宋_GB2312" w:eastAsia="仿宋_GB2312" w:cs="仿宋_GB2312"/>
                <w:color w:val="auto"/>
                <w:sz w:val="32"/>
                <w:szCs w:val="32"/>
                <w:highlight w:val="none"/>
                <w:lang w:bidi="ar"/>
              </w:rPr>
              <w:t>名称</w:t>
            </w:r>
          </w:p>
        </w:tc>
        <w:tc>
          <w:tcPr>
            <w:tcW w:w="2908" w:type="pct"/>
            <w:noWrap w:val="0"/>
            <w:vAlign w:val="center"/>
          </w:tcPr>
          <w:p w14:paraId="571C150B">
            <w:pPr>
              <w:pStyle w:val="16"/>
              <w:snapToGrid w:val="0"/>
              <w:ind w:firstLine="0" w:firstLineChars="0"/>
              <w:rPr>
                <w:rFonts w:hint="eastAsia" w:ascii="仿宋_GB2312" w:hAnsi="仿宋_GB2312" w:eastAsia="仿宋_GB2312" w:cs="仿宋_GB2312"/>
                <w:color w:val="auto"/>
                <w:sz w:val="32"/>
                <w:szCs w:val="32"/>
                <w:highlight w:val="none"/>
                <w:lang w:bidi="ar"/>
              </w:rPr>
            </w:pPr>
          </w:p>
        </w:tc>
      </w:tr>
      <w:tr w14:paraId="1030B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0" w:type="pct"/>
            <w:vMerge w:val="continue"/>
            <w:noWrap w:val="0"/>
            <w:vAlign w:val="center"/>
          </w:tcPr>
          <w:p w14:paraId="166089BF">
            <w:pPr>
              <w:pStyle w:val="16"/>
              <w:snapToGrid w:val="0"/>
              <w:ind w:firstLine="0" w:firstLineChars="0"/>
              <w:jc w:val="left"/>
              <w:rPr>
                <w:rFonts w:hint="eastAsia" w:ascii="仿宋_GB2312" w:hAnsi="仿宋_GB2312" w:eastAsia="仿宋_GB2312" w:cs="仿宋_GB2312"/>
                <w:color w:val="auto"/>
                <w:sz w:val="32"/>
                <w:szCs w:val="32"/>
                <w:highlight w:val="none"/>
                <w:lang w:bidi="ar"/>
              </w:rPr>
            </w:pPr>
          </w:p>
        </w:tc>
        <w:tc>
          <w:tcPr>
            <w:tcW w:w="1511" w:type="pct"/>
            <w:noWrap w:val="0"/>
            <w:vAlign w:val="center"/>
          </w:tcPr>
          <w:p w14:paraId="6BBC6A71">
            <w:pPr>
              <w:pStyle w:val="16"/>
              <w:snapToGrid w:val="0"/>
              <w:ind w:firstLine="0" w:firstLineChars="0"/>
              <w:jc w:val="center"/>
              <w:rPr>
                <w:rFonts w:hint="eastAsia" w:ascii="仿宋_GB2312" w:hAnsi="仿宋_GB2312" w:eastAsia="仿宋_GB2312" w:cs="仿宋_GB2312"/>
                <w:color w:val="auto"/>
                <w:sz w:val="32"/>
                <w:szCs w:val="32"/>
                <w:highlight w:val="none"/>
                <w:lang w:bidi="ar"/>
              </w:rPr>
            </w:pPr>
            <w:r>
              <w:rPr>
                <w:rFonts w:hint="eastAsia" w:ascii="仿宋_GB2312" w:hAnsi="仿宋_GB2312" w:eastAsia="仿宋_GB2312" w:cs="仿宋_GB2312"/>
                <w:color w:val="auto"/>
                <w:sz w:val="32"/>
                <w:szCs w:val="32"/>
                <w:highlight w:val="none"/>
                <w:lang w:bidi="ar"/>
              </w:rPr>
              <w:t>资质类别和等级</w:t>
            </w:r>
          </w:p>
        </w:tc>
        <w:tc>
          <w:tcPr>
            <w:tcW w:w="2908" w:type="pct"/>
            <w:noWrap w:val="0"/>
            <w:vAlign w:val="center"/>
          </w:tcPr>
          <w:p w14:paraId="111A2EA3">
            <w:pPr>
              <w:pStyle w:val="16"/>
              <w:snapToGrid w:val="0"/>
              <w:ind w:firstLine="0" w:firstLineChars="0"/>
              <w:rPr>
                <w:rFonts w:hint="eastAsia" w:ascii="仿宋_GB2312" w:hAnsi="仿宋_GB2312" w:eastAsia="仿宋_GB2312" w:cs="仿宋_GB2312"/>
                <w:color w:val="auto"/>
                <w:sz w:val="32"/>
                <w:szCs w:val="32"/>
                <w:highlight w:val="none"/>
                <w:lang w:bidi="ar"/>
              </w:rPr>
            </w:pPr>
          </w:p>
        </w:tc>
      </w:tr>
      <w:tr w14:paraId="5E873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0" w:type="pct"/>
            <w:vMerge w:val="continue"/>
            <w:noWrap w:val="0"/>
            <w:vAlign w:val="center"/>
          </w:tcPr>
          <w:p w14:paraId="5515C272">
            <w:pPr>
              <w:pStyle w:val="16"/>
              <w:snapToGrid w:val="0"/>
              <w:ind w:firstLine="0" w:firstLineChars="0"/>
              <w:jc w:val="left"/>
              <w:rPr>
                <w:rFonts w:hint="eastAsia" w:ascii="仿宋_GB2312" w:hAnsi="仿宋_GB2312" w:eastAsia="仿宋_GB2312" w:cs="仿宋_GB2312"/>
                <w:color w:val="auto"/>
                <w:sz w:val="32"/>
                <w:szCs w:val="32"/>
                <w:highlight w:val="none"/>
                <w:lang w:bidi="ar"/>
              </w:rPr>
            </w:pPr>
          </w:p>
        </w:tc>
        <w:tc>
          <w:tcPr>
            <w:tcW w:w="1511" w:type="pct"/>
            <w:noWrap w:val="0"/>
            <w:vAlign w:val="center"/>
          </w:tcPr>
          <w:p w14:paraId="1FF68D39">
            <w:pPr>
              <w:pStyle w:val="16"/>
              <w:snapToGrid w:val="0"/>
              <w:ind w:firstLine="0" w:firstLineChars="0"/>
              <w:jc w:val="center"/>
              <w:rPr>
                <w:rFonts w:hint="eastAsia" w:ascii="仿宋_GB2312" w:hAnsi="仿宋_GB2312" w:eastAsia="仿宋_GB2312" w:cs="仿宋_GB2312"/>
                <w:color w:val="auto"/>
                <w:sz w:val="32"/>
                <w:szCs w:val="32"/>
                <w:highlight w:val="none"/>
                <w:lang w:bidi="ar"/>
              </w:rPr>
            </w:pPr>
            <w:r>
              <w:rPr>
                <w:rFonts w:hint="eastAsia" w:ascii="仿宋_GB2312" w:hAnsi="仿宋_GB2312" w:eastAsia="仿宋_GB2312" w:cs="仿宋_GB2312"/>
                <w:color w:val="auto"/>
                <w:sz w:val="32"/>
                <w:szCs w:val="32"/>
                <w:highlight w:val="none"/>
                <w:lang w:bidi="ar"/>
              </w:rPr>
              <w:t>联系电话</w:t>
            </w:r>
          </w:p>
        </w:tc>
        <w:tc>
          <w:tcPr>
            <w:tcW w:w="2908" w:type="pct"/>
            <w:noWrap w:val="0"/>
            <w:vAlign w:val="center"/>
          </w:tcPr>
          <w:p w14:paraId="0E8EE54F">
            <w:pPr>
              <w:pStyle w:val="16"/>
              <w:snapToGrid w:val="0"/>
              <w:ind w:firstLine="0" w:firstLineChars="0"/>
              <w:rPr>
                <w:rFonts w:hint="eastAsia" w:ascii="仿宋_GB2312" w:hAnsi="仿宋_GB2312" w:eastAsia="仿宋_GB2312" w:cs="仿宋_GB2312"/>
                <w:color w:val="auto"/>
                <w:sz w:val="32"/>
                <w:szCs w:val="32"/>
                <w:highlight w:val="none"/>
                <w:lang w:bidi="ar"/>
              </w:rPr>
            </w:pPr>
          </w:p>
        </w:tc>
      </w:tr>
      <w:tr w14:paraId="4A017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0" w:type="pct"/>
            <w:vMerge w:val="continue"/>
            <w:noWrap w:val="0"/>
            <w:vAlign w:val="center"/>
          </w:tcPr>
          <w:p w14:paraId="395F9369">
            <w:pPr>
              <w:pStyle w:val="16"/>
              <w:snapToGrid w:val="0"/>
              <w:ind w:firstLine="0" w:firstLineChars="0"/>
              <w:jc w:val="left"/>
              <w:rPr>
                <w:rFonts w:hint="eastAsia" w:ascii="仿宋_GB2312" w:hAnsi="仿宋_GB2312" w:eastAsia="仿宋_GB2312" w:cs="仿宋_GB2312"/>
                <w:color w:val="auto"/>
                <w:sz w:val="32"/>
                <w:szCs w:val="32"/>
                <w:highlight w:val="none"/>
                <w:lang w:bidi="ar"/>
              </w:rPr>
            </w:pPr>
          </w:p>
        </w:tc>
        <w:tc>
          <w:tcPr>
            <w:tcW w:w="1511" w:type="pct"/>
            <w:noWrap w:val="0"/>
            <w:vAlign w:val="center"/>
          </w:tcPr>
          <w:p w14:paraId="2B346595">
            <w:pPr>
              <w:pStyle w:val="16"/>
              <w:snapToGrid w:val="0"/>
              <w:ind w:firstLine="0" w:firstLineChars="0"/>
              <w:jc w:val="center"/>
              <w:rPr>
                <w:rFonts w:hint="eastAsia" w:ascii="仿宋_GB2312" w:hAnsi="仿宋_GB2312" w:eastAsia="仿宋_GB2312" w:cs="仿宋_GB2312"/>
                <w:color w:val="auto"/>
                <w:sz w:val="32"/>
                <w:szCs w:val="32"/>
                <w:highlight w:val="none"/>
                <w:lang w:bidi="ar"/>
              </w:rPr>
            </w:pPr>
            <w:r>
              <w:rPr>
                <w:rFonts w:hint="eastAsia" w:ascii="仿宋_GB2312" w:hAnsi="仿宋_GB2312" w:eastAsia="仿宋_GB2312" w:cs="仿宋_GB2312"/>
                <w:color w:val="auto"/>
                <w:sz w:val="32"/>
                <w:szCs w:val="32"/>
                <w:highlight w:val="none"/>
                <w:lang w:bidi="ar"/>
              </w:rPr>
              <w:t>电子信箱</w:t>
            </w:r>
          </w:p>
        </w:tc>
        <w:tc>
          <w:tcPr>
            <w:tcW w:w="2908" w:type="pct"/>
            <w:noWrap w:val="0"/>
            <w:vAlign w:val="center"/>
          </w:tcPr>
          <w:p w14:paraId="3D09375C">
            <w:pPr>
              <w:pStyle w:val="16"/>
              <w:snapToGrid w:val="0"/>
              <w:ind w:firstLine="0" w:firstLineChars="0"/>
              <w:rPr>
                <w:rFonts w:hint="eastAsia" w:ascii="仿宋_GB2312" w:hAnsi="仿宋_GB2312" w:eastAsia="仿宋_GB2312" w:cs="仿宋_GB2312"/>
                <w:color w:val="auto"/>
                <w:sz w:val="32"/>
                <w:szCs w:val="32"/>
                <w:highlight w:val="none"/>
                <w:lang w:bidi="ar"/>
              </w:rPr>
            </w:pPr>
          </w:p>
        </w:tc>
      </w:tr>
      <w:tr w14:paraId="5BAEF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0" w:type="pct"/>
            <w:vMerge w:val="continue"/>
            <w:noWrap w:val="0"/>
            <w:vAlign w:val="center"/>
          </w:tcPr>
          <w:p w14:paraId="3866EBA0">
            <w:pPr>
              <w:pStyle w:val="16"/>
              <w:snapToGrid w:val="0"/>
              <w:ind w:firstLine="0" w:firstLineChars="0"/>
              <w:rPr>
                <w:rFonts w:hint="eastAsia" w:ascii="仿宋_GB2312" w:hAnsi="仿宋_GB2312" w:eastAsia="仿宋_GB2312" w:cs="仿宋_GB2312"/>
                <w:color w:val="auto"/>
                <w:sz w:val="32"/>
                <w:szCs w:val="32"/>
                <w:highlight w:val="none"/>
              </w:rPr>
            </w:pPr>
          </w:p>
        </w:tc>
        <w:tc>
          <w:tcPr>
            <w:tcW w:w="1511" w:type="pct"/>
            <w:noWrap w:val="0"/>
            <w:vAlign w:val="center"/>
          </w:tcPr>
          <w:p w14:paraId="0118949E">
            <w:pPr>
              <w:pStyle w:val="16"/>
              <w:snapToGrid w:val="0"/>
              <w:ind w:firstLine="0" w:firstLineChars="0"/>
              <w:jc w:val="center"/>
              <w:rPr>
                <w:rFonts w:hint="eastAsia" w:ascii="仿宋_GB2312" w:hAnsi="仿宋_GB2312" w:eastAsia="仿宋_GB2312" w:cs="仿宋_GB2312"/>
                <w:color w:val="auto"/>
                <w:sz w:val="32"/>
                <w:szCs w:val="32"/>
                <w:highlight w:val="none"/>
                <w:lang w:bidi="ar"/>
              </w:rPr>
            </w:pPr>
            <w:r>
              <w:rPr>
                <w:rFonts w:hint="eastAsia" w:ascii="仿宋_GB2312" w:hAnsi="仿宋_GB2312" w:eastAsia="仿宋_GB2312" w:cs="仿宋_GB2312"/>
                <w:color w:val="auto"/>
                <w:sz w:val="32"/>
                <w:szCs w:val="32"/>
                <w:highlight w:val="none"/>
                <w:lang w:bidi="ar"/>
              </w:rPr>
              <w:t>地址</w:t>
            </w:r>
          </w:p>
        </w:tc>
        <w:tc>
          <w:tcPr>
            <w:tcW w:w="2908" w:type="pct"/>
            <w:noWrap w:val="0"/>
            <w:vAlign w:val="center"/>
          </w:tcPr>
          <w:p w14:paraId="34828FAA">
            <w:pPr>
              <w:pStyle w:val="16"/>
              <w:snapToGrid w:val="0"/>
              <w:ind w:firstLine="0" w:firstLineChars="0"/>
              <w:rPr>
                <w:rFonts w:hint="eastAsia" w:ascii="仿宋_GB2312" w:hAnsi="仿宋_GB2312" w:eastAsia="仿宋_GB2312" w:cs="仿宋_GB2312"/>
                <w:color w:val="auto"/>
                <w:sz w:val="32"/>
                <w:szCs w:val="32"/>
                <w:highlight w:val="none"/>
                <w:lang w:bidi="ar"/>
              </w:rPr>
            </w:pPr>
          </w:p>
        </w:tc>
      </w:tr>
      <w:tr w14:paraId="53D0A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0" w:type="pct"/>
            <w:vMerge w:val="restart"/>
            <w:noWrap w:val="0"/>
            <w:textDirection w:val="tbRlV"/>
            <w:vAlign w:val="center"/>
          </w:tcPr>
          <w:p w14:paraId="552742E7">
            <w:pPr>
              <w:pStyle w:val="16"/>
              <w:snapToGrid w:val="0"/>
              <w:ind w:left="113" w:right="113" w:firstLine="0" w:firstLineChars="0"/>
              <w:jc w:val="center"/>
              <w:rPr>
                <w:rFonts w:hint="eastAsia" w:ascii="仿宋_GB2312" w:hAnsi="仿宋_GB2312" w:eastAsia="仿宋_GB2312" w:cs="仿宋_GB2312"/>
                <w:color w:val="auto"/>
                <w:sz w:val="32"/>
                <w:szCs w:val="32"/>
                <w:highlight w:val="none"/>
                <w:lang w:bidi="ar"/>
              </w:rPr>
            </w:pPr>
            <w:r>
              <w:rPr>
                <w:rFonts w:hint="eastAsia" w:ascii="仿宋_GB2312" w:hAnsi="仿宋_GB2312" w:eastAsia="仿宋_GB2312" w:cs="仿宋_GB2312"/>
                <w:color w:val="auto"/>
                <w:sz w:val="32"/>
                <w:szCs w:val="32"/>
                <w:highlight w:val="none"/>
                <w:lang w:bidi="ar"/>
              </w:rPr>
              <w:t>设计人</w:t>
            </w:r>
          </w:p>
        </w:tc>
        <w:tc>
          <w:tcPr>
            <w:tcW w:w="1511" w:type="pct"/>
            <w:noWrap w:val="0"/>
            <w:vAlign w:val="center"/>
          </w:tcPr>
          <w:p w14:paraId="1F9AC3B0">
            <w:pPr>
              <w:pStyle w:val="16"/>
              <w:snapToGrid w:val="0"/>
              <w:ind w:firstLine="0" w:firstLineChars="0"/>
              <w:jc w:val="center"/>
              <w:rPr>
                <w:rFonts w:hint="eastAsia" w:ascii="仿宋_GB2312" w:hAnsi="仿宋_GB2312" w:eastAsia="仿宋_GB2312" w:cs="仿宋_GB2312"/>
                <w:color w:val="auto"/>
                <w:sz w:val="32"/>
                <w:szCs w:val="32"/>
                <w:highlight w:val="none"/>
                <w:lang w:bidi="ar"/>
              </w:rPr>
            </w:pPr>
            <w:r>
              <w:rPr>
                <w:rFonts w:hint="eastAsia" w:ascii="仿宋_GB2312" w:hAnsi="仿宋_GB2312" w:eastAsia="仿宋_GB2312" w:cs="仿宋_GB2312"/>
                <w:color w:val="auto"/>
                <w:sz w:val="32"/>
                <w:szCs w:val="32"/>
                <w:highlight w:val="none"/>
                <w:lang w:bidi="ar"/>
              </w:rPr>
              <w:t>名称</w:t>
            </w:r>
          </w:p>
        </w:tc>
        <w:tc>
          <w:tcPr>
            <w:tcW w:w="2908" w:type="pct"/>
            <w:noWrap w:val="0"/>
            <w:vAlign w:val="center"/>
          </w:tcPr>
          <w:p w14:paraId="46954904">
            <w:pPr>
              <w:pStyle w:val="16"/>
              <w:snapToGrid w:val="0"/>
              <w:ind w:firstLine="0" w:firstLineChars="0"/>
              <w:rPr>
                <w:rFonts w:hint="eastAsia" w:ascii="仿宋_GB2312" w:hAnsi="仿宋_GB2312" w:eastAsia="仿宋_GB2312" w:cs="仿宋_GB2312"/>
                <w:color w:val="auto"/>
                <w:sz w:val="32"/>
                <w:szCs w:val="32"/>
                <w:highlight w:val="none"/>
                <w:lang w:bidi="ar"/>
              </w:rPr>
            </w:pPr>
          </w:p>
        </w:tc>
      </w:tr>
      <w:tr w14:paraId="61F81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0" w:type="pct"/>
            <w:vMerge w:val="continue"/>
            <w:noWrap w:val="0"/>
            <w:vAlign w:val="center"/>
          </w:tcPr>
          <w:p w14:paraId="2AE3D3FD">
            <w:pPr>
              <w:pStyle w:val="16"/>
              <w:snapToGrid w:val="0"/>
              <w:ind w:firstLine="0" w:firstLineChars="0"/>
              <w:jc w:val="left"/>
              <w:rPr>
                <w:rFonts w:hint="eastAsia" w:ascii="仿宋_GB2312" w:hAnsi="仿宋_GB2312" w:eastAsia="仿宋_GB2312" w:cs="仿宋_GB2312"/>
                <w:color w:val="auto"/>
                <w:sz w:val="32"/>
                <w:szCs w:val="32"/>
                <w:highlight w:val="none"/>
                <w:lang w:bidi="ar"/>
              </w:rPr>
            </w:pPr>
          </w:p>
        </w:tc>
        <w:tc>
          <w:tcPr>
            <w:tcW w:w="1511" w:type="pct"/>
            <w:noWrap w:val="0"/>
            <w:vAlign w:val="center"/>
          </w:tcPr>
          <w:p w14:paraId="34C98AAC">
            <w:pPr>
              <w:pStyle w:val="16"/>
              <w:snapToGrid w:val="0"/>
              <w:ind w:firstLine="0" w:firstLineChars="0"/>
              <w:jc w:val="center"/>
              <w:rPr>
                <w:rFonts w:hint="eastAsia" w:ascii="仿宋_GB2312" w:hAnsi="仿宋_GB2312" w:eastAsia="仿宋_GB2312" w:cs="仿宋_GB2312"/>
                <w:color w:val="auto"/>
                <w:sz w:val="32"/>
                <w:szCs w:val="32"/>
                <w:highlight w:val="none"/>
                <w:lang w:bidi="ar"/>
              </w:rPr>
            </w:pPr>
            <w:r>
              <w:rPr>
                <w:rFonts w:hint="eastAsia" w:ascii="仿宋_GB2312" w:hAnsi="仿宋_GB2312" w:eastAsia="仿宋_GB2312" w:cs="仿宋_GB2312"/>
                <w:color w:val="auto"/>
                <w:sz w:val="32"/>
                <w:szCs w:val="32"/>
                <w:highlight w:val="none"/>
                <w:lang w:bidi="ar"/>
              </w:rPr>
              <w:t>资质类别和等级</w:t>
            </w:r>
          </w:p>
        </w:tc>
        <w:tc>
          <w:tcPr>
            <w:tcW w:w="2908" w:type="pct"/>
            <w:noWrap w:val="0"/>
            <w:vAlign w:val="center"/>
          </w:tcPr>
          <w:p w14:paraId="00994C22">
            <w:pPr>
              <w:pStyle w:val="16"/>
              <w:snapToGrid w:val="0"/>
              <w:ind w:firstLine="0" w:firstLineChars="0"/>
              <w:rPr>
                <w:rFonts w:hint="eastAsia" w:ascii="仿宋_GB2312" w:hAnsi="仿宋_GB2312" w:eastAsia="仿宋_GB2312" w:cs="仿宋_GB2312"/>
                <w:color w:val="auto"/>
                <w:sz w:val="32"/>
                <w:szCs w:val="32"/>
                <w:highlight w:val="none"/>
                <w:lang w:bidi="ar"/>
              </w:rPr>
            </w:pPr>
          </w:p>
        </w:tc>
      </w:tr>
      <w:tr w14:paraId="467E1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0" w:type="pct"/>
            <w:vMerge w:val="continue"/>
            <w:noWrap w:val="0"/>
            <w:vAlign w:val="center"/>
          </w:tcPr>
          <w:p w14:paraId="7A9C1BCF">
            <w:pPr>
              <w:pStyle w:val="16"/>
              <w:snapToGrid w:val="0"/>
              <w:ind w:firstLine="0" w:firstLineChars="0"/>
              <w:jc w:val="left"/>
              <w:rPr>
                <w:rFonts w:hint="eastAsia" w:ascii="仿宋_GB2312" w:hAnsi="仿宋_GB2312" w:eastAsia="仿宋_GB2312" w:cs="仿宋_GB2312"/>
                <w:color w:val="auto"/>
                <w:sz w:val="32"/>
                <w:szCs w:val="32"/>
                <w:highlight w:val="none"/>
                <w:lang w:bidi="ar"/>
              </w:rPr>
            </w:pPr>
          </w:p>
        </w:tc>
        <w:tc>
          <w:tcPr>
            <w:tcW w:w="1511" w:type="pct"/>
            <w:noWrap w:val="0"/>
            <w:vAlign w:val="center"/>
          </w:tcPr>
          <w:p w14:paraId="73B84A81">
            <w:pPr>
              <w:pStyle w:val="16"/>
              <w:snapToGrid w:val="0"/>
              <w:ind w:firstLine="0" w:firstLineChars="0"/>
              <w:jc w:val="center"/>
              <w:rPr>
                <w:rFonts w:hint="eastAsia" w:ascii="仿宋_GB2312" w:hAnsi="仿宋_GB2312" w:eastAsia="仿宋_GB2312" w:cs="仿宋_GB2312"/>
                <w:color w:val="auto"/>
                <w:sz w:val="32"/>
                <w:szCs w:val="32"/>
                <w:highlight w:val="none"/>
                <w:lang w:bidi="ar"/>
              </w:rPr>
            </w:pPr>
            <w:r>
              <w:rPr>
                <w:rFonts w:hint="eastAsia" w:ascii="仿宋_GB2312" w:hAnsi="仿宋_GB2312" w:eastAsia="仿宋_GB2312" w:cs="仿宋_GB2312"/>
                <w:color w:val="auto"/>
                <w:sz w:val="32"/>
                <w:szCs w:val="32"/>
                <w:highlight w:val="none"/>
                <w:lang w:bidi="ar"/>
              </w:rPr>
              <w:t>联系电话</w:t>
            </w:r>
          </w:p>
        </w:tc>
        <w:tc>
          <w:tcPr>
            <w:tcW w:w="2908" w:type="pct"/>
            <w:noWrap w:val="0"/>
            <w:vAlign w:val="center"/>
          </w:tcPr>
          <w:p w14:paraId="4EAC11DB">
            <w:pPr>
              <w:pStyle w:val="16"/>
              <w:snapToGrid w:val="0"/>
              <w:ind w:firstLine="0" w:firstLineChars="0"/>
              <w:rPr>
                <w:rFonts w:hint="eastAsia" w:ascii="仿宋_GB2312" w:hAnsi="仿宋_GB2312" w:eastAsia="仿宋_GB2312" w:cs="仿宋_GB2312"/>
                <w:color w:val="auto"/>
                <w:sz w:val="32"/>
                <w:szCs w:val="32"/>
                <w:highlight w:val="none"/>
                <w:lang w:bidi="ar"/>
              </w:rPr>
            </w:pPr>
          </w:p>
        </w:tc>
      </w:tr>
      <w:tr w14:paraId="329A6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0" w:type="pct"/>
            <w:vMerge w:val="continue"/>
            <w:noWrap w:val="0"/>
            <w:vAlign w:val="center"/>
          </w:tcPr>
          <w:p w14:paraId="58D9C3F5">
            <w:pPr>
              <w:pStyle w:val="16"/>
              <w:snapToGrid w:val="0"/>
              <w:ind w:firstLine="0" w:firstLineChars="0"/>
              <w:jc w:val="left"/>
              <w:rPr>
                <w:rFonts w:hint="eastAsia" w:ascii="仿宋_GB2312" w:hAnsi="仿宋_GB2312" w:eastAsia="仿宋_GB2312" w:cs="仿宋_GB2312"/>
                <w:color w:val="auto"/>
                <w:sz w:val="32"/>
                <w:szCs w:val="32"/>
                <w:highlight w:val="none"/>
                <w:lang w:bidi="ar"/>
              </w:rPr>
            </w:pPr>
          </w:p>
        </w:tc>
        <w:tc>
          <w:tcPr>
            <w:tcW w:w="1511" w:type="pct"/>
            <w:noWrap w:val="0"/>
            <w:vAlign w:val="center"/>
          </w:tcPr>
          <w:p w14:paraId="68F3D965">
            <w:pPr>
              <w:pStyle w:val="16"/>
              <w:snapToGrid w:val="0"/>
              <w:ind w:firstLine="0" w:firstLineChars="0"/>
              <w:jc w:val="center"/>
              <w:rPr>
                <w:rFonts w:hint="eastAsia" w:ascii="仿宋_GB2312" w:hAnsi="仿宋_GB2312" w:eastAsia="仿宋_GB2312" w:cs="仿宋_GB2312"/>
                <w:color w:val="auto"/>
                <w:sz w:val="32"/>
                <w:szCs w:val="32"/>
                <w:highlight w:val="none"/>
                <w:lang w:bidi="ar"/>
              </w:rPr>
            </w:pPr>
            <w:r>
              <w:rPr>
                <w:rFonts w:hint="eastAsia" w:ascii="仿宋_GB2312" w:hAnsi="仿宋_GB2312" w:eastAsia="仿宋_GB2312" w:cs="仿宋_GB2312"/>
                <w:color w:val="auto"/>
                <w:sz w:val="32"/>
                <w:szCs w:val="32"/>
                <w:highlight w:val="none"/>
                <w:lang w:bidi="ar"/>
              </w:rPr>
              <w:t>电子信箱</w:t>
            </w:r>
          </w:p>
        </w:tc>
        <w:tc>
          <w:tcPr>
            <w:tcW w:w="2908" w:type="pct"/>
            <w:noWrap w:val="0"/>
            <w:vAlign w:val="center"/>
          </w:tcPr>
          <w:p w14:paraId="00F2E7F8">
            <w:pPr>
              <w:pStyle w:val="16"/>
              <w:snapToGrid w:val="0"/>
              <w:ind w:firstLine="0" w:firstLineChars="0"/>
              <w:rPr>
                <w:rFonts w:hint="eastAsia" w:ascii="仿宋_GB2312" w:hAnsi="仿宋_GB2312" w:eastAsia="仿宋_GB2312" w:cs="仿宋_GB2312"/>
                <w:color w:val="auto"/>
                <w:sz w:val="32"/>
                <w:szCs w:val="32"/>
                <w:highlight w:val="none"/>
                <w:lang w:bidi="ar"/>
              </w:rPr>
            </w:pPr>
          </w:p>
        </w:tc>
      </w:tr>
      <w:tr w14:paraId="4AAE5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0" w:type="pct"/>
            <w:vMerge w:val="continue"/>
            <w:noWrap w:val="0"/>
            <w:vAlign w:val="center"/>
          </w:tcPr>
          <w:p w14:paraId="391B94BF">
            <w:pPr>
              <w:pStyle w:val="16"/>
              <w:snapToGrid w:val="0"/>
              <w:ind w:firstLine="0" w:firstLineChars="0"/>
              <w:jc w:val="left"/>
              <w:rPr>
                <w:rFonts w:hint="eastAsia" w:ascii="仿宋_GB2312" w:hAnsi="仿宋_GB2312" w:eastAsia="仿宋_GB2312" w:cs="仿宋_GB2312"/>
                <w:color w:val="auto"/>
                <w:sz w:val="32"/>
                <w:szCs w:val="32"/>
                <w:highlight w:val="none"/>
                <w:lang w:bidi="ar"/>
              </w:rPr>
            </w:pPr>
          </w:p>
        </w:tc>
        <w:tc>
          <w:tcPr>
            <w:tcW w:w="1511" w:type="pct"/>
            <w:noWrap w:val="0"/>
            <w:vAlign w:val="center"/>
          </w:tcPr>
          <w:p w14:paraId="4332BA81">
            <w:pPr>
              <w:pStyle w:val="16"/>
              <w:snapToGrid w:val="0"/>
              <w:ind w:firstLine="0" w:firstLineChars="0"/>
              <w:jc w:val="center"/>
              <w:rPr>
                <w:rFonts w:hint="eastAsia" w:ascii="仿宋_GB2312" w:hAnsi="仿宋_GB2312" w:eastAsia="仿宋_GB2312" w:cs="仿宋_GB2312"/>
                <w:color w:val="auto"/>
                <w:sz w:val="32"/>
                <w:szCs w:val="32"/>
                <w:highlight w:val="none"/>
                <w:lang w:bidi="ar"/>
              </w:rPr>
            </w:pPr>
            <w:r>
              <w:rPr>
                <w:rFonts w:hint="eastAsia" w:ascii="仿宋_GB2312" w:hAnsi="仿宋_GB2312" w:eastAsia="仿宋_GB2312" w:cs="仿宋_GB2312"/>
                <w:color w:val="auto"/>
                <w:sz w:val="32"/>
                <w:szCs w:val="32"/>
                <w:highlight w:val="none"/>
                <w:lang w:bidi="ar"/>
              </w:rPr>
              <w:t>地址</w:t>
            </w:r>
          </w:p>
        </w:tc>
        <w:tc>
          <w:tcPr>
            <w:tcW w:w="2908" w:type="pct"/>
            <w:noWrap w:val="0"/>
            <w:vAlign w:val="center"/>
          </w:tcPr>
          <w:p w14:paraId="69515038">
            <w:pPr>
              <w:pStyle w:val="16"/>
              <w:snapToGrid w:val="0"/>
              <w:ind w:firstLine="0" w:firstLineChars="0"/>
              <w:rPr>
                <w:rFonts w:hint="eastAsia" w:ascii="仿宋_GB2312" w:hAnsi="仿宋_GB2312" w:eastAsia="仿宋_GB2312" w:cs="仿宋_GB2312"/>
                <w:color w:val="auto"/>
                <w:sz w:val="32"/>
                <w:szCs w:val="32"/>
                <w:highlight w:val="none"/>
                <w:lang w:bidi="ar"/>
              </w:rPr>
            </w:pPr>
          </w:p>
        </w:tc>
      </w:tr>
    </w:tbl>
    <w:p w14:paraId="42ECBD6D">
      <w:pPr>
        <w:pStyle w:val="16"/>
        <w:snapToGrid w:val="0"/>
        <w:ind w:firstLine="0" w:firstLineChars="0"/>
        <w:rPr>
          <w:rFonts w:hint="eastAsia" w:ascii="仿宋_GB2312" w:hAnsi="仿宋_GB2312" w:eastAsia="仿宋_GB2312" w:cs="仿宋_GB2312"/>
          <w:b/>
          <w:bCs/>
          <w:color w:val="auto"/>
          <w:sz w:val="32"/>
          <w:szCs w:val="32"/>
          <w:highlight w:val="none"/>
        </w:rPr>
      </w:pPr>
    </w:p>
    <w:p w14:paraId="3F117998">
      <w:pPr>
        <w:pStyle w:val="16"/>
        <w:snapToGrid w:val="0"/>
        <w:ind w:firstLine="0" w:firstLineChars="0"/>
        <w:rPr>
          <w:rFonts w:hint="eastAsia" w:ascii="仿宋_GB2312" w:hAnsi="仿宋_GB2312" w:eastAsia="仿宋_GB2312" w:cs="仿宋_GB2312"/>
          <w:b/>
          <w:bCs/>
          <w:color w:val="auto"/>
          <w:sz w:val="32"/>
          <w:szCs w:val="32"/>
          <w:highlight w:val="none"/>
        </w:rPr>
        <w:sectPr>
          <w:type w:val="continuous"/>
          <w:pgSz w:w="11906" w:h="16838"/>
          <w:pgMar w:top="1440" w:right="1800" w:bottom="1440" w:left="1800" w:header="851" w:footer="992" w:gutter="0"/>
          <w:pgNumType w:fmt="decimal"/>
          <w:cols w:space="720" w:num="1"/>
          <w:titlePg/>
          <w:docGrid w:type="lines" w:linePitch="312" w:charSpace="0"/>
        </w:sectPr>
      </w:pPr>
    </w:p>
    <w:p w14:paraId="111A93F6">
      <w:pPr>
        <w:pStyle w:val="2"/>
        <w:snapToGrid w:val="0"/>
        <w:spacing w:before="0" w:after="0" w:line="360" w:lineRule="auto"/>
        <w:rPr>
          <w:rFonts w:hint="eastAsia" w:ascii="仿宋_GB2312" w:hAnsi="仿宋_GB2312" w:eastAsia="仿宋_GB2312" w:cs="仿宋_GB2312"/>
          <w:b w:val="0"/>
          <w:bCs w:val="0"/>
          <w:color w:val="auto"/>
          <w:sz w:val="32"/>
          <w:szCs w:val="32"/>
          <w:highlight w:val="none"/>
        </w:rPr>
      </w:pPr>
      <w:bookmarkStart w:id="3002" w:name="_Toc21851"/>
      <w:bookmarkStart w:id="3003" w:name="_Toc19925"/>
      <w:bookmarkStart w:id="3004" w:name="_Toc28142"/>
      <w:bookmarkStart w:id="3005" w:name="_Toc5255"/>
      <w:bookmarkStart w:id="3006" w:name="_Toc9473"/>
      <w:bookmarkStart w:id="3007" w:name="_Toc16974"/>
      <w:bookmarkStart w:id="3008" w:name="_Toc29453"/>
      <w:bookmarkStart w:id="3009" w:name="_Toc7821"/>
      <w:r>
        <w:rPr>
          <w:rFonts w:hint="eastAsia" w:ascii="黑体" w:hAnsi="黑体" w:eastAsia="黑体" w:cs="黑体"/>
          <w:b w:val="0"/>
          <w:bCs w:val="0"/>
          <w:color w:val="auto"/>
          <w:sz w:val="32"/>
          <w:szCs w:val="32"/>
          <w:highlight w:val="none"/>
        </w:rPr>
        <w:t>附件1</w:t>
      </w:r>
      <w:r>
        <w:rPr>
          <w:rFonts w:hint="eastAsia" w:ascii="黑体" w:hAnsi="黑体" w:eastAsia="黑体" w:cs="黑体"/>
          <w:b w:val="0"/>
          <w:bCs w:val="0"/>
          <w:color w:val="auto"/>
          <w:sz w:val="32"/>
          <w:szCs w:val="32"/>
          <w:highlight w:val="none"/>
          <w:lang w:val="en-US" w:eastAsia="zh-CN"/>
        </w:rPr>
        <w:t>5</w:t>
      </w:r>
      <w:bookmarkEnd w:id="3002"/>
      <w:bookmarkEnd w:id="3003"/>
      <w:bookmarkEnd w:id="3004"/>
      <w:bookmarkEnd w:id="3005"/>
      <w:bookmarkEnd w:id="3006"/>
      <w:bookmarkEnd w:id="3007"/>
      <w:bookmarkEnd w:id="3008"/>
      <w:bookmarkEnd w:id="3009"/>
    </w:p>
    <w:p w14:paraId="0766D622">
      <w:pPr>
        <w:snapToGrid w:val="0"/>
        <w:spacing w:line="360" w:lineRule="auto"/>
        <w:jc w:val="center"/>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发包人、承包人与监理人相关人员信息表</w:t>
      </w:r>
    </w:p>
    <w:tbl>
      <w:tblPr>
        <w:tblStyle w:val="13"/>
        <w:tblW w:w="139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0"/>
        <w:gridCol w:w="2630"/>
        <w:gridCol w:w="3127"/>
        <w:gridCol w:w="3640"/>
        <w:gridCol w:w="3640"/>
      </w:tblGrid>
      <w:tr w14:paraId="0DAA1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880" w:type="dxa"/>
            <w:noWrap w:val="0"/>
            <w:vAlign w:val="center"/>
          </w:tcPr>
          <w:p w14:paraId="44EEAB35">
            <w:pPr>
              <w:pStyle w:val="16"/>
              <w:snapToGrid w:val="0"/>
              <w:spacing w:line="240" w:lineRule="auto"/>
              <w:ind w:firstLine="0" w:firstLineChars="0"/>
              <w:jc w:val="center"/>
              <w:rPr>
                <w:rFonts w:hint="eastAsia" w:ascii="仿宋_GB2312" w:hAnsi="仿宋_GB2312" w:eastAsia="仿宋_GB2312" w:cs="仿宋_GB2312"/>
                <w:b/>
                <w:bCs/>
                <w:color w:val="auto"/>
                <w:sz w:val="32"/>
                <w:szCs w:val="32"/>
                <w:highlight w:val="none"/>
                <w:lang w:bidi="ar"/>
              </w:rPr>
            </w:pPr>
          </w:p>
        </w:tc>
        <w:tc>
          <w:tcPr>
            <w:tcW w:w="2630" w:type="dxa"/>
            <w:noWrap w:val="0"/>
            <w:vAlign w:val="center"/>
          </w:tcPr>
          <w:p w14:paraId="1056E12E">
            <w:pPr>
              <w:pStyle w:val="16"/>
              <w:snapToGrid w:val="0"/>
              <w:spacing w:line="240" w:lineRule="auto"/>
              <w:ind w:firstLine="0" w:firstLineChars="0"/>
              <w:jc w:val="center"/>
              <w:rPr>
                <w:rFonts w:hint="eastAsia" w:ascii="仿宋_GB2312" w:hAnsi="仿宋_GB2312" w:eastAsia="仿宋_GB2312" w:cs="仿宋_GB2312"/>
                <w:b/>
                <w:bCs/>
                <w:color w:val="auto"/>
                <w:sz w:val="32"/>
                <w:szCs w:val="32"/>
                <w:highlight w:val="none"/>
                <w:lang w:bidi="ar"/>
              </w:rPr>
            </w:pPr>
          </w:p>
        </w:tc>
        <w:tc>
          <w:tcPr>
            <w:tcW w:w="3127" w:type="dxa"/>
            <w:noWrap w:val="0"/>
            <w:vAlign w:val="center"/>
          </w:tcPr>
          <w:p w14:paraId="53A40633">
            <w:pPr>
              <w:pStyle w:val="16"/>
              <w:snapToGrid w:val="0"/>
              <w:spacing w:line="240" w:lineRule="auto"/>
              <w:ind w:firstLine="0" w:firstLineChars="0"/>
              <w:jc w:val="center"/>
              <w:rPr>
                <w:rFonts w:hint="eastAsia" w:ascii="仿宋_GB2312" w:hAnsi="仿宋_GB2312" w:eastAsia="仿宋_GB2312" w:cs="仿宋_GB2312"/>
                <w:b/>
                <w:bCs/>
                <w:color w:val="auto"/>
                <w:sz w:val="32"/>
                <w:szCs w:val="32"/>
                <w:highlight w:val="none"/>
                <w:lang w:bidi="ar"/>
              </w:rPr>
            </w:pPr>
            <w:r>
              <w:rPr>
                <w:rFonts w:hint="eastAsia" w:ascii="仿宋_GB2312" w:hAnsi="仿宋_GB2312" w:eastAsia="仿宋_GB2312" w:cs="仿宋_GB2312"/>
                <w:b/>
                <w:bCs/>
                <w:color w:val="auto"/>
                <w:sz w:val="32"/>
                <w:szCs w:val="32"/>
                <w:highlight w:val="none"/>
                <w:lang w:bidi="ar"/>
              </w:rPr>
              <w:t>发包人</w:t>
            </w:r>
          </w:p>
        </w:tc>
        <w:tc>
          <w:tcPr>
            <w:tcW w:w="3640" w:type="dxa"/>
            <w:noWrap w:val="0"/>
            <w:vAlign w:val="center"/>
          </w:tcPr>
          <w:p w14:paraId="07272CAC">
            <w:pPr>
              <w:pStyle w:val="16"/>
              <w:snapToGrid w:val="0"/>
              <w:spacing w:line="240" w:lineRule="auto"/>
              <w:ind w:firstLine="0" w:firstLineChars="0"/>
              <w:jc w:val="center"/>
              <w:rPr>
                <w:rFonts w:hint="eastAsia" w:ascii="仿宋_GB2312" w:hAnsi="仿宋_GB2312" w:eastAsia="仿宋_GB2312" w:cs="仿宋_GB2312"/>
                <w:b/>
                <w:bCs/>
                <w:color w:val="auto"/>
                <w:sz w:val="32"/>
                <w:szCs w:val="32"/>
                <w:highlight w:val="none"/>
                <w:lang w:bidi="ar"/>
              </w:rPr>
            </w:pPr>
            <w:r>
              <w:rPr>
                <w:rFonts w:hint="eastAsia" w:ascii="仿宋_GB2312" w:hAnsi="仿宋_GB2312" w:eastAsia="仿宋_GB2312" w:cs="仿宋_GB2312"/>
                <w:b/>
                <w:bCs/>
                <w:color w:val="auto"/>
                <w:sz w:val="32"/>
                <w:szCs w:val="32"/>
                <w:highlight w:val="none"/>
                <w:lang w:bidi="ar"/>
              </w:rPr>
              <w:t>承包人</w:t>
            </w:r>
          </w:p>
        </w:tc>
        <w:tc>
          <w:tcPr>
            <w:tcW w:w="3640" w:type="dxa"/>
            <w:noWrap w:val="0"/>
            <w:vAlign w:val="center"/>
          </w:tcPr>
          <w:p w14:paraId="7EC11D22">
            <w:pPr>
              <w:pStyle w:val="16"/>
              <w:snapToGrid w:val="0"/>
              <w:spacing w:line="240" w:lineRule="auto"/>
              <w:ind w:firstLine="0" w:firstLineChars="0"/>
              <w:jc w:val="center"/>
              <w:rPr>
                <w:rFonts w:hint="eastAsia" w:ascii="仿宋_GB2312" w:hAnsi="仿宋_GB2312" w:eastAsia="仿宋_GB2312" w:cs="仿宋_GB2312"/>
                <w:b/>
                <w:bCs/>
                <w:color w:val="auto"/>
                <w:sz w:val="32"/>
                <w:szCs w:val="32"/>
                <w:highlight w:val="none"/>
                <w:lang w:bidi="ar"/>
              </w:rPr>
            </w:pPr>
            <w:r>
              <w:rPr>
                <w:rFonts w:hint="eastAsia" w:ascii="仿宋_GB2312" w:hAnsi="仿宋_GB2312" w:eastAsia="仿宋_GB2312" w:cs="仿宋_GB2312"/>
                <w:b/>
                <w:bCs/>
                <w:color w:val="auto"/>
                <w:sz w:val="32"/>
                <w:szCs w:val="32"/>
                <w:highlight w:val="none"/>
                <w:lang w:bidi="ar"/>
              </w:rPr>
              <w:t>监理人</w:t>
            </w:r>
          </w:p>
        </w:tc>
      </w:tr>
      <w:tr w14:paraId="0DFAC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880" w:type="dxa"/>
            <w:vMerge w:val="restart"/>
            <w:noWrap w:val="0"/>
            <w:textDirection w:val="tbRlV"/>
            <w:vAlign w:val="center"/>
          </w:tcPr>
          <w:p w14:paraId="2586721B">
            <w:pPr>
              <w:pStyle w:val="16"/>
              <w:snapToGrid w:val="0"/>
              <w:spacing w:line="240" w:lineRule="auto"/>
              <w:ind w:left="113" w:right="113" w:firstLine="0" w:firstLineChars="0"/>
              <w:jc w:val="center"/>
              <w:rPr>
                <w:rFonts w:hint="eastAsia" w:ascii="仿宋_GB2312" w:hAnsi="仿宋_GB2312" w:eastAsia="仿宋_GB2312" w:cs="仿宋_GB2312"/>
                <w:b/>
                <w:bCs/>
                <w:color w:val="auto"/>
                <w:sz w:val="32"/>
                <w:szCs w:val="32"/>
                <w:highlight w:val="none"/>
                <w:lang w:bidi="ar"/>
              </w:rPr>
            </w:pPr>
            <w:r>
              <w:rPr>
                <w:rFonts w:hint="eastAsia" w:ascii="仿宋_GB2312" w:hAnsi="仿宋_GB2312" w:eastAsia="仿宋_GB2312" w:cs="仿宋_GB2312"/>
                <w:b/>
                <w:bCs/>
                <w:color w:val="auto"/>
                <w:sz w:val="32"/>
                <w:szCs w:val="32"/>
                <w:highlight w:val="none"/>
                <w:lang w:bidi="ar"/>
              </w:rPr>
              <w:t>联系人</w:t>
            </w:r>
          </w:p>
        </w:tc>
        <w:tc>
          <w:tcPr>
            <w:tcW w:w="2630" w:type="dxa"/>
            <w:noWrap w:val="0"/>
            <w:vAlign w:val="top"/>
          </w:tcPr>
          <w:p w14:paraId="07881493">
            <w:pPr>
              <w:pStyle w:val="16"/>
              <w:snapToGrid w:val="0"/>
              <w:spacing w:line="240" w:lineRule="auto"/>
              <w:ind w:firstLine="0" w:firstLineChars="0"/>
              <w:jc w:val="center"/>
              <w:rPr>
                <w:rFonts w:hint="eastAsia" w:ascii="仿宋_GB2312" w:hAnsi="仿宋_GB2312" w:eastAsia="仿宋_GB2312" w:cs="仿宋_GB2312"/>
                <w:b/>
                <w:bCs/>
                <w:color w:val="auto"/>
                <w:sz w:val="32"/>
                <w:szCs w:val="32"/>
                <w:highlight w:val="none"/>
                <w:lang w:bidi="ar"/>
              </w:rPr>
            </w:pPr>
            <w:r>
              <w:rPr>
                <w:rFonts w:hint="eastAsia" w:ascii="仿宋_GB2312" w:hAnsi="仿宋_GB2312" w:eastAsia="仿宋_GB2312" w:cs="仿宋_GB2312"/>
                <w:b/>
                <w:bCs/>
                <w:color w:val="auto"/>
                <w:sz w:val="32"/>
                <w:szCs w:val="32"/>
                <w:highlight w:val="none"/>
                <w:lang w:bidi="ar"/>
              </w:rPr>
              <w:t>姓名</w:t>
            </w:r>
          </w:p>
        </w:tc>
        <w:tc>
          <w:tcPr>
            <w:tcW w:w="3127" w:type="dxa"/>
            <w:noWrap w:val="0"/>
            <w:vAlign w:val="center"/>
          </w:tcPr>
          <w:p w14:paraId="1C51A02D">
            <w:pPr>
              <w:pStyle w:val="16"/>
              <w:snapToGrid w:val="0"/>
              <w:spacing w:line="240" w:lineRule="auto"/>
              <w:ind w:firstLine="0" w:firstLineChars="0"/>
              <w:rPr>
                <w:rFonts w:hint="eastAsia" w:ascii="仿宋_GB2312" w:hAnsi="仿宋_GB2312" w:eastAsia="仿宋_GB2312" w:cs="仿宋_GB2312"/>
                <w:color w:val="auto"/>
                <w:sz w:val="32"/>
                <w:szCs w:val="32"/>
                <w:highlight w:val="none"/>
                <w:lang w:bidi="ar"/>
              </w:rPr>
            </w:pPr>
          </w:p>
        </w:tc>
        <w:tc>
          <w:tcPr>
            <w:tcW w:w="3640" w:type="dxa"/>
            <w:noWrap w:val="0"/>
            <w:vAlign w:val="center"/>
          </w:tcPr>
          <w:p w14:paraId="3CF5C2ED">
            <w:pPr>
              <w:pStyle w:val="16"/>
              <w:snapToGrid w:val="0"/>
              <w:spacing w:line="240" w:lineRule="auto"/>
              <w:ind w:firstLine="0" w:firstLineChars="0"/>
              <w:rPr>
                <w:rFonts w:hint="eastAsia" w:ascii="仿宋_GB2312" w:hAnsi="仿宋_GB2312" w:eastAsia="仿宋_GB2312" w:cs="仿宋_GB2312"/>
                <w:color w:val="auto"/>
                <w:sz w:val="32"/>
                <w:szCs w:val="32"/>
                <w:highlight w:val="none"/>
                <w:lang w:bidi="ar"/>
              </w:rPr>
            </w:pPr>
          </w:p>
        </w:tc>
        <w:tc>
          <w:tcPr>
            <w:tcW w:w="3640" w:type="dxa"/>
            <w:noWrap w:val="0"/>
            <w:vAlign w:val="center"/>
          </w:tcPr>
          <w:p w14:paraId="24A77094">
            <w:pPr>
              <w:pStyle w:val="16"/>
              <w:snapToGrid w:val="0"/>
              <w:spacing w:line="240" w:lineRule="auto"/>
              <w:ind w:firstLine="0" w:firstLineChars="0"/>
              <w:rPr>
                <w:rFonts w:hint="eastAsia" w:ascii="仿宋_GB2312" w:hAnsi="仿宋_GB2312" w:eastAsia="仿宋_GB2312" w:cs="仿宋_GB2312"/>
                <w:color w:val="auto"/>
                <w:sz w:val="32"/>
                <w:szCs w:val="32"/>
                <w:highlight w:val="none"/>
                <w:lang w:bidi="ar"/>
              </w:rPr>
            </w:pPr>
          </w:p>
        </w:tc>
      </w:tr>
      <w:tr w14:paraId="7A234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880" w:type="dxa"/>
            <w:vMerge w:val="continue"/>
            <w:noWrap w:val="0"/>
            <w:vAlign w:val="top"/>
          </w:tcPr>
          <w:p w14:paraId="7CDEDA19">
            <w:pPr>
              <w:pStyle w:val="16"/>
              <w:snapToGrid w:val="0"/>
              <w:spacing w:line="240" w:lineRule="auto"/>
              <w:ind w:firstLine="0" w:firstLineChars="0"/>
              <w:jc w:val="left"/>
              <w:rPr>
                <w:rFonts w:hint="eastAsia" w:ascii="仿宋_GB2312" w:hAnsi="仿宋_GB2312" w:eastAsia="仿宋_GB2312" w:cs="仿宋_GB2312"/>
                <w:b/>
                <w:bCs/>
                <w:color w:val="auto"/>
                <w:sz w:val="32"/>
                <w:szCs w:val="32"/>
                <w:highlight w:val="none"/>
                <w:lang w:bidi="ar"/>
              </w:rPr>
            </w:pPr>
          </w:p>
        </w:tc>
        <w:tc>
          <w:tcPr>
            <w:tcW w:w="2630" w:type="dxa"/>
            <w:noWrap w:val="0"/>
            <w:vAlign w:val="top"/>
          </w:tcPr>
          <w:p w14:paraId="5D17D1A3">
            <w:pPr>
              <w:pStyle w:val="16"/>
              <w:snapToGrid w:val="0"/>
              <w:spacing w:line="240" w:lineRule="auto"/>
              <w:ind w:firstLine="0" w:firstLineChars="0"/>
              <w:jc w:val="center"/>
              <w:rPr>
                <w:rFonts w:hint="eastAsia" w:ascii="仿宋_GB2312" w:hAnsi="仿宋_GB2312" w:eastAsia="仿宋_GB2312" w:cs="仿宋_GB2312"/>
                <w:b/>
                <w:bCs/>
                <w:color w:val="auto"/>
                <w:sz w:val="32"/>
                <w:szCs w:val="32"/>
                <w:highlight w:val="none"/>
                <w:lang w:bidi="ar"/>
              </w:rPr>
            </w:pPr>
            <w:r>
              <w:rPr>
                <w:rFonts w:hint="eastAsia" w:ascii="仿宋_GB2312" w:hAnsi="仿宋_GB2312" w:eastAsia="仿宋_GB2312" w:cs="仿宋_GB2312"/>
                <w:b/>
                <w:bCs/>
                <w:color w:val="auto"/>
                <w:sz w:val="32"/>
                <w:szCs w:val="32"/>
                <w:highlight w:val="none"/>
                <w:lang w:bidi="ar"/>
              </w:rPr>
              <w:t>电话</w:t>
            </w:r>
          </w:p>
        </w:tc>
        <w:tc>
          <w:tcPr>
            <w:tcW w:w="3127" w:type="dxa"/>
            <w:noWrap w:val="0"/>
            <w:vAlign w:val="center"/>
          </w:tcPr>
          <w:p w14:paraId="57D1923E">
            <w:pPr>
              <w:pStyle w:val="16"/>
              <w:snapToGrid w:val="0"/>
              <w:spacing w:line="240" w:lineRule="auto"/>
              <w:ind w:firstLine="0" w:firstLineChars="0"/>
              <w:rPr>
                <w:rFonts w:hint="eastAsia" w:ascii="仿宋_GB2312" w:hAnsi="仿宋_GB2312" w:eastAsia="仿宋_GB2312" w:cs="仿宋_GB2312"/>
                <w:color w:val="auto"/>
                <w:sz w:val="32"/>
                <w:szCs w:val="32"/>
                <w:highlight w:val="none"/>
                <w:lang w:bidi="ar"/>
              </w:rPr>
            </w:pPr>
          </w:p>
        </w:tc>
        <w:tc>
          <w:tcPr>
            <w:tcW w:w="3640" w:type="dxa"/>
            <w:noWrap w:val="0"/>
            <w:vAlign w:val="center"/>
          </w:tcPr>
          <w:p w14:paraId="4C56A0F2">
            <w:pPr>
              <w:pStyle w:val="16"/>
              <w:snapToGrid w:val="0"/>
              <w:spacing w:line="240" w:lineRule="auto"/>
              <w:ind w:firstLine="0" w:firstLineChars="0"/>
              <w:rPr>
                <w:rFonts w:hint="eastAsia" w:ascii="仿宋_GB2312" w:hAnsi="仿宋_GB2312" w:eastAsia="仿宋_GB2312" w:cs="仿宋_GB2312"/>
                <w:color w:val="auto"/>
                <w:sz w:val="32"/>
                <w:szCs w:val="32"/>
                <w:highlight w:val="none"/>
                <w:lang w:bidi="ar"/>
              </w:rPr>
            </w:pPr>
          </w:p>
        </w:tc>
        <w:tc>
          <w:tcPr>
            <w:tcW w:w="3640" w:type="dxa"/>
            <w:noWrap w:val="0"/>
            <w:vAlign w:val="center"/>
          </w:tcPr>
          <w:p w14:paraId="5E840296">
            <w:pPr>
              <w:pStyle w:val="16"/>
              <w:snapToGrid w:val="0"/>
              <w:spacing w:line="240" w:lineRule="auto"/>
              <w:ind w:firstLine="0" w:firstLineChars="0"/>
              <w:rPr>
                <w:rFonts w:hint="eastAsia" w:ascii="仿宋_GB2312" w:hAnsi="仿宋_GB2312" w:eastAsia="仿宋_GB2312" w:cs="仿宋_GB2312"/>
                <w:color w:val="auto"/>
                <w:sz w:val="32"/>
                <w:szCs w:val="32"/>
                <w:highlight w:val="none"/>
                <w:lang w:bidi="ar"/>
              </w:rPr>
            </w:pPr>
          </w:p>
        </w:tc>
      </w:tr>
      <w:tr w14:paraId="379ED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880" w:type="dxa"/>
            <w:vMerge w:val="continue"/>
            <w:noWrap w:val="0"/>
            <w:vAlign w:val="top"/>
          </w:tcPr>
          <w:p w14:paraId="54363866">
            <w:pPr>
              <w:pStyle w:val="16"/>
              <w:snapToGrid w:val="0"/>
              <w:spacing w:line="240" w:lineRule="auto"/>
              <w:ind w:firstLine="0" w:firstLineChars="0"/>
              <w:jc w:val="left"/>
              <w:rPr>
                <w:rFonts w:hint="eastAsia" w:ascii="仿宋_GB2312" w:hAnsi="仿宋_GB2312" w:eastAsia="仿宋_GB2312" w:cs="仿宋_GB2312"/>
                <w:b/>
                <w:bCs/>
                <w:color w:val="auto"/>
                <w:sz w:val="32"/>
                <w:szCs w:val="32"/>
                <w:highlight w:val="none"/>
                <w:lang w:bidi="ar"/>
              </w:rPr>
            </w:pPr>
          </w:p>
        </w:tc>
        <w:tc>
          <w:tcPr>
            <w:tcW w:w="2630" w:type="dxa"/>
            <w:noWrap w:val="0"/>
            <w:vAlign w:val="top"/>
          </w:tcPr>
          <w:p w14:paraId="1A965997">
            <w:pPr>
              <w:pStyle w:val="16"/>
              <w:snapToGrid w:val="0"/>
              <w:spacing w:line="240" w:lineRule="auto"/>
              <w:ind w:firstLine="0" w:firstLineChars="0"/>
              <w:jc w:val="center"/>
              <w:rPr>
                <w:rFonts w:hint="eastAsia" w:ascii="仿宋_GB2312" w:hAnsi="仿宋_GB2312" w:eastAsia="仿宋_GB2312" w:cs="仿宋_GB2312"/>
                <w:b/>
                <w:bCs/>
                <w:color w:val="auto"/>
                <w:sz w:val="32"/>
                <w:szCs w:val="32"/>
                <w:highlight w:val="none"/>
                <w:lang w:bidi="ar"/>
              </w:rPr>
            </w:pPr>
            <w:r>
              <w:rPr>
                <w:rFonts w:hint="eastAsia" w:ascii="仿宋_GB2312" w:hAnsi="仿宋_GB2312" w:eastAsia="仿宋_GB2312" w:cs="仿宋_GB2312"/>
                <w:b/>
                <w:bCs/>
                <w:color w:val="auto"/>
                <w:sz w:val="32"/>
                <w:szCs w:val="32"/>
                <w:highlight w:val="none"/>
                <w:lang w:bidi="ar"/>
              </w:rPr>
              <w:t>地址</w:t>
            </w:r>
          </w:p>
        </w:tc>
        <w:tc>
          <w:tcPr>
            <w:tcW w:w="3127" w:type="dxa"/>
            <w:noWrap w:val="0"/>
            <w:vAlign w:val="center"/>
          </w:tcPr>
          <w:p w14:paraId="2D766F84">
            <w:pPr>
              <w:pStyle w:val="16"/>
              <w:snapToGrid w:val="0"/>
              <w:spacing w:line="240" w:lineRule="auto"/>
              <w:ind w:firstLine="0" w:firstLineChars="0"/>
              <w:rPr>
                <w:rFonts w:hint="eastAsia" w:ascii="仿宋_GB2312" w:hAnsi="仿宋_GB2312" w:eastAsia="仿宋_GB2312" w:cs="仿宋_GB2312"/>
                <w:color w:val="auto"/>
                <w:sz w:val="32"/>
                <w:szCs w:val="32"/>
                <w:highlight w:val="none"/>
                <w:lang w:bidi="ar"/>
              </w:rPr>
            </w:pPr>
          </w:p>
        </w:tc>
        <w:tc>
          <w:tcPr>
            <w:tcW w:w="3640" w:type="dxa"/>
            <w:noWrap w:val="0"/>
            <w:vAlign w:val="center"/>
          </w:tcPr>
          <w:p w14:paraId="77A5F9C5">
            <w:pPr>
              <w:pStyle w:val="16"/>
              <w:snapToGrid w:val="0"/>
              <w:spacing w:line="240" w:lineRule="auto"/>
              <w:ind w:firstLine="0" w:firstLineChars="0"/>
              <w:rPr>
                <w:rFonts w:hint="eastAsia" w:ascii="仿宋_GB2312" w:hAnsi="仿宋_GB2312" w:eastAsia="仿宋_GB2312" w:cs="仿宋_GB2312"/>
                <w:color w:val="auto"/>
                <w:sz w:val="32"/>
                <w:szCs w:val="32"/>
                <w:highlight w:val="none"/>
                <w:lang w:bidi="ar"/>
              </w:rPr>
            </w:pPr>
          </w:p>
        </w:tc>
        <w:tc>
          <w:tcPr>
            <w:tcW w:w="3640" w:type="dxa"/>
            <w:noWrap w:val="0"/>
            <w:vAlign w:val="center"/>
          </w:tcPr>
          <w:p w14:paraId="6E0E1FAA">
            <w:pPr>
              <w:pStyle w:val="16"/>
              <w:snapToGrid w:val="0"/>
              <w:spacing w:line="240" w:lineRule="auto"/>
              <w:ind w:firstLine="0" w:firstLineChars="0"/>
              <w:rPr>
                <w:rFonts w:hint="eastAsia" w:ascii="仿宋_GB2312" w:hAnsi="仿宋_GB2312" w:eastAsia="仿宋_GB2312" w:cs="仿宋_GB2312"/>
                <w:color w:val="auto"/>
                <w:sz w:val="32"/>
                <w:szCs w:val="32"/>
                <w:highlight w:val="none"/>
                <w:lang w:bidi="ar"/>
              </w:rPr>
            </w:pPr>
          </w:p>
        </w:tc>
      </w:tr>
      <w:tr w14:paraId="719F9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880" w:type="dxa"/>
            <w:vMerge w:val="continue"/>
            <w:noWrap w:val="0"/>
            <w:vAlign w:val="top"/>
          </w:tcPr>
          <w:p w14:paraId="6510B5F1">
            <w:pPr>
              <w:pStyle w:val="16"/>
              <w:snapToGrid w:val="0"/>
              <w:spacing w:line="240" w:lineRule="auto"/>
              <w:ind w:firstLine="0" w:firstLineChars="0"/>
              <w:jc w:val="left"/>
              <w:rPr>
                <w:rFonts w:hint="eastAsia" w:ascii="仿宋_GB2312" w:hAnsi="仿宋_GB2312" w:eastAsia="仿宋_GB2312" w:cs="仿宋_GB2312"/>
                <w:b/>
                <w:bCs/>
                <w:color w:val="auto"/>
                <w:sz w:val="32"/>
                <w:szCs w:val="32"/>
                <w:highlight w:val="none"/>
                <w:lang w:bidi="ar"/>
              </w:rPr>
            </w:pPr>
          </w:p>
        </w:tc>
        <w:tc>
          <w:tcPr>
            <w:tcW w:w="2630" w:type="dxa"/>
            <w:noWrap w:val="0"/>
            <w:vAlign w:val="top"/>
          </w:tcPr>
          <w:p w14:paraId="2D242DBA">
            <w:pPr>
              <w:pStyle w:val="16"/>
              <w:snapToGrid w:val="0"/>
              <w:spacing w:line="240" w:lineRule="auto"/>
              <w:ind w:firstLine="0" w:firstLineChars="0"/>
              <w:jc w:val="center"/>
              <w:rPr>
                <w:rFonts w:hint="eastAsia" w:ascii="仿宋_GB2312" w:hAnsi="仿宋_GB2312" w:eastAsia="仿宋_GB2312" w:cs="仿宋_GB2312"/>
                <w:b/>
                <w:bCs/>
                <w:color w:val="auto"/>
                <w:sz w:val="32"/>
                <w:szCs w:val="32"/>
                <w:highlight w:val="none"/>
                <w:lang w:bidi="ar"/>
              </w:rPr>
            </w:pPr>
            <w:r>
              <w:rPr>
                <w:rFonts w:hint="eastAsia" w:ascii="仿宋_GB2312" w:hAnsi="仿宋_GB2312" w:eastAsia="仿宋_GB2312" w:cs="仿宋_GB2312"/>
                <w:b/>
                <w:bCs/>
                <w:color w:val="auto"/>
                <w:sz w:val="32"/>
                <w:szCs w:val="32"/>
                <w:highlight w:val="none"/>
                <w:lang w:bidi="ar"/>
              </w:rPr>
              <w:t>邮箱</w:t>
            </w:r>
          </w:p>
        </w:tc>
        <w:tc>
          <w:tcPr>
            <w:tcW w:w="3127" w:type="dxa"/>
            <w:noWrap w:val="0"/>
            <w:vAlign w:val="center"/>
          </w:tcPr>
          <w:p w14:paraId="4149D00C">
            <w:pPr>
              <w:pStyle w:val="16"/>
              <w:snapToGrid w:val="0"/>
              <w:spacing w:line="240" w:lineRule="auto"/>
              <w:ind w:firstLine="0" w:firstLineChars="0"/>
              <w:rPr>
                <w:rFonts w:hint="eastAsia" w:ascii="仿宋_GB2312" w:hAnsi="仿宋_GB2312" w:eastAsia="仿宋_GB2312" w:cs="仿宋_GB2312"/>
                <w:color w:val="auto"/>
                <w:sz w:val="32"/>
                <w:szCs w:val="32"/>
                <w:highlight w:val="none"/>
                <w:lang w:bidi="ar"/>
              </w:rPr>
            </w:pPr>
          </w:p>
        </w:tc>
        <w:tc>
          <w:tcPr>
            <w:tcW w:w="3640" w:type="dxa"/>
            <w:noWrap w:val="0"/>
            <w:vAlign w:val="center"/>
          </w:tcPr>
          <w:p w14:paraId="1ABC663B">
            <w:pPr>
              <w:pStyle w:val="16"/>
              <w:snapToGrid w:val="0"/>
              <w:spacing w:line="240" w:lineRule="auto"/>
              <w:ind w:firstLine="0" w:firstLineChars="0"/>
              <w:rPr>
                <w:rFonts w:hint="eastAsia" w:ascii="仿宋_GB2312" w:hAnsi="仿宋_GB2312" w:eastAsia="仿宋_GB2312" w:cs="仿宋_GB2312"/>
                <w:color w:val="auto"/>
                <w:sz w:val="32"/>
                <w:szCs w:val="32"/>
                <w:highlight w:val="none"/>
                <w:lang w:bidi="ar"/>
              </w:rPr>
            </w:pPr>
          </w:p>
        </w:tc>
        <w:tc>
          <w:tcPr>
            <w:tcW w:w="3640" w:type="dxa"/>
            <w:noWrap w:val="0"/>
            <w:vAlign w:val="center"/>
          </w:tcPr>
          <w:p w14:paraId="5843C514">
            <w:pPr>
              <w:pStyle w:val="16"/>
              <w:snapToGrid w:val="0"/>
              <w:spacing w:line="240" w:lineRule="auto"/>
              <w:ind w:firstLine="0" w:firstLineChars="0"/>
              <w:rPr>
                <w:rFonts w:hint="eastAsia" w:ascii="仿宋_GB2312" w:hAnsi="仿宋_GB2312" w:eastAsia="仿宋_GB2312" w:cs="仿宋_GB2312"/>
                <w:color w:val="auto"/>
                <w:sz w:val="32"/>
                <w:szCs w:val="32"/>
                <w:highlight w:val="none"/>
                <w:lang w:bidi="ar"/>
              </w:rPr>
            </w:pPr>
          </w:p>
        </w:tc>
      </w:tr>
      <w:tr w14:paraId="71C5C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880" w:type="dxa"/>
            <w:vMerge w:val="restart"/>
            <w:noWrap w:val="0"/>
            <w:textDirection w:val="tbRlV"/>
            <w:vAlign w:val="center"/>
          </w:tcPr>
          <w:p w14:paraId="5FF2525E">
            <w:pPr>
              <w:pStyle w:val="16"/>
              <w:snapToGrid w:val="0"/>
              <w:spacing w:line="240" w:lineRule="auto"/>
              <w:ind w:left="113" w:right="113" w:firstLine="0" w:firstLineChars="0"/>
              <w:jc w:val="center"/>
              <w:rPr>
                <w:rFonts w:hint="eastAsia" w:ascii="仿宋_GB2312" w:hAnsi="仿宋_GB2312" w:eastAsia="仿宋_GB2312" w:cs="仿宋_GB2312"/>
                <w:b/>
                <w:bCs/>
                <w:color w:val="auto"/>
                <w:sz w:val="32"/>
                <w:szCs w:val="32"/>
                <w:highlight w:val="none"/>
                <w:lang w:bidi="ar"/>
              </w:rPr>
            </w:pPr>
            <w:r>
              <w:rPr>
                <w:rFonts w:hint="eastAsia" w:ascii="仿宋_GB2312" w:hAnsi="仿宋_GB2312" w:eastAsia="仿宋_GB2312" w:cs="仿宋_GB2312"/>
                <w:b/>
                <w:bCs/>
                <w:color w:val="auto"/>
                <w:sz w:val="32"/>
                <w:szCs w:val="32"/>
                <w:highlight w:val="none"/>
                <w:lang w:bidi="ar"/>
              </w:rPr>
              <w:t>项目代表（项目负责人）</w:t>
            </w:r>
          </w:p>
        </w:tc>
        <w:tc>
          <w:tcPr>
            <w:tcW w:w="2630" w:type="dxa"/>
            <w:noWrap w:val="0"/>
            <w:vAlign w:val="top"/>
          </w:tcPr>
          <w:p w14:paraId="3BABCD16">
            <w:pPr>
              <w:pStyle w:val="16"/>
              <w:snapToGrid w:val="0"/>
              <w:spacing w:line="240" w:lineRule="auto"/>
              <w:ind w:firstLine="0" w:firstLineChars="0"/>
              <w:jc w:val="center"/>
              <w:rPr>
                <w:rFonts w:hint="eastAsia" w:ascii="仿宋_GB2312" w:hAnsi="仿宋_GB2312" w:eastAsia="仿宋_GB2312" w:cs="仿宋_GB2312"/>
                <w:b/>
                <w:bCs/>
                <w:color w:val="auto"/>
                <w:sz w:val="32"/>
                <w:szCs w:val="32"/>
                <w:highlight w:val="none"/>
                <w:lang w:bidi="ar"/>
              </w:rPr>
            </w:pPr>
            <w:r>
              <w:rPr>
                <w:rFonts w:hint="eastAsia" w:ascii="仿宋_GB2312" w:hAnsi="仿宋_GB2312" w:eastAsia="仿宋_GB2312" w:cs="仿宋_GB2312"/>
                <w:b/>
                <w:bCs/>
                <w:color w:val="auto"/>
                <w:sz w:val="32"/>
                <w:szCs w:val="32"/>
                <w:highlight w:val="none"/>
                <w:lang w:bidi="ar"/>
              </w:rPr>
              <w:t>姓名</w:t>
            </w:r>
          </w:p>
        </w:tc>
        <w:tc>
          <w:tcPr>
            <w:tcW w:w="3127" w:type="dxa"/>
            <w:noWrap w:val="0"/>
            <w:vAlign w:val="center"/>
          </w:tcPr>
          <w:p w14:paraId="4635997D">
            <w:pPr>
              <w:pStyle w:val="16"/>
              <w:snapToGrid w:val="0"/>
              <w:spacing w:line="240" w:lineRule="auto"/>
              <w:ind w:firstLine="0" w:firstLineChars="0"/>
              <w:rPr>
                <w:rFonts w:hint="eastAsia" w:ascii="仿宋_GB2312" w:hAnsi="仿宋_GB2312" w:eastAsia="仿宋_GB2312" w:cs="仿宋_GB2312"/>
                <w:color w:val="auto"/>
                <w:sz w:val="32"/>
                <w:szCs w:val="32"/>
                <w:highlight w:val="none"/>
                <w:lang w:bidi="ar"/>
              </w:rPr>
            </w:pPr>
          </w:p>
        </w:tc>
        <w:tc>
          <w:tcPr>
            <w:tcW w:w="3640" w:type="dxa"/>
            <w:noWrap w:val="0"/>
            <w:vAlign w:val="center"/>
          </w:tcPr>
          <w:p w14:paraId="0CE3C0F9">
            <w:pPr>
              <w:pStyle w:val="16"/>
              <w:snapToGrid w:val="0"/>
              <w:spacing w:line="240" w:lineRule="auto"/>
              <w:ind w:firstLine="0" w:firstLineChars="0"/>
              <w:rPr>
                <w:rFonts w:hint="eastAsia" w:ascii="仿宋_GB2312" w:hAnsi="仿宋_GB2312" w:eastAsia="仿宋_GB2312" w:cs="仿宋_GB2312"/>
                <w:color w:val="auto"/>
                <w:sz w:val="32"/>
                <w:szCs w:val="32"/>
                <w:highlight w:val="none"/>
                <w:lang w:bidi="ar"/>
              </w:rPr>
            </w:pPr>
          </w:p>
        </w:tc>
        <w:tc>
          <w:tcPr>
            <w:tcW w:w="3640" w:type="dxa"/>
            <w:noWrap w:val="0"/>
            <w:vAlign w:val="center"/>
          </w:tcPr>
          <w:p w14:paraId="6E20D37C">
            <w:pPr>
              <w:pStyle w:val="16"/>
              <w:snapToGrid w:val="0"/>
              <w:spacing w:line="240" w:lineRule="auto"/>
              <w:ind w:firstLine="0" w:firstLineChars="0"/>
              <w:rPr>
                <w:rFonts w:hint="eastAsia" w:ascii="仿宋_GB2312" w:hAnsi="仿宋_GB2312" w:eastAsia="仿宋_GB2312" w:cs="仿宋_GB2312"/>
                <w:color w:val="auto"/>
                <w:sz w:val="32"/>
                <w:szCs w:val="32"/>
                <w:highlight w:val="none"/>
                <w:lang w:bidi="ar"/>
              </w:rPr>
            </w:pPr>
          </w:p>
        </w:tc>
      </w:tr>
      <w:tr w14:paraId="06A6D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880" w:type="dxa"/>
            <w:vMerge w:val="continue"/>
            <w:noWrap w:val="0"/>
            <w:vAlign w:val="top"/>
          </w:tcPr>
          <w:p w14:paraId="7B1852DB">
            <w:pPr>
              <w:pStyle w:val="16"/>
              <w:snapToGrid w:val="0"/>
              <w:spacing w:line="240" w:lineRule="auto"/>
              <w:ind w:firstLine="0" w:firstLineChars="0"/>
              <w:jc w:val="left"/>
              <w:rPr>
                <w:rFonts w:hint="eastAsia" w:ascii="仿宋_GB2312" w:hAnsi="仿宋_GB2312" w:eastAsia="仿宋_GB2312" w:cs="仿宋_GB2312"/>
                <w:b/>
                <w:bCs/>
                <w:color w:val="auto"/>
                <w:sz w:val="32"/>
                <w:szCs w:val="32"/>
                <w:highlight w:val="none"/>
                <w:lang w:bidi="ar"/>
              </w:rPr>
            </w:pPr>
          </w:p>
        </w:tc>
        <w:tc>
          <w:tcPr>
            <w:tcW w:w="2630" w:type="dxa"/>
            <w:noWrap w:val="0"/>
            <w:vAlign w:val="top"/>
          </w:tcPr>
          <w:p w14:paraId="5297538A">
            <w:pPr>
              <w:pStyle w:val="16"/>
              <w:snapToGrid w:val="0"/>
              <w:spacing w:line="240" w:lineRule="auto"/>
              <w:ind w:firstLine="0" w:firstLineChars="0"/>
              <w:jc w:val="center"/>
              <w:rPr>
                <w:rFonts w:hint="eastAsia" w:ascii="仿宋_GB2312" w:hAnsi="仿宋_GB2312" w:eastAsia="仿宋_GB2312" w:cs="仿宋_GB2312"/>
                <w:b/>
                <w:bCs/>
                <w:color w:val="auto"/>
                <w:sz w:val="32"/>
                <w:szCs w:val="32"/>
                <w:highlight w:val="none"/>
                <w:lang w:bidi="ar"/>
              </w:rPr>
            </w:pPr>
            <w:r>
              <w:rPr>
                <w:rFonts w:hint="eastAsia" w:ascii="仿宋_GB2312" w:hAnsi="仿宋_GB2312" w:eastAsia="仿宋_GB2312" w:cs="仿宋_GB2312"/>
                <w:b/>
                <w:bCs/>
                <w:color w:val="auto"/>
                <w:sz w:val="32"/>
                <w:szCs w:val="32"/>
                <w:highlight w:val="none"/>
                <w:lang w:bidi="ar"/>
              </w:rPr>
              <w:t>身份证号</w:t>
            </w:r>
          </w:p>
        </w:tc>
        <w:tc>
          <w:tcPr>
            <w:tcW w:w="3127" w:type="dxa"/>
            <w:noWrap w:val="0"/>
            <w:vAlign w:val="center"/>
          </w:tcPr>
          <w:p w14:paraId="425FE879">
            <w:pPr>
              <w:pStyle w:val="16"/>
              <w:snapToGrid w:val="0"/>
              <w:spacing w:line="240" w:lineRule="auto"/>
              <w:ind w:firstLine="0" w:firstLineChars="0"/>
              <w:rPr>
                <w:rFonts w:hint="eastAsia" w:ascii="仿宋_GB2312" w:hAnsi="仿宋_GB2312" w:eastAsia="仿宋_GB2312" w:cs="仿宋_GB2312"/>
                <w:color w:val="auto"/>
                <w:sz w:val="32"/>
                <w:szCs w:val="32"/>
                <w:highlight w:val="none"/>
                <w:lang w:bidi="ar"/>
              </w:rPr>
            </w:pPr>
          </w:p>
        </w:tc>
        <w:tc>
          <w:tcPr>
            <w:tcW w:w="3640" w:type="dxa"/>
            <w:noWrap w:val="0"/>
            <w:vAlign w:val="center"/>
          </w:tcPr>
          <w:p w14:paraId="7A2435EA">
            <w:pPr>
              <w:pStyle w:val="16"/>
              <w:snapToGrid w:val="0"/>
              <w:spacing w:line="240" w:lineRule="auto"/>
              <w:ind w:firstLine="0" w:firstLineChars="0"/>
              <w:rPr>
                <w:rFonts w:hint="eastAsia" w:ascii="仿宋_GB2312" w:hAnsi="仿宋_GB2312" w:eastAsia="仿宋_GB2312" w:cs="仿宋_GB2312"/>
                <w:color w:val="auto"/>
                <w:sz w:val="32"/>
                <w:szCs w:val="32"/>
                <w:highlight w:val="none"/>
                <w:lang w:bidi="ar"/>
              </w:rPr>
            </w:pPr>
          </w:p>
        </w:tc>
        <w:tc>
          <w:tcPr>
            <w:tcW w:w="3640" w:type="dxa"/>
            <w:noWrap w:val="0"/>
            <w:vAlign w:val="center"/>
          </w:tcPr>
          <w:p w14:paraId="7504BA03">
            <w:pPr>
              <w:pStyle w:val="16"/>
              <w:snapToGrid w:val="0"/>
              <w:spacing w:line="240" w:lineRule="auto"/>
              <w:ind w:firstLine="0" w:firstLineChars="0"/>
              <w:rPr>
                <w:rFonts w:hint="eastAsia" w:ascii="仿宋_GB2312" w:hAnsi="仿宋_GB2312" w:eastAsia="仿宋_GB2312" w:cs="仿宋_GB2312"/>
                <w:color w:val="auto"/>
                <w:sz w:val="32"/>
                <w:szCs w:val="32"/>
                <w:highlight w:val="none"/>
                <w:lang w:bidi="ar"/>
              </w:rPr>
            </w:pPr>
          </w:p>
        </w:tc>
      </w:tr>
      <w:tr w14:paraId="5F9ED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880" w:type="dxa"/>
            <w:vMerge w:val="continue"/>
            <w:noWrap w:val="0"/>
            <w:vAlign w:val="top"/>
          </w:tcPr>
          <w:p w14:paraId="7A0EC2C9">
            <w:pPr>
              <w:pStyle w:val="16"/>
              <w:snapToGrid w:val="0"/>
              <w:spacing w:line="240" w:lineRule="auto"/>
              <w:ind w:firstLine="0" w:firstLineChars="0"/>
              <w:rPr>
                <w:rFonts w:hint="eastAsia" w:ascii="仿宋_GB2312" w:hAnsi="仿宋_GB2312" w:eastAsia="仿宋_GB2312" w:cs="仿宋_GB2312"/>
                <w:color w:val="auto"/>
                <w:sz w:val="32"/>
                <w:szCs w:val="32"/>
                <w:highlight w:val="none"/>
              </w:rPr>
            </w:pPr>
          </w:p>
        </w:tc>
        <w:tc>
          <w:tcPr>
            <w:tcW w:w="2630" w:type="dxa"/>
            <w:noWrap w:val="0"/>
            <w:vAlign w:val="top"/>
          </w:tcPr>
          <w:p w14:paraId="01B19CC7">
            <w:pPr>
              <w:pStyle w:val="16"/>
              <w:snapToGrid w:val="0"/>
              <w:spacing w:line="240" w:lineRule="auto"/>
              <w:ind w:firstLine="0" w:firstLineChars="0"/>
              <w:jc w:val="center"/>
              <w:rPr>
                <w:rFonts w:hint="eastAsia" w:ascii="仿宋_GB2312" w:hAnsi="仿宋_GB2312" w:eastAsia="仿宋_GB2312" w:cs="仿宋_GB2312"/>
                <w:b/>
                <w:bCs/>
                <w:color w:val="auto"/>
                <w:sz w:val="32"/>
                <w:szCs w:val="32"/>
                <w:highlight w:val="none"/>
                <w:lang w:bidi="ar"/>
              </w:rPr>
            </w:pPr>
            <w:r>
              <w:rPr>
                <w:rFonts w:hint="eastAsia" w:ascii="仿宋_GB2312" w:hAnsi="仿宋_GB2312" w:eastAsia="仿宋_GB2312" w:cs="仿宋_GB2312"/>
                <w:b/>
                <w:bCs/>
                <w:color w:val="auto"/>
                <w:sz w:val="32"/>
                <w:szCs w:val="32"/>
                <w:highlight w:val="none"/>
                <w:lang w:bidi="ar"/>
              </w:rPr>
              <w:t>职务</w:t>
            </w:r>
          </w:p>
        </w:tc>
        <w:tc>
          <w:tcPr>
            <w:tcW w:w="3127" w:type="dxa"/>
            <w:noWrap w:val="0"/>
            <w:vAlign w:val="center"/>
          </w:tcPr>
          <w:p w14:paraId="04BC170D">
            <w:pPr>
              <w:pStyle w:val="16"/>
              <w:snapToGrid w:val="0"/>
              <w:spacing w:line="240" w:lineRule="auto"/>
              <w:ind w:firstLine="0" w:firstLineChars="0"/>
              <w:rPr>
                <w:rFonts w:hint="eastAsia" w:ascii="仿宋_GB2312" w:hAnsi="仿宋_GB2312" w:eastAsia="仿宋_GB2312" w:cs="仿宋_GB2312"/>
                <w:b/>
                <w:bCs/>
                <w:color w:val="auto"/>
                <w:sz w:val="32"/>
                <w:szCs w:val="32"/>
                <w:highlight w:val="none"/>
                <w:lang w:bidi="ar"/>
              </w:rPr>
            </w:pPr>
          </w:p>
        </w:tc>
        <w:tc>
          <w:tcPr>
            <w:tcW w:w="3640" w:type="dxa"/>
            <w:noWrap w:val="0"/>
            <w:vAlign w:val="center"/>
          </w:tcPr>
          <w:p w14:paraId="472DAF35">
            <w:pPr>
              <w:pStyle w:val="16"/>
              <w:snapToGrid w:val="0"/>
              <w:spacing w:line="240" w:lineRule="auto"/>
              <w:ind w:firstLine="0" w:firstLineChars="0"/>
              <w:rPr>
                <w:rFonts w:hint="eastAsia" w:ascii="仿宋_GB2312" w:hAnsi="仿宋_GB2312" w:eastAsia="仿宋_GB2312" w:cs="仿宋_GB2312"/>
                <w:b/>
                <w:bCs/>
                <w:color w:val="auto"/>
                <w:sz w:val="32"/>
                <w:szCs w:val="32"/>
                <w:highlight w:val="none"/>
                <w:lang w:bidi="ar"/>
              </w:rPr>
            </w:pPr>
          </w:p>
        </w:tc>
        <w:tc>
          <w:tcPr>
            <w:tcW w:w="3640" w:type="dxa"/>
            <w:noWrap w:val="0"/>
            <w:vAlign w:val="center"/>
          </w:tcPr>
          <w:p w14:paraId="702EB815">
            <w:pPr>
              <w:pStyle w:val="16"/>
              <w:snapToGrid w:val="0"/>
              <w:spacing w:line="240" w:lineRule="auto"/>
              <w:ind w:firstLine="0" w:firstLineChars="0"/>
              <w:rPr>
                <w:rFonts w:hint="eastAsia" w:ascii="仿宋_GB2312" w:hAnsi="仿宋_GB2312" w:eastAsia="仿宋_GB2312" w:cs="仿宋_GB2312"/>
                <w:b/>
                <w:bCs/>
                <w:color w:val="auto"/>
                <w:sz w:val="32"/>
                <w:szCs w:val="32"/>
                <w:highlight w:val="none"/>
                <w:lang w:bidi="ar"/>
              </w:rPr>
            </w:pPr>
          </w:p>
        </w:tc>
      </w:tr>
      <w:tr w14:paraId="7F200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880" w:type="dxa"/>
            <w:vMerge w:val="continue"/>
            <w:noWrap w:val="0"/>
            <w:vAlign w:val="top"/>
          </w:tcPr>
          <w:p w14:paraId="4B8CA286">
            <w:pPr>
              <w:pStyle w:val="16"/>
              <w:snapToGrid w:val="0"/>
              <w:spacing w:line="240" w:lineRule="auto"/>
              <w:ind w:firstLine="0" w:firstLineChars="0"/>
              <w:rPr>
                <w:rFonts w:hint="eastAsia" w:ascii="仿宋_GB2312" w:hAnsi="仿宋_GB2312" w:eastAsia="仿宋_GB2312" w:cs="仿宋_GB2312"/>
                <w:color w:val="auto"/>
                <w:sz w:val="32"/>
                <w:szCs w:val="32"/>
                <w:highlight w:val="none"/>
              </w:rPr>
            </w:pPr>
          </w:p>
        </w:tc>
        <w:tc>
          <w:tcPr>
            <w:tcW w:w="2630" w:type="dxa"/>
            <w:noWrap w:val="0"/>
            <w:vAlign w:val="top"/>
          </w:tcPr>
          <w:p w14:paraId="67D45517">
            <w:pPr>
              <w:pStyle w:val="16"/>
              <w:snapToGrid w:val="0"/>
              <w:spacing w:line="240" w:lineRule="auto"/>
              <w:ind w:firstLine="0" w:firstLineChars="0"/>
              <w:jc w:val="center"/>
              <w:rPr>
                <w:rFonts w:hint="eastAsia" w:ascii="仿宋_GB2312" w:hAnsi="仿宋_GB2312" w:eastAsia="仿宋_GB2312" w:cs="仿宋_GB2312"/>
                <w:b/>
                <w:bCs/>
                <w:color w:val="auto"/>
                <w:sz w:val="32"/>
                <w:szCs w:val="32"/>
                <w:highlight w:val="none"/>
                <w:lang w:bidi="ar"/>
              </w:rPr>
            </w:pPr>
            <w:r>
              <w:rPr>
                <w:rFonts w:hint="eastAsia" w:ascii="仿宋_GB2312" w:hAnsi="仿宋_GB2312" w:eastAsia="仿宋_GB2312" w:cs="仿宋_GB2312"/>
                <w:b/>
                <w:bCs/>
                <w:color w:val="auto"/>
                <w:sz w:val="32"/>
                <w:szCs w:val="32"/>
                <w:highlight w:val="none"/>
                <w:lang w:bidi="ar"/>
              </w:rPr>
              <w:t>执业资格及等级</w:t>
            </w:r>
          </w:p>
        </w:tc>
        <w:tc>
          <w:tcPr>
            <w:tcW w:w="3127" w:type="dxa"/>
            <w:noWrap w:val="0"/>
            <w:vAlign w:val="center"/>
          </w:tcPr>
          <w:p w14:paraId="528A7FA2">
            <w:pPr>
              <w:pStyle w:val="16"/>
              <w:snapToGrid w:val="0"/>
              <w:spacing w:line="240" w:lineRule="auto"/>
              <w:ind w:firstLine="0" w:firstLineChars="0"/>
              <w:jc w:val="center"/>
              <w:rPr>
                <w:rFonts w:hint="eastAsia" w:ascii="仿宋_GB2312" w:hAnsi="仿宋_GB2312" w:eastAsia="仿宋_GB2312" w:cs="仿宋_GB2312"/>
                <w:b/>
                <w:bCs/>
                <w:color w:val="auto"/>
                <w:sz w:val="32"/>
                <w:szCs w:val="32"/>
                <w:highlight w:val="none"/>
                <w:lang w:bidi="ar"/>
              </w:rPr>
            </w:pPr>
          </w:p>
        </w:tc>
        <w:tc>
          <w:tcPr>
            <w:tcW w:w="3640" w:type="dxa"/>
            <w:noWrap w:val="0"/>
            <w:vAlign w:val="center"/>
          </w:tcPr>
          <w:p w14:paraId="73E37E00">
            <w:pPr>
              <w:pStyle w:val="16"/>
              <w:snapToGrid w:val="0"/>
              <w:spacing w:line="240" w:lineRule="auto"/>
              <w:ind w:firstLine="0" w:firstLineChars="0"/>
              <w:jc w:val="center"/>
              <w:rPr>
                <w:rFonts w:hint="eastAsia" w:ascii="仿宋_GB2312" w:hAnsi="仿宋_GB2312" w:eastAsia="仿宋_GB2312" w:cs="仿宋_GB2312"/>
                <w:b/>
                <w:bCs/>
                <w:color w:val="auto"/>
                <w:sz w:val="32"/>
                <w:szCs w:val="32"/>
                <w:highlight w:val="none"/>
                <w:lang w:bidi="ar"/>
              </w:rPr>
            </w:pPr>
          </w:p>
        </w:tc>
        <w:tc>
          <w:tcPr>
            <w:tcW w:w="3640" w:type="dxa"/>
            <w:noWrap w:val="0"/>
            <w:vAlign w:val="center"/>
          </w:tcPr>
          <w:p w14:paraId="7954D115">
            <w:pPr>
              <w:pStyle w:val="16"/>
              <w:snapToGrid w:val="0"/>
              <w:spacing w:line="240" w:lineRule="auto"/>
              <w:ind w:firstLine="0" w:firstLineChars="0"/>
              <w:jc w:val="center"/>
              <w:rPr>
                <w:rFonts w:hint="eastAsia" w:ascii="仿宋_GB2312" w:hAnsi="仿宋_GB2312" w:eastAsia="仿宋_GB2312" w:cs="仿宋_GB2312"/>
                <w:b/>
                <w:bCs/>
                <w:color w:val="auto"/>
                <w:sz w:val="32"/>
                <w:szCs w:val="32"/>
                <w:highlight w:val="none"/>
                <w:lang w:bidi="ar"/>
              </w:rPr>
            </w:pPr>
          </w:p>
        </w:tc>
      </w:tr>
      <w:tr w14:paraId="46DFA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880" w:type="dxa"/>
            <w:vMerge w:val="continue"/>
            <w:noWrap w:val="0"/>
            <w:vAlign w:val="top"/>
          </w:tcPr>
          <w:p w14:paraId="62B07627">
            <w:pPr>
              <w:pStyle w:val="16"/>
              <w:snapToGrid w:val="0"/>
              <w:spacing w:line="240" w:lineRule="auto"/>
              <w:ind w:firstLine="0" w:firstLineChars="0"/>
              <w:rPr>
                <w:rFonts w:hint="eastAsia" w:ascii="仿宋_GB2312" w:hAnsi="仿宋_GB2312" w:eastAsia="仿宋_GB2312" w:cs="仿宋_GB2312"/>
                <w:color w:val="auto"/>
                <w:sz w:val="32"/>
                <w:szCs w:val="32"/>
                <w:highlight w:val="none"/>
              </w:rPr>
            </w:pPr>
          </w:p>
        </w:tc>
        <w:tc>
          <w:tcPr>
            <w:tcW w:w="2630" w:type="dxa"/>
            <w:noWrap w:val="0"/>
            <w:vAlign w:val="top"/>
          </w:tcPr>
          <w:p w14:paraId="22515592">
            <w:pPr>
              <w:pStyle w:val="16"/>
              <w:snapToGrid w:val="0"/>
              <w:spacing w:line="240" w:lineRule="auto"/>
              <w:ind w:firstLine="0" w:firstLineChars="0"/>
              <w:jc w:val="center"/>
              <w:rPr>
                <w:rFonts w:hint="eastAsia" w:ascii="仿宋_GB2312" w:hAnsi="仿宋_GB2312" w:eastAsia="仿宋_GB2312" w:cs="仿宋_GB2312"/>
                <w:b/>
                <w:bCs/>
                <w:color w:val="auto"/>
                <w:sz w:val="32"/>
                <w:szCs w:val="32"/>
                <w:highlight w:val="none"/>
                <w:lang w:bidi="ar"/>
              </w:rPr>
            </w:pPr>
            <w:r>
              <w:rPr>
                <w:rFonts w:hint="eastAsia" w:ascii="仿宋_GB2312" w:hAnsi="仿宋_GB2312" w:eastAsia="仿宋_GB2312" w:cs="仿宋_GB2312"/>
                <w:b/>
                <w:bCs/>
                <w:color w:val="auto"/>
                <w:sz w:val="32"/>
                <w:szCs w:val="32"/>
                <w:highlight w:val="none"/>
                <w:lang w:bidi="ar"/>
              </w:rPr>
              <w:t>证书注册号</w:t>
            </w:r>
          </w:p>
        </w:tc>
        <w:tc>
          <w:tcPr>
            <w:tcW w:w="3127" w:type="dxa"/>
            <w:noWrap w:val="0"/>
            <w:vAlign w:val="center"/>
          </w:tcPr>
          <w:p w14:paraId="69843DA3">
            <w:pPr>
              <w:pStyle w:val="16"/>
              <w:snapToGrid w:val="0"/>
              <w:spacing w:line="240" w:lineRule="auto"/>
              <w:ind w:firstLine="0" w:firstLineChars="0"/>
              <w:jc w:val="center"/>
              <w:rPr>
                <w:rFonts w:hint="eastAsia" w:ascii="仿宋_GB2312" w:hAnsi="仿宋_GB2312" w:eastAsia="仿宋_GB2312" w:cs="仿宋_GB2312"/>
                <w:b/>
                <w:bCs/>
                <w:color w:val="auto"/>
                <w:sz w:val="32"/>
                <w:szCs w:val="32"/>
                <w:highlight w:val="none"/>
                <w:lang w:bidi="ar"/>
              </w:rPr>
            </w:pPr>
          </w:p>
        </w:tc>
        <w:tc>
          <w:tcPr>
            <w:tcW w:w="3640" w:type="dxa"/>
            <w:noWrap w:val="0"/>
            <w:vAlign w:val="center"/>
          </w:tcPr>
          <w:p w14:paraId="35CC11F9">
            <w:pPr>
              <w:pStyle w:val="16"/>
              <w:snapToGrid w:val="0"/>
              <w:spacing w:line="240" w:lineRule="auto"/>
              <w:ind w:firstLine="0" w:firstLineChars="0"/>
              <w:jc w:val="center"/>
              <w:rPr>
                <w:rFonts w:hint="eastAsia" w:ascii="仿宋_GB2312" w:hAnsi="仿宋_GB2312" w:eastAsia="仿宋_GB2312" w:cs="仿宋_GB2312"/>
                <w:b/>
                <w:bCs/>
                <w:color w:val="auto"/>
                <w:sz w:val="32"/>
                <w:szCs w:val="32"/>
                <w:highlight w:val="none"/>
                <w:lang w:bidi="ar"/>
              </w:rPr>
            </w:pPr>
          </w:p>
        </w:tc>
        <w:tc>
          <w:tcPr>
            <w:tcW w:w="3640" w:type="dxa"/>
            <w:noWrap w:val="0"/>
            <w:vAlign w:val="center"/>
          </w:tcPr>
          <w:p w14:paraId="316F4EFF">
            <w:pPr>
              <w:pStyle w:val="16"/>
              <w:snapToGrid w:val="0"/>
              <w:spacing w:line="240" w:lineRule="auto"/>
              <w:ind w:firstLine="0" w:firstLineChars="0"/>
              <w:jc w:val="center"/>
              <w:rPr>
                <w:rFonts w:hint="eastAsia" w:ascii="仿宋_GB2312" w:hAnsi="仿宋_GB2312" w:eastAsia="仿宋_GB2312" w:cs="仿宋_GB2312"/>
                <w:b/>
                <w:bCs/>
                <w:color w:val="auto"/>
                <w:sz w:val="32"/>
                <w:szCs w:val="32"/>
                <w:highlight w:val="none"/>
                <w:lang w:bidi="ar"/>
              </w:rPr>
            </w:pPr>
          </w:p>
        </w:tc>
      </w:tr>
      <w:tr w14:paraId="07A71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880" w:type="dxa"/>
            <w:vMerge w:val="continue"/>
            <w:noWrap w:val="0"/>
            <w:vAlign w:val="top"/>
          </w:tcPr>
          <w:p w14:paraId="5FF1C10F">
            <w:pPr>
              <w:pStyle w:val="16"/>
              <w:snapToGrid w:val="0"/>
              <w:spacing w:line="240" w:lineRule="auto"/>
              <w:ind w:firstLine="0" w:firstLineChars="0"/>
              <w:rPr>
                <w:rFonts w:hint="eastAsia" w:ascii="仿宋_GB2312" w:hAnsi="仿宋_GB2312" w:eastAsia="仿宋_GB2312" w:cs="仿宋_GB2312"/>
                <w:color w:val="auto"/>
                <w:sz w:val="32"/>
                <w:szCs w:val="32"/>
                <w:highlight w:val="none"/>
              </w:rPr>
            </w:pPr>
          </w:p>
        </w:tc>
        <w:tc>
          <w:tcPr>
            <w:tcW w:w="2630" w:type="dxa"/>
            <w:noWrap w:val="0"/>
            <w:vAlign w:val="top"/>
          </w:tcPr>
          <w:p w14:paraId="29F8D505">
            <w:pPr>
              <w:pStyle w:val="16"/>
              <w:snapToGrid w:val="0"/>
              <w:spacing w:line="240" w:lineRule="auto"/>
              <w:ind w:firstLine="0" w:firstLineChars="0"/>
              <w:jc w:val="center"/>
              <w:rPr>
                <w:rFonts w:hint="eastAsia" w:ascii="仿宋_GB2312" w:hAnsi="仿宋_GB2312" w:eastAsia="仿宋_GB2312" w:cs="仿宋_GB2312"/>
                <w:b/>
                <w:bCs/>
                <w:color w:val="auto"/>
                <w:sz w:val="32"/>
                <w:szCs w:val="32"/>
                <w:highlight w:val="none"/>
                <w:lang w:bidi="ar"/>
              </w:rPr>
            </w:pPr>
            <w:r>
              <w:rPr>
                <w:rFonts w:hint="eastAsia" w:ascii="仿宋_GB2312" w:hAnsi="仿宋_GB2312" w:eastAsia="仿宋_GB2312" w:cs="仿宋_GB2312"/>
                <w:b/>
                <w:bCs/>
                <w:color w:val="auto"/>
                <w:sz w:val="32"/>
                <w:szCs w:val="32"/>
                <w:highlight w:val="none"/>
                <w:lang w:bidi="ar"/>
              </w:rPr>
              <w:t>证书执业印章号</w:t>
            </w:r>
          </w:p>
        </w:tc>
        <w:tc>
          <w:tcPr>
            <w:tcW w:w="3127" w:type="dxa"/>
            <w:noWrap w:val="0"/>
            <w:vAlign w:val="center"/>
          </w:tcPr>
          <w:p w14:paraId="63B05CBF">
            <w:pPr>
              <w:pStyle w:val="16"/>
              <w:snapToGrid w:val="0"/>
              <w:spacing w:line="240" w:lineRule="auto"/>
              <w:ind w:firstLine="0" w:firstLineChars="0"/>
              <w:jc w:val="center"/>
              <w:rPr>
                <w:rFonts w:hint="eastAsia" w:ascii="仿宋_GB2312" w:hAnsi="仿宋_GB2312" w:eastAsia="仿宋_GB2312" w:cs="仿宋_GB2312"/>
                <w:b/>
                <w:bCs/>
                <w:color w:val="auto"/>
                <w:sz w:val="32"/>
                <w:szCs w:val="32"/>
                <w:highlight w:val="none"/>
                <w:lang w:bidi="ar"/>
              </w:rPr>
            </w:pPr>
          </w:p>
        </w:tc>
        <w:tc>
          <w:tcPr>
            <w:tcW w:w="3640" w:type="dxa"/>
            <w:noWrap w:val="0"/>
            <w:vAlign w:val="center"/>
          </w:tcPr>
          <w:p w14:paraId="08FD7B34">
            <w:pPr>
              <w:pStyle w:val="16"/>
              <w:snapToGrid w:val="0"/>
              <w:spacing w:line="240" w:lineRule="auto"/>
              <w:ind w:firstLine="0" w:firstLineChars="0"/>
              <w:jc w:val="center"/>
              <w:rPr>
                <w:rFonts w:hint="eastAsia" w:ascii="仿宋_GB2312" w:hAnsi="仿宋_GB2312" w:eastAsia="仿宋_GB2312" w:cs="仿宋_GB2312"/>
                <w:b/>
                <w:bCs/>
                <w:color w:val="auto"/>
                <w:sz w:val="32"/>
                <w:szCs w:val="32"/>
                <w:highlight w:val="none"/>
                <w:lang w:bidi="ar"/>
              </w:rPr>
            </w:pPr>
          </w:p>
        </w:tc>
        <w:tc>
          <w:tcPr>
            <w:tcW w:w="3640" w:type="dxa"/>
            <w:noWrap w:val="0"/>
            <w:vAlign w:val="center"/>
          </w:tcPr>
          <w:p w14:paraId="731FA1A4">
            <w:pPr>
              <w:pStyle w:val="16"/>
              <w:snapToGrid w:val="0"/>
              <w:spacing w:line="240" w:lineRule="auto"/>
              <w:ind w:firstLine="0" w:firstLineChars="0"/>
              <w:jc w:val="center"/>
              <w:rPr>
                <w:rFonts w:hint="eastAsia" w:ascii="仿宋_GB2312" w:hAnsi="仿宋_GB2312" w:eastAsia="仿宋_GB2312" w:cs="仿宋_GB2312"/>
                <w:b/>
                <w:bCs/>
                <w:color w:val="auto"/>
                <w:sz w:val="32"/>
                <w:szCs w:val="32"/>
                <w:highlight w:val="none"/>
                <w:lang w:bidi="ar"/>
              </w:rPr>
            </w:pPr>
          </w:p>
        </w:tc>
      </w:tr>
      <w:tr w14:paraId="397CB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4" w:hRule="atLeast"/>
        </w:trPr>
        <w:tc>
          <w:tcPr>
            <w:tcW w:w="880" w:type="dxa"/>
            <w:vMerge w:val="continue"/>
            <w:noWrap w:val="0"/>
            <w:vAlign w:val="top"/>
          </w:tcPr>
          <w:p w14:paraId="46D8DCC9">
            <w:pPr>
              <w:pStyle w:val="16"/>
              <w:snapToGrid w:val="0"/>
              <w:spacing w:line="240" w:lineRule="auto"/>
              <w:ind w:firstLine="0" w:firstLineChars="0"/>
              <w:rPr>
                <w:rFonts w:hint="eastAsia" w:ascii="仿宋_GB2312" w:hAnsi="仿宋_GB2312" w:eastAsia="仿宋_GB2312" w:cs="仿宋_GB2312"/>
                <w:color w:val="auto"/>
                <w:sz w:val="32"/>
                <w:szCs w:val="32"/>
                <w:highlight w:val="none"/>
              </w:rPr>
            </w:pPr>
          </w:p>
        </w:tc>
        <w:tc>
          <w:tcPr>
            <w:tcW w:w="2630" w:type="dxa"/>
            <w:noWrap w:val="0"/>
            <w:vAlign w:val="top"/>
          </w:tcPr>
          <w:p w14:paraId="16FA465C">
            <w:pPr>
              <w:pStyle w:val="16"/>
              <w:snapToGrid w:val="0"/>
              <w:spacing w:line="240" w:lineRule="auto"/>
              <w:ind w:firstLine="0" w:firstLineChars="0"/>
              <w:jc w:val="center"/>
              <w:rPr>
                <w:rFonts w:hint="eastAsia" w:ascii="仿宋_GB2312" w:hAnsi="仿宋_GB2312" w:eastAsia="仿宋_GB2312" w:cs="仿宋_GB2312"/>
                <w:b/>
                <w:bCs/>
                <w:color w:val="auto"/>
                <w:sz w:val="32"/>
                <w:szCs w:val="32"/>
                <w:highlight w:val="none"/>
                <w:lang w:bidi="ar"/>
              </w:rPr>
            </w:pPr>
            <w:r>
              <w:rPr>
                <w:rFonts w:hint="eastAsia" w:ascii="仿宋_GB2312" w:hAnsi="仿宋_GB2312" w:eastAsia="仿宋_GB2312" w:cs="仿宋_GB2312"/>
                <w:b/>
                <w:bCs/>
                <w:color w:val="auto"/>
                <w:sz w:val="32"/>
                <w:szCs w:val="32"/>
                <w:highlight w:val="none"/>
                <w:lang w:bidi="ar"/>
              </w:rPr>
              <w:t>安全生产考核合格证书号</w:t>
            </w:r>
          </w:p>
        </w:tc>
        <w:tc>
          <w:tcPr>
            <w:tcW w:w="3127" w:type="dxa"/>
            <w:noWrap w:val="0"/>
            <w:vAlign w:val="center"/>
          </w:tcPr>
          <w:p w14:paraId="52519B80">
            <w:pPr>
              <w:pStyle w:val="16"/>
              <w:snapToGrid w:val="0"/>
              <w:spacing w:line="240" w:lineRule="auto"/>
              <w:ind w:firstLine="0" w:firstLineChars="0"/>
              <w:jc w:val="center"/>
              <w:rPr>
                <w:rFonts w:hint="eastAsia" w:ascii="仿宋_GB2312" w:hAnsi="仿宋_GB2312" w:eastAsia="仿宋_GB2312" w:cs="仿宋_GB2312"/>
                <w:b/>
                <w:bCs/>
                <w:color w:val="auto"/>
                <w:sz w:val="32"/>
                <w:szCs w:val="32"/>
                <w:highlight w:val="none"/>
                <w:lang w:bidi="ar"/>
              </w:rPr>
            </w:pPr>
          </w:p>
        </w:tc>
        <w:tc>
          <w:tcPr>
            <w:tcW w:w="3640" w:type="dxa"/>
            <w:noWrap w:val="0"/>
            <w:vAlign w:val="center"/>
          </w:tcPr>
          <w:p w14:paraId="6B5D5490">
            <w:pPr>
              <w:pStyle w:val="16"/>
              <w:snapToGrid w:val="0"/>
              <w:spacing w:line="240" w:lineRule="auto"/>
              <w:ind w:firstLine="0" w:firstLineChars="0"/>
              <w:jc w:val="center"/>
              <w:rPr>
                <w:rFonts w:hint="eastAsia" w:ascii="仿宋_GB2312" w:hAnsi="仿宋_GB2312" w:eastAsia="仿宋_GB2312" w:cs="仿宋_GB2312"/>
                <w:b/>
                <w:bCs/>
                <w:color w:val="auto"/>
                <w:sz w:val="32"/>
                <w:szCs w:val="32"/>
                <w:highlight w:val="none"/>
                <w:lang w:bidi="ar"/>
              </w:rPr>
            </w:pPr>
          </w:p>
        </w:tc>
        <w:tc>
          <w:tcPr>
            <w:tcW w:w="3640" w:type="dxa"/>
            <w:noWrap w:val="0"/>
            <w:vAlign w:val="center"/>
          </w:tcPr>
          <w:p w14:paraId="6E73F920">
            <w:pPr>
              <w:pStyle w:val="16"/>
              <w:snapToGrid w:val="0"/>
              <w:spacing w:line="240" w:lineRule="auto"/>
              <w:ind w:firstLine="0" w:firstLineChars="0"/>
              <w:jc w:val="center"/>
              <w:rPr>
                <w:rFonts w:hint="eastAsia" w:ascii="仿宋_GB2312" w:hAnsi="仿宋_GB2312" w:eastAsia="仿宋_GB2312" w:cs="仿宋_GB2312"/>
                <w:b/>
                <w:bCs/>
                <w:color w:val="auto"/>
                <w:sz w:val="32"/>
                <w:szCs w:val="32"/>
                <w:highlight w:val="none"/>
                <w:lang w:bidi="ar"/>
              </w:rPr>
            </w:pPr>
          </w:p>
        </w:tc>
      </w:tr>
      <w:tr w14:paraId="5E7AF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880" w:type="dxa"/>
            <w:vMerge w:val="continue"/>
            <w:noWrap w:val="0"/>
            <w:vAlign w:val="top"/>
          </w:tcPr>
          <w:p w14:paraId="1A7DBB77">
            <w:pPr>
              <w:pStyle w:val="16"/>
              <w:snapToGrid w:val="0"/>
              <w:spacing w:line="240" w:lineRule="auto"/>
              <w:ind w:firstLine="0" w:firstLineChars="0"/>
              <w:jc w:val="left"/>
              <w:rPr>
                <w:rFonts w:hint="eastAsia" w:ascii="仿宋_GB2312" w:hAnsi="仿宋_GB2312" w:eastAsia="仿宋_GB2312" w:cs="仿宋_GB2312"/>
                <w:b/>
                <w:bCs/>
                <w:color w:val="auto"/>
                <w:sz w:val="32"/>
                <w:szCs w:val="32"/>
                <w:highlight w:val="none"/>
                <w:lang w:bidi="ar"/>
              </w:rPr>
            </w:pPr>
          </w:p>
        </w:tc>
        <w:tc>
          <w:tcPr>
            <w:tcW w:w="2630" w:type="dxa"/>
            <w:noWrap w:val="0"/>
            <w:vAlign w:val="top"/>
          </w:tcPr>
          <w:p w14:paraId="36102DA2">
            <w:pPr>
              <w:pStyle w:val="16"/>
              <w:snapToGrid w:val="0"/>
              <w:spacing w:line="240" w:lineRule="auto"/>
              <w:ind w:firstLine="0" w:firstLineChars="0"/>
              <w:jc w:val="center"/>
              <w:rPr>
                <w:rFonts w:hint="eastAsia" w:ascii="仿宋_GB2312" w:hAnsi="仿宋_GB2312" w:eastAsia="仿宋_GB2312" w:cs="仿宋_GB2312"/>
                <w:b/>
                <w:bCs/>
                <w:color w:val="auto"/>
                <w:sz w:val="32"/>
                <w:szCs w:val="32"/>
                <w:highlight w:val="none"/>
                <w:lang w:bidi="ar"/>
              </w:rPr>
            </w:pPr>
            <w:r>
              <w:rPr>
                <w:rFonts w:hint="eastAsia" w:ascii="仿宋_GB2312" w:hAnsi="仿宋_GB2312" w:eastAsia="仿宋_GB2312" w:cs="仿宋_GB2312"/>
                <w:b/>
                <w:bCs/>
                <w:color w:val="auto"/>
                <w:sz w:val="32"/>
                <w:szCs w:val="32"/>
                <w:highlight w:val="none"/>
                <w:lang w:bidi="ar"/>
              </w:rPr>
              <w:t>联系电话</w:t>
            </w:r>
          </w:p>
        </w:tc>
        <w:tc>
          <w:tcPr>
            <w:tcW w:w="3127" w:type="dxa"/>
            <w:noWrap w:val="0"/>
            <w:vAlign w:val="center"/>
          </w:tcPr>
          <w:p w14:paraId="09E5A4E1">
            <w:pPr>
              <w:pStyle w:val="16"/>
              <w:snapToGrid w:val="0"/>
              <w:spacing w:line="240" w:lineRule="auto"/>
              <w:ind w:firstLine="0" w:firstLineChars="0"/>
              <w:rPr>
                <w:rFonts w:hint="eastAsia" w:ascii="仿宋_GB2312" w:hAnsi="仿宋_GB2312" w:eastAsia="仿宋_GB2312" w:cs="仿宋_GB2312"/>
                <w:color w:val="auto"/>
                <w:sz w:val="32"/>
                <w:szCs w:val="32"/>
                <w:highlight w:val="none"/>
                <w:lang w:bidi="ar"/>
              </w:rPr>
            </w:pPr>
          </w:p>
        </w:tc>
        <w:tc>
          <w:tcPr>
            <w:tcW w:w="3640" w:type="dxa"/>
            <w:noWrap w:val="0"/>
            <w:vAlign w:val="center"/>
          </w:tcPr>
          <w:p w14:paraId="554CAED3">
            <w:pPr>
              <w:pStyle w:val="16"/>
              <w:snapToGrid w:val="0"/>
              <w:spacing w:line="240" w:lineRule="auto"/>
              <w:ind w:firstLine="0" w:firstLineChars="0"/>
              <w:rPr>
                <w:rFonts w:hint="eastAsia" w:ascii="仿宋_GB2312" w:hAnsi="仿宋_GB2312" w:eastAsia="仿宋_GB2312" w:cs="仿宋_GB2312"/>
                <w:color w:val="auto"/>
                <w:sz w:val="32"/>
                <w:szCs w:val="32"/>
                <w:highlight w:val="none"/>
                <w:lang w:bidi="ar"/>
              </w:rPr>
            </w:pPr>
          </w:p>
        </w:tc>
        <w:tc>
          <w:tcPr>
            <w:tcW w:w="3640" w:type="dxa"/>
            <w:noWrap w:val="0"/>
            <w:vAlign w:val="center"/>
          </w:tcPr>
          <w:p w14:paraId="01D84B4E">
            <w:pPr>
              <w:pStyle w:val="16"/>
              <w:snapToGrid w:val="0"/>
              <w:spacing w:line="240" w:lineRule="auto"/>
              <w:ind w:firstLine="0" w:firstLineChars="0"/>
              <w:rPr>
                <w:rFonts w:hint="eastAsia" w:ascii="仿宋_GB2312" w:hAnsi="仿宋_GB2312" w:eastAsia="仿宋_GB2312" w:cs="仿宋_GB2312"/>
                <w:color w:val="auto"/>
                <w:sz w:val="32"/>
                <w:szCs w:val="32"/>
                <w:highlight w:val="none"/>
                <w:lang w:bidi="ar"/>
              </w:rPr>
            </w:pPr>
          </w:p>
        </w:tc>
      </w:tr>
      <w:tr w14:paraId="0F67C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880" w:type="dxa"/>
            <w:vMerge w:val="continue"/>
            <w:noWrap w:val="0"/>
            <w:vAlign w:val="top"/>
          </w:tcPr>
          <w:p w14:paraId="3E3EAB22">
            <w:pPr>
              <w:pStyle w:val="16"/>
              <w:snapToGrid w:val="0"/>
              <w:spacing w:line="240" w:lineRule="auto"/>
              <w:ind w:firstLine="0" w:firstLineChars="0"/>
              <w:jc w:val="left"/>
              <w:rPr>
                <w:rFonts w:hint="eastAsia" w:ascii="仿宋_GB2312" w:hAnsi="仿宋_GB2312" w:eastAsia="仿宋_GB2312" w:cs="仿宋_GB2312"/>
                <w:b/>
                <w:bCs/>
                <w:color w:val="auto"/>
                <w:sz w:val="32"/>
                <w:szCs w:val="32"/>
                <w:highlight w:val="none"/>
                <w:lang w:bidi="ar"/>
              </w:rPr>
            </w:pPr>
          </w:p>
        </w:tc>
        <w:tc>
          <w:tcPr>
            <w:tcW w:w="2630" w:type="dxa"/>
            <w:noWrap w:val="0"/>
            <w:vAlign w:val="top"/>
          </w:tcPr>
          <w:p w14:paraId="394989A4">
            <w:pPr>
              <w:pStyle w:val="16"/>
              <w:snapToGrid w:val="0"/>
              <w:spacing w:line="240" w:lineRule="auto"/>
              <w:ind w:firstLine="0" w:firstLineChars="0"/>
              <w:jc w:val="center"/>
              <w:rPr>
                <w:rFonts w:hint="eastAsia" w:ascii="仿宋_GB2312" w:hAnsi="仿宋_GB2312" w:eastAsia="仿宋_GB2312" w:cs="仿宋_GB2312"/>
                <w:b/>
                <w:bCs/>
                <w:color w:val="auto"/>
                <w:sz w:val="32"/>
                <w:szCs w:val="32"/>
                <w:highlight w:val="none"/>
                <w:lang w:bidi="ar"/>
              </w:rPr>
            </w:pPr>
            <w:r>
              <w:rPr>
                <w:rFonts w:hint="eastAsia" w:ascii="仿宋_GB2312" w:hAnsi="仿宋_GB2312" w:eastAsia="仿宋_GB2312" w:cs="仿宋_GB2312"/>
                <w:b/>
                <w:bCs/>
                <w:color w:val="auto"/>
                <w:sz w:val="32"/>
                <w:szCs w:val="32"/>
                <w:highlight w:val="none"/>
                <w:lang w:bidi="ar"/>
              </w:rPr>
              <w:t>电子信箱</w:t>
            </w:r>
          </w:p>
        </w:tc>
        <w:tc>
          <w:tcPr>
            <w:tcW w:w="3127" w:type="dxa"/>
            <w:noWrap w:val="0"/>
            <w:vAlign w:val="center"/>
          </w:tcPr>
          <w:p w14:paraId="6471C863">
            <w:pPr>
              <w:pStyle w:val="16"/>
              <w:snapToGrid w:val="0"/>
              <w:spacing w:line="240" w:lineRule="auto"/>
              <w:ind w:firstLine="0" w:firstLineChars="0"/>
              <w:rPr>
                <w:rFonts w:hint="eastAsia" w:ascii="仿宋_GB2312" w:hAnsi="仿宋_GB2312" w:eastAsia="仿宋_GB2312" w:cs="仿宋_GB2312"/>
                <w:color w:val="auto"/>
                <w:sz w:val="32"/>
                <w:szCs w:val="32"/>
                <w:highlight w:val="none"/>
                <w:lang w:bidi="ar"/>
              </w:rPr>
            </w:pPr>
          </w:p>
        </w:tc>
        <w:tc>
          <w:tcPr>
            <w:tcW w:w="3640" w:type="dxa"/>
            <w:noWrap w:val="0"/>
            <w:vAlign w:val="center"/>
          </w:tcPr>
          <w:p w14:paraId="4DB80B13">
            <w:pPr>
              <w:pStyle w:val="16"/>
              <w:snapToGrid w:val="0"/>
              <w:spacing w:line="240" w:lineRule="auto"/>
              <w:ind w:firstLine="0" w:firstLineChars="0"/>
              <w:rPr>
                <w:rFonts w:hint="eastAsia" w:ascii="仿宋_GB2312" w:hAnsi="仿宋_GB2312" w:eastAsia="仿宋_GB2312" w:cs="仿宋_GB2312"/>
                <w:color w:val="auto"/>
                <w:sz w:val="32"/>
                <w:szCs w:val="32"/>
                <w:highlight w:val="none"/>
                <w:lang w:bidi="ar"/>
              </w:rPr>
            </w:pPr>
          </w:p>
        </w:tc>
        <w:tc>
          <w:tcPr>
            <w:tcW w:w="3640" w:type="dxa"/>
            <w:noWrap w:val="0"/>
            <w:vAlign w:val="center"/>
          </w:tcPr>
          <w:p w14:paraId="3CC42B57">
            <w:pPr>
              <w:pStyle w:val="16"/>
              <w:snapToGrid w:val="0"/>
              <w:spacing w:line="240" w:lineRule="auto"/>
              <w:ind w:firstLine="0" w:firstLineChars="0"/>
              <w:rPr>
                <w:rFonts w:hint="eastAsia" w:ascii="仿宋_GB2312" w:hAnsi="仿宋_GB2312" w:eastAsia="仿宋_GB2312" w:cs="仿宋_GB2312"/>
                <w:color w:val="auto"/>
                <w:sz w:val="32"/>
                <w:szCs w:val="32"/>
                <w:highlight w:val="none"/>
                <w:lang w:bidi="ar"/>
              </w:rPr>
            </w:pPr>
          </w:p>
        </w:tc>
      </w:tr>
      <w:tr w14:paraId="2C93B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880" w:type="dxa"/>
            <w:vMerge w:val="continue"/>
            <w:noWrap w:val="0"/>
            <w:vAlign w:val="top"/>
          </w:tcPr>
          <w:p w14:paraId="62AAE18F">
            <w:pPr>
              <w:pStyle w:val="16"/>
              <w:snapToGrid w:val="0"/>
              <w:spacing w:line="240" w:lineRule="auto"/>
              <w:ind w:firstLine="0" w:firstLineChars="0"/>
              <w:jc w:val="left"/>
              <w:rPr>
                <w:rFonts w:hint="eastAsia" w:ascii="仿宋_GB2312" w:hAnsi="仿宋_GB2312" w:eastAsia="仿宋_GB2312" w:cs="仿宋_GB2312"/>
                <w:b/>
                <w:bCs/>
                <w:color w:val="auto"/>
                <w:sz w:val="32"/>
                <w:szCs w:val="32"/>
                <w:highlight w:val="none"/>
                <w:lang w:bidi="ar"/>
              </w:rPr>
            </w:pPr>
          </w:p>
        </w:tc>
        <w:tc>
          <w:tcPr>
            <w:tcW w:w="2630" w:type="dxa"/>
            <w:noWrap w:val="0"/>
            <w:vAlign w:val="top"/>
          </w:tcPr>
          <w:p w14:paraId="5449C1A9">
            <w:pPr>
              <w:pStyle w:val="16"/>
              <w:snapToGrid w:val="0"/>
              <w:spacing w:line="240" w:lineRule="auto"/>
              <w:ind w:firstLine="0" w:firstLineChars="0"/>
              <w:jc w:val="center"/>
              <w:rPr>
                <w:rFonts w:hint="eastAsia" w:ascii="仿宋_GB2312" w:hAnsi="仿宋_GB2312" w:eastAsia="仿宋_GB2312" w:cs="仿宋_GB2312"/>
                <w:b/>
                <w:bCs/>
                <w:color w:val="auto"/>
                <w:sz w:val="32"/>
                <w:szCs w:val="32"/>
                <w:highlight w:val="none"/>
                <w:lang w:bidi="ar"/>
              </w:rPr>
            </w:pPr>
            <w:r>
              <w:rPr>
                <w:rFonts w:hint="eastAsia" w:ascii="仿宋_GB2312" w:hAnsi="仿宋_GB2312" w:eastAsia="仿宋_GB2312" w:cs="仿宋_GB2312"/>
                <w:b/>
                <w:bCs/>
                <w:color w:val="auto"/>
                <w:sz w:val="32"/>
                <w:szCs w:val="32"/>
                <w:highlight w:val="none"/>
                <w:lang w:bidi="ar"/>
              </w:rPr>
              <w:t>通信地址</w:t>
            </w:r>
          </w:p>
        </w:tc>
        <w:tc>
          <w:tcPr>
            <w:tcW w:w="3127" w:type="dxa"/>
            <w:noWrap w:val="0"/>
            <w:vAlign w:val="center"/>
          </w:tcPr>
          <w:p w14:paraId="0BF43B71">
            <w:pPr>
              <w:pStyle w:val="16"/>
              <w:snapToGrid w:val="0"/>
              <w:spacing w:line="240" w:lineRule="auto"/>
              <w:ind w:firstLine="0" w:firstLineChars="0"/>
              <w:rPr>
                <w:rFonts w:hint="eastAsia" w:ascii="仿宋_GB2312" w:hAnsi="仿宋_GB2312" w:eastAsia="仿宋_GB2312" w:cs="仿宋_GB2312"/>
                <w:color w:val="auto"/>
                <w:sz w:val="32"/>
                <w:szCs w:val="32"/>
                <w:highlight w:val="none"/>
                <w:lang w:bidi="ar"/>
              </w:rPr>
            </w:pPr>
          </w:p>
        </w:tc>
        <w:tc>
          <w:tcPr>
            <w:tcW w:w="3640" w:type="dxa"/>
            <w:noWrap w:val="0"/>
            <w:vAlign w:val="center"/>
          </w:tcPr>
          <w:p w14:paraId="10523CE1">
            <w:pPr>
              <w:pStyle w:val="16"/>
              <w:snapToGrid w:val="0"/>
              <w:spacing w:line="240" w:lineRule="auto"/>
              <w:ind w:firstLine="0" w:firstLineChars="0"/>
              <w:rPr>
                <w:rFonts w:hint="eastAsia" w:ascii="仿宋_GB2312" w:hAnsi="仿宋_GB2312" w:eastAsia="仿宋_GB2312" w:cs="仿宋_GB2312"/>
                <w:color w:val="auto"/>
                <w:sz w:val="32"/>
                <w:szCs w:val="32"/>
                <w:highlight w:val="none"/>
                <w:lang w:bidi="ar"/>
              </w:rPr>
            </w:pPr>
          </w:p>
        </w:tc>
        <w:tc>
          <w:tcPr>
            <w:tcW w:w="3640" w:type="dxa"/>
            <w:noWrap w:val="0"/>
            <w:vAlign w:val="center"/>
          </w:tcPr>
          <w:p w14:paraId="605BC448">
            <w:pPr>
              <w:pStyle w:val="16"/>
              <w:snapToGrid w:val="0"/>
              <w:spacing w:line="240" w:lineRule="auto"/>
              <w:ind w:firstLine="0" w:firstLineChars="0"/>
              <w:rPr>
                <w:rFonts w:hint="eastAsia" w:ascii="仿宋_GB2312" w:hAnsi="仿宋_GB2312" w:eastAsia="仿宋_GB2312" w:cs="仿宋_GB2312"/>
                <w:color w:val="auto"/>
                <w:sz w:val="32"/>
                <w:szCs w:val="32"/>
                <w:highlight w:val="none"/>
                <w:lang w:bidi="ar"/>
              </w:rPr>
            </w:pPr>
          </w:p>
        </w:tc>
      </w:tr>
    </w:tbl>
    <w:p w14:paraId="500CC58A">
      <w:pPr>
        <w:snapToGrid w:val="0"/>
        <w:spacing w:line="360" w:lineRule="auto"/>
        <w:rPr>
          <w:rFonts w:ascii="仿宋" w:hAnsi="仿宋" w:eastAsia="仿宋" w:cs="仿宋"/>
          <w:b/>
          <w:bCs/>
          <w:color w:val="auto"/>
          <w:sz w:val="32"/>
          <w:szCs w:val="32"/>
          <w:highlight w:val="none"/>
        </w:rPr>
        <w:sectPr>
          <w:type w:val="continuous"/>
          <w:pgSz w:w="16838" w:h="11906" w:orient="landscape"/>
          <w:pgMar w:top="1440" w:right="1800" w:bottom="1440" w:left="1800" w:header="851" w:footer="992" w:gutter="0"/>
          <w:pgNumType w:fmt="decimal"/>
          <w:cols w:space="720" w:num="1"/>
          <w:titlePg/>
          <w:docGrid w:type="lines" w:linePitch="312" w:charSpace="0"/>
        </w:sectPr>
      </w:pPr>
    </w:p>
    <w:bookmarkEnd w:id="2904"/>
    <w:bookmarkEnd w:id="2905"/>
    <w:bookmarkEnd w:id="2906"/>
    <w:bookmarkEnd w:id="2907"/>
    <w:bookmarkEnd w:id="2908"/>
    <w:bookmarkEnd w:id="2909"/>
    <w:bookmarkEnd w:id="2910"/>
    <w:p w14:paraId="67AAF990">
      <w:pPr>
        <w:rPr>
          <w:rFonts w:ascii="仿宋" w:hAnsi="仿宋" w:eastAsia="仿宋" w:cs="仿宋"/>
          <w:color w:val="auto"/>
          <w:sz w:val="32"/>
          <w:szCs w:val="32"/>
          <w:highlight w:val="none"/>
        </w:rPr>
      </w:pPr>
    </w:p>
    <w:p w14:paraId="06CB0271">
      <w:pPr>
        <w:rPr>
          <w:rFonts w:hint="eastAsia" w:ascii="仿宋_GB2312" w:hAnsi="仿宋_GB2312" w:eastAsia="仿宋_GB2312" w:cs="仿宋_GB2312"/>
          <w:b w:val="0"/>
          <w:bCs w:val="0"/>
          <w:color w:val="auto"/>
          <w:sz w:val="32"/>
          <w:szCs w:val="32"/>
          <w:highlight w:val="none"/>
        </w:rPr>
      </w:pPr>
      <w:bookmarkStart w:id="3010" w:name="_Toc18495"/>
      <w:bookmarkStart w:id="3011" w:name="_Toc25334"/>
      <w:bookmarkStart w:id="3012" w:name="_Toc24830"/>
      <w:bookmarkStart w:id="3013" w:name="_Toc6165"/>
      <w:bookmarkStart w:id="3014" w:name="_Toc4334"/>
      <w:bookmarkStart w:id="3015" w:name="_Toc16376"/>
      <w:bookmarkStart w:id="3016" w:name="_Toc24678"/>
      <w:r>
        <w:rPr>
          <w:rFonts w:hint="eastAsia" w:ascii="黑体" w:hAnsi="黑体" w:eastAsia="黑体" w:cs="黑体"/>
          <w:b w:val="0"/>
          <w:bCs w:val="0"/>
          <w:color w:val="auto"/>
          <w:sz w:val="32"/>
          <w:szCs w:val="32"/>
          <w:highlight w:val="none"/>
        </w:rPr>
        <w:t>附件</w:t>
      </w:r>
      <w:r>
        <w:rPr>
          <w:rFonts w:hint="eastAsia" w:ascii="黑体" w:hAnsi="黑体" w:eastAsia="黑体" w:cs="黑体"/>
          <w:b w:val="0"/>
          <w:bCs w:val="0"/>
          <w:color w:val="auto"/>
          <w:sz w:val="32"/>
          <w:szCs w:val="32"/>
          <w:highlight w:val="none"/>
          <w:lang w:val="en-US" w:eastAsia="zh-CN"/>
        </w:rPr>
        <w:t>16</w:t>
      </w:r>
    </w:p>
    <w:p w14:paraId="01CF969A">
      <w:pPr>
        <w:jc w:val="center"/>
        <w:rPr>
          <w:rFonts w:hint="eastAsia" w:ascii="方正小标宋简体" w:hAnsi="方正小标宋简体" w:eastAsia="方正小标宋简体" w:cs="方正小标宋简体"/>
          <w:b w:val="0"/>
          <w:bCs w:val="0"/>
          <w:color w:val="auto"/>
          <w:sz w:val="44"/>
          <w:szCs w:val="44"/>
          <w:highlight w:val="none"/>
        </w:rPr>
      </w:pPr>
      <w:r>
        <w:rPr>
          <w:rFonts w:hint="eastAsia" w:ascii="方正小标宋简体" w:hAnsi="方正小标宋简体" w:eastAsia="方正小标宋简体" w:cs="方正小标宋简体"/>
          <w:b w:val="0"/>
          <w:bCs w:val="0"/>
          <w:color w:val="auto"/>
          <w:sz w:val="44"/>
          <w:szCs w:val="44"/>
          <w:highlight w:val="none"/>
        </w:rPr>
        <w:t>江东新区施工围挡标准化</w:t>
      </w:r>
      <w:bookmarkEnd w:id="3010"/>
      <w:bookmarkEnd w:id="3011"/>
      <w:bookmarkEnd w:id="3012"/>
      <w:bookmarkEnd w:id="3013"/>
      <w:bookmarkEnd w:id="3014"/>
      <w:bookmarkEnd w:id="3015"/>
      <w:bookmarkEnd w:id="3016"/>
    </w:p>
    <w:p w14:paraId="49EEB9A9">
      <w:pPr>
        <w:rPr>
          <w:rFonts w:eastAsia="仿宋"/>
          <w:color w:val="auto"/>
          <w:sz w:val="32"/>
          <w:szCs w:val="32"/>
          <w:highlight w:val="none"/>
        </w:rPr>
      </w:pPr>
      <w:r>
        <w:rPr>
          <w:rFonts w:hint="eastAsia" w:eastAsia="仿宋"/>
          <w:color w:val="auto"/>
          <w:sz w:val="32"/>
          <w:szCs w:val="32"/>
          <w:highlight w:val="none"/>
        </w:rPr>
        <w:drawing>
          <wp:inline distT="0" distB="0" distL="114300" distR="114300">
            <wp:extent cx="5268595" cy="7450455"/>
            <wp:effectExtent l="0" t="0" r="8255" b="17145"/>
            <wp:docPr id="61" name="图片 60" descr="SKM_C300i220701155700_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0" descr="SKM_C300i220701155700_0001"/>
                    <pic:cNvPicPr>
                      <a:picLocks noChangeAspect="1"/>
                    </pic:cNvPicPr>
                  </pic:nvPicPr>
                  <pic:blipFill>
                    <a:blip r:embed="rId33"/>
                    <a:stretch>
                      <a:fillRect/>
                    </a:stretch>
                  </pic:blipFill>
                  <pic:spPr>
                    <a:xfrm>
                      <a:off x="0" y="0"/>
                      <a:ext cx="5268595" cy="7450455"/>
                    </a:xfrm>
                    <a:prstGeom prst="rect">
                      <a:avLst/>
                    </a:prstGeom>
                    <a:noFill/>
                    <a:ln>
                      <a:noFill/>
                    </a:ln>
                  </pic:spPr>
                </pic:pic>
              </a:graphicData>
            </a:graphic>
          </wp:inline>
        </w:drawing>
      </w:r>
      <w:r>
        <w:rPr>
          <w:rFonts w:hint="eastAsia" w:eastAsia="仿宋"/>
          <w:color w:val="auto"/>
          <w:sz w:val="32"/>
          <w:szCs w:val="32"/>
          <w:highlight w:val="none"/>
        </w:rPr>
        <w:drawing>
          <wp:inline distT="0" distB="0" distL="114300" distR="114300">
            <wp:extent cx="5268595" cy="7450455"/>
            <wp:effectExtent l="0" t="0" r="8255" b="17145"/>
            <wp:docPr id="76" name="图片 61" descr="SKM_C300i220701155700_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61" descr="SKM_C300i220701155700_0002"/>
                    <pic:cNvPicPr>
                      <a:picLocks noChangeAspect="1"/>
                    </pic:cNvPicPr>
                  </pic:nvPicPr>
                  <pic:blipFill>
                    <a:blip r:embed="rId34"/>
                    <a:stretch>
                      <a:fillRect/>
                    </a:stretch>
                  </pic:blipFill>
                  <pic:spPr>
                    <a:xfrm>
                      <a:off x="0" y="0"/>
                      <a:ext cx="5268595" cy="7450455"/>
                    </a:xfrm>
                    <a:prstGeom prst="rect">
                      <a:avLst/>
                    </a:prstGeom>
                    <a:noFill/>
                    <a:ln>
                      <a:noFill/>
                    </a:ln>
                  </pic:spPr>
                </pic:pic>
              </a:graphicData>
            </a:graphic>
          </wp:inline>
        </w:drawing>
      </w:r>
      <w:r>
        <w:rPr>
          <w:rFonts w:hint="eastAsia" w:eastAsia="仿宋"/>
          <w:color w:val="auto"/>
          <w:sz w:val="32"/>
          <w:szCs w:val="32"/>
          <w:highlight w:val="none"/>
        </w:rPr>
        <w:drawing>
          <wp:inline distT="0" distB="0" distL="114300" distR="114300">
            <wp:extent cx="5268595" cy="7450455"/>
            <wp:effectExtent l="0" t="0" r="8255" b="17145"/>
            <wp:docPr id="62" name="图片 62" descr="SKM_C300i220701155700_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SKM_C300i220701155700_0003"/>
                    <pic:cNvPicPr>
                      <a:picLocks noChangeAspect="1"/>
                    </pic:cNvPicPr>
                  </pic:nvPicPr>
                  <pic:blipFill>
                    <a:blip r:embed="rId35"/>
                    <a:stretch>
                      <a:fillRect/>
                    </a:stretch>
                  </pic:blipFill>
                  <pic:spPr>
                    <a:xfrm>
                      <a:off x="0" y="0"/>
                      <a:ext cx="5268595" cy="7450455"/>
                    </a:xfrm>
                    <a:prstGeom prst="rect">
                      <a:avLst/>
                    </a:prstGeom>
                    <a:noFill/>
                    <a:ln>
                      <a:noFill/>
                    </a:ln>
                  </pic:spPr>
                </pic:pic>
              </a:graphicData>
            </a:graphic>
          </wp:inline>
        </w:drawing>
      </w:r>
      <w:r>
        <w:rPr>
          <w:rFonts w:hint="eastAsia" w:eastAsia="仿宋"/>
          <w:color w:val="auto"/>
          <w:sz w:val="32"/>
          <w:szCs w:val="32"/>
          <w:highlight w:val="none"/>
        </w:rPr>
        <w:drawing>
          <wp:inline distT="0" distB="0" distL="114300" distR="114300">
            <wp:extent cx="5268595" cy="7450455"/>
            <wp:effectExtent l="0" t="0" r="8255" b="17145"/>
            <wp:docPr id="77" name="图片 63" descr="SKM_C300i220701155700_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63" descr="SKM_C300i220701155700_0004"/>
                    <pic:cNvPicPr>
                      <a:picLocks noChangeAspect="1"/>
                    </pic:cNvPicPr>
                  </pic:nvPicPr>
                  <pic:blipFill>
                    <a:blip r:embed="rId36"/>
                    <a:stretch>
                      <a:fillRect/>
                    </a:stretch>
                  </pic:blipFill>
                  <pic:spPr>
                    <a:xfrm>
                      <a:off x="0" y="0"/>
                      <a:ext cx="5268595" cy="7450455"/>
                    </a:xfrm>
                    <a:prstGeom prst="rect">
                      <a:avLst/>
                    </a:prstGeom>
                    <a:noFill/>
                    <a:ln>
                      <a:noFill/>
                    </a:ln>
                  </pic:spPr>
                </pic:pic>
              </a:graphicData>
            </a:graphic>
          </wp:inline>
        </w:drawing>
      </w:r>
      <w:r>
        <w:rPr>
          <w:rFonts w:hint="eastAsia" w:eastAsia="仿宋"/>
          <w:color w:val="auto"/>
          <w:sz w:val="32"/>
          <w:szCs w:val="32"/>
          <w:highlight w:val="none"/>
        </w:rPr>
        <w:drawing>
          <wp:inline distT="0" distB="0" distL="114300" distR="114300">
            <wp:extent cx="5268595" cy="7450455"/>
            <wp:effectExtent l="0" t="0" r="8255" b="17145"/>
            <wp:docPr id="66" name="图片 64" descr="SKM_C300i220701155700_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4" descr="SKM_C300i220701155700_0005"/>
                    <pic:cNvPicPr>
                      <a:picLocks noChangeAspect="1"/>
                    </pic:cNvPicPr>
                  </pic:nvPicPr>
                  <pic:blipFill>
                    <a:blip r:embed="rId37"/>
                    <a:stretch>
                      <a:fillRect/>
                    </a:stretch>
                  </pic:blipFill>
                  <pic:spPr>
                    <a:xfrm>
                      <a:off x="0" y="0"/>
                      <a:ext cx="5268595" cy="7450455"/>
                    </a:xfrm>
                    <a:prstGeom prst="rect">
                      <a:avLst/>
                    </a:prstGeom>
                    <a:noFill/>
                    <a:ln>
                      <a:noFill/>
                    </a:ln>
                  </pic:spPr>
                </pic:pic>
              </a:graphicData>
            </a:graphic>
          </wp:inline>
        </w:drawing>
      </w:r>
      <w:r>
        <w:rPr>
          <w:rFonts w:hint="eastAsia" w:eastAsia="仿宋"/>
          <w:color w:val="auto"/>
          <w:sz w:val="32"/>
          <w:szCs w:val="32"/>
          <w:highlight w:val="none"/>
        </w:rPr>
        <w:drawing>
          <wp:inline distT="0" distB="0" distL="114300" distR="114300">
            <wp:extent cx="5268595" cy="7450455"/>
            <wp:effectExtent l="0" t="0" r="8255" b="17145"/>
            <wp:docPr id="78" name="图片 65" descr="SKM_C300i220701155700_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65" descr="SKM_C300i220701155700_0006"/>
                    <pic:cNvPicPr>
                      <a:picLocks noChangeAspect="1"/>
                    </pic:cNvPicPr>
                  </pic:nvPicPr>
                  <pic:blipFill>
                    <a:blip r:embed="rId38"/>
                    <a:stretch>
                      <a:fillRect/>
                    </a:stretch>
                  </pic:blipFill>
                  <pic:spPr>
                    <a:xfrm>
                      <a:off x="0" y="0"/>
                      <a:ext cx="5268595" cy="7450455"/>
                    </a:xfrm>
                    <a:prstGeom prst="rect">
                      <a:avLst/>
                    </a:prstGeom>
                    <a:noFill/>
                    <a:ln>
                      <a:noFill/>
                    </a:ln>
                  </pic:spPr>
                </pic:pic>
              </a:graphicData>
            </a:graphic>
          </wp:inline>
        </w:drawing>
      </w:r>
      <w:r>
        <w:rPr>
          <w:rFonts w:hint="eastAsia" w:eastAsia="仿宋"/>
          <w:color w:val="auto"/>
          <w:sz w:val="32"/>
          <w:szCs w:val="32"/>
          <w:highlight w:val="none"/>
        </w:rPr>
        <w:drawing>
          <wp:inline distT="0" distB="0" distL="114300" distR="114300">
            <wp:extent cx="5268595" cy="7450455"/>
            <wp:effectExtent l="0" t="0" r="8255" b="17145"/>
            <wp:docPr id="63" name="图片 66" descr="SKM_C300i220701155700_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6" descr="SKM_C300i220701155700_0007"/>
                    <pic:cNvPicPr>
                      <a:picLocks noChangeAspect="1"/>
                    </pic:cNvPicPr>
                  </pic:nvPicPr>
                  <pic:blipFill>
                    <a:blip r:embed="rId39"/>
                    <a:stretch>
                      <a:fillRect/>
                    </a:stretch>
                  </pic:blipFill>
                  <pic:spPr>
                    <a:xfrm>
                      <a:off x="0" y="0"/>
                      <a:ext cx="5268595" cy="7450455"/>
                    </a:xfrm>
                    <a:prstGeom prst="rect">
                      <a:avLst/>
                    </a:prstGeom>
                    <a:noFill/>
                    <a:ln>
                      <a:noFill/>
                    </a:ln>
                  </pic:spPr>
                </pic:pic>
              </a:graphicData>
            </a:graphic>
          </wp:inline>
        </w:drawing>
      </w:r>
      <w:r>
        <w:rPr>
          <w:rFonts w:hint="eastAsia" w:eastAsia="仿宋"/>
          <w:color w:val="auto"/>
          <w:sz w:val="32"/>
          <w:szCs w:val="32"/>
          <w:highlight w:val="none"/>
        </w:rPr>
        <w:drawing>
          <wp:inline distT="0" distB="0" distL="114300" distR="114300">
            <wp:extent cx="5268595" cy="7450455"/>
            <wp:effectExtent l="0" t="0" r="8255" b="17145"/>
            <wp:docPr id="64" name="图片 67" descr="SKM_C300i220701155700_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7" descr="SKM_C300i220701155700_0008"/>
                    <pic:cNvPicPr>
                      <a:picLocks noChangeAspect="1"/>
                    </pic:cNvPicPr>
                  </pic:nvPicPr>
                  <pic:blipFill>
                    <a:blip r:embed="rId40"/>
                    <a:stretch>
                      <a:fillRect/>
                    </a:stretch>
                  </pic:blipFill>
                  <pic:spPr>
                    <a:xfrm>
                      <a:off x="0" y="0"/>
                      <a:ext cx="5268595" cy="7450455"/>
                    </a:xfrm>
                    <a:prstGeom prst="rect">
                      <a:avLst/>
                    </a:prstGeom>
                    <a:noFill/>
                    <a:ln>
                      <a:noFill/>
                    </a:ln>
                  </pic:spPr>
                </pic:pic>
              </a:graphicData>
            </a:graphic>
          </wp:inline>
        </w:drawing>
      </w:r>
      <w:r>
        <w:rPr>
          <w:rFonts w:hint="eastAsia" w:eastAsia="仿宋"/>
          <w:color w:val="auto"/>
          <w:sz w:val="32"/>
          <w:szCs w:val="32"/>
          <w:highlight w:val="none"/>
        </w:rPr>
        <w:drawing>
          <wp:inline distT="0" distB="0" distL="114300" distR="114300">
            <wp:extent cx="5268595" cy="7450455"/>
            <wp:effectExtent l="0" t="0" r="8255" b="17145"/>
            <wp:docPr id="49" name="图片 68" descr="SKM_C300i220701155700_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68" descr="SKM_C300i220701155700_0009"/>
                    <pic:cNvPicPr>
                      <a:picLocks noChangeAspect="1"/>
                    </pic:cNvPicPr>
                  </pic:nvPicPr>
                  <pic:blipFill>
                    <a:blip r:embed="rId41"/>
                    <a:stretch>
                      <a:fillRect/>
                    </a:stretch>
                  </pic:blipFill>
                  <pic:spPr>
                    <a:xfrm>
                      <a:off x="0" y="0"/>
                      <a:ext cx="5268595" cy="7450455"/>
                    </a:xfrm>
                    <a:prstGeom prst="rect">
                      <a:avLst/>
                    </a:prstGeom>
                    <a:noFill/>
                    <a:ln>
                      <a:noFill/>
                    </a:ln>
                  </pic:spPr>
                </pic:pic>
              </a:graphicData>
            </a:graphic>
          </wp:inline>
        </w:drawing>
      </w:r>
      <w:r>
        <w:rPr>
          <w:rFonts w:hint="eastAsia" w:eastAsia="仿宋"/>
          <w:color w:val="auto"/>
          <w:sz w:val="32"/>
          <w:szCs w:val="32"/>
          <w:highlight w:val="none"/>
        </w:rPr>
        <w:drawing>
          <wp:inline distT="0" distB="0" distL="114300" distR="114300">
            <wp:extent cx="5268595" cy="7450455"/>
            <wp:effectExtent l="0" t="0" r="8255" b="17145"/>
            <wp:docPr id="65" name="图片 69" descr="SKM_C300i220701155700_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9" descr="SKM_C300i220701155700_0010"/>
                    <pic:cNvPicPr>
                      <a:picLocks noChangeAspect="1"/>
                    </pic:cNvPicPr>
                  </pic:nvPicPr>
                  <pic:blipFill>
                    <a:blip r:embed="rId42"/>
                    <a:stretch>
                      <a:fillRect/>
                    </a:stretch>
                  </pic:blipFill>
                  <pic:spPr>
                    <a:xfrm>
                      <a:off x="0" y="0"/>
                      <a:ext cx="5268595" cy="7450455"/>
                    </a:xfrm>
                    <a:prstGeom prst="rect">
                      <a:avLst/>
                    </a:prstGeom>
                    <a:noFill/>
                    <a:ln>
                      <a:noFill/>
                    </a:ln>
                  </pic:spPr>
                </pic:pic>
              </a:graphicData>
            </a:graphic>
          </wp:inline>
        </w:drawing>
      </w:r>
      <w:r>
        <w:rPr>
          <w:rFonts w:hint="eastAsia" w:eastAsia="仿宋"/>
          <w:color w:val="auto"/>
          <w:sz w:val="32"/>
          <w:szCs w:val="32"/>
          <w:highlight w:val="none"/>
        </w:rPr>
        <w:drawing>
          <wp:inline distT="0" distB="0" distL="114300" distR="114300">
            <wp:extent cx="5268595" cy="7450455"/>
            <wp:effectExtent l="0" t="0" r="8255" b="17145"/>
            <wp:docPr id="67" name="图片 70" descr="SKM_C300i220701155700_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70" descr="SKM_C300i220701155700_0016"/>
                    <pic:cNvPicPr>
                      <a:picLocks noChangeAspect="1"/>
                    </pic:cNvPicPr>
                  </pic:nvPicPr>
                  <pic:blipFill>
                    <a:blip r:embed="rId43"/>
                    <a:stretch>
                      <a:fillRect/>
                    </a:stretch>
                  </pic:blipFill>
                  <pic:spPr>
                    <a:xfrm>
                      <a:off x="0" y="0"/>
                      <a:ext cx="5268595" cy="7450455"/>
                    </a:xfrm>
                    <a:prstGeom prst="rect">
                      <a:avLst/>
                    </a:prstGeom>
                    <a:noFill/>
                    <a:ln>
                      <a:noFill/>
                    </a:ln>
                  </pic:spPr>
                </pic:pic>
              </a:graphicData>
            </a:graphic>
          </wp:inline>
        </w:drawing>
      </w:r>
    </w:p>
    <w:p w14:paraId="51ABA7E5">
      <w:pPr>
        <w:pStyle w:val="2"/>
        <w:snapToGrid w:val="0"/>
        <w:spacing w:line="360" w:lineRule="auto"/>
        <w:rPr>
          <w:rFonts w:ascii="仿宋" w:hAnsi="仿宋" w:eastAsia="仿宋" w:cs="仿宋"/>
          <w:b w:val="0"/>
          <w:bCs w:val="0"/>
          <w:color w:val="auto"/>
          <w:sz w:val="32"/>
          <w:szCs w:val="32"/>
          <w:highlight w:val="none"/>
        </w:rPr>
        <w:sectPr>
          <w:footerReference r:id="rId17" w:type="first"/>
          <w:footerReference r:id="rId16" w:type="default"/>
          <w:type w:val="continuous"/>
          <w:pgSz w:w="11906" w:h="16838"/>
          <w:pgMar w:top="1247" w:right="1417" w:bottom="1247" w:left="1417" w:header="851" w:footer="992" w:gutter="0"/>
          <w:pgNumType w:fmt="decimal"/>
          <w:cols w:space="720" w:num="1"/>
          <w:titlePg/>
          <w:docGrid w:type="lines" w:linePitch="312" w:charSpace="0"/>
        </w:sectPr>
      </w:pPr>
      <w:bookmarkStart w:id="3017" w:name="_Toc16118"/>
      <w:bookmarkStart w:id="3018" w:name="_Toc31711"/>
      <w:bookmarkStart w:id="3019" w:name="_Toc18339"/>
      <w:bookmarkStart w:id="3020" w:name="_Toc1763"/>
      <w:bookmarkStart w:id="3021" w:name="_Toc16267"/>
      <w:bookmarkStart w:id="3022" w:name="_Toc31030"/>
      <w:r>
        <w:rPr>
          <w:rFonts w:hint="eastAsia" w:ascii="仿宋" w:hAnsi="仿宋" w:eastAsia="仿宋" w:cs="仿宋"/>
          <w:b w:val="0"/>
          <w:bCs w:val="0"/>
          <w:color w:val="auto"/>
          <w:sz w:val="32"/>
          <w:szCs w:val="32"/>
          <w:highlight w:val="none"/>
        </w:rPr>
        <w:br w:type="page"/>
      </w:r>
      <w:bookmarkEnd w:id="3017"/>
      <w:bookmarkEnd w:id="3018"/>
      <w:bookmarkEnd w:id="3019"/>
      <w:bookmarkEnd w:id="3020"/>
      <w:bookmarkEnd w:id="3021"/>
      <w:bookmarkEnd w:id="3022"/>
    </w:p>
    <w:p w14:paraId="3911C13D">
      <w:pPr>
        <w:pStyle w:val="2"/>
        <w:snapToGrid/>
        <w:spacing w:before="0" w:after="0" w:line="576" w:lineRule="exact"/>
        <w:rPr>
          <w:rFonts w:hint="eastAsia" w:ascii="仿宋_GB2312" w:hAnsi="仿宋_GB2312" w:eastAsia="仿宋_GB2312" w:cs="仿宋_GB2312"/>
          <w:b w:val="0"/>
          <w:bCs w:val="0"/>
          <w:color w:val="auto"/>
          <w:sz w:val="32"/>
          <w:szCs w:val="32"/>
          <w:highlight w:val="none"/>
          <w:lang w:bidi="ar"/>
        </w:rPr>
      </w:pPr>
      <w:bookmarkStart w:id="3023" w:name="_Toc29964"/>
      <w:bookmarkStart w:id="3024" w:name="_Toc31734"/>
      <w:bookmarkStart w:id="3025" w:name="_Toc21351"/>
      <w:bookmarkStart w:id="3026" w:name="_Toc32311"/>
      <w:bookmarkStart w:id="3027" w:name="_Toc2575"/>
      <w:bookmarkStart w:id="3028" w:name="_Toc10804"/>
      <w:bookmarkStart w:id="3029" w:name="_Toc27400"/>
      <w:bookmarkStart w:id="3030" w:name="_Toc6531"/>
      <w:r>
        <w:rPr>
          <w:rFonts w:hint="eastAsia" w:ascii="黑体" w:hAnsi="黑体" w:eastAsia="黑体" w:cs="黑体"/>
          <w:b w:val="0"/>
          <w:bCs w:val="0"/>
          <w:color w:val="auto"/>
          <w:sz w:val="32"/>
          <w:szCs w:val="32"/>
          <w:highlight w:val="none"/>
          <w:lang w:bidi="ar"/>
        </w:rPr>
        <w:t>附件</w:t>
      </w:r>
      <w:r>
        <w:rPr>
          <w:rFonts w:hint="eastAsia" w:ascii="黑体" w:hAnsi="黑体" w:eastAsia="黑体" w:cs="黑体"/>
          <w:b w:val="0"/>
          <w:bCs w:val="0"/>
          <w:color w:val="auto"/>
          <w:sz w:val="32"/>
          <w:szCs w:val="32"/>
          <w:highlight w:val="none"/>
          <w:lang w:val="en-US" w:eastAsia="zh-CN" w:bidi="ar"/>
        </w:rPr>
        <w:t>17</w:t>
      </w:r>
      <w:bookmarkEnd w:id="3023"/>
      <w:bookmarkEnd w:id="3024"/>
      <w:bookmarkEnd w:id="3025"/>
      <w:bookmarkEnd w:id="3026"/>
      <w:bookmarkEnd w:id="3027"/>
      <w:bookmarkEnd w:id="3028"/>
      <w:bookmarkEnd w:id="3029"/>
    </w:p>
    <w:p w14:paraId="678D8F53">
      <w:pPr>
        <w:widowControl/>
        <w:spacing w:line="576" w:lineRule="exact"/>
        <w:jc w:val="center"/>
        <w:rPr>
          <w:rFonts w:hint="eastAsia" w:ascii="方正小标宋简体" w:hAnsi="方正小标宋简体" w:eastAsia="方正小标宋简体" w:cs="方正小标宋简体"/>
          <w:b w:val="0"/>
          <w:bCs w:val="0"/>
          <w:color w:val="auto"/>
          <w:kern w:val="0"/>
          <w:sz w:val="44"/>
          <w:szCs w:val="44"/>
          <w:highlight w:val="none"/>
          <w:lang w:bidi="ar"/>
        </w:rPr>
      </w:pPr>
      <w:r>
        <w:rPr>
          <w:rFonts w:hint="eastAsia" w:ascii="方正小标宋简体" w:hAnsi="方正小标宋简体" w:eastAsia="方正小标宋简体" w:cs="方正小标宋简体"/>
          <w:b w:val="0"/>
          <w:bCs w:val="0"/>
          <w:color w:val="auto"/>
          <w:kern w:val="0"/>
          <w:sz w:val="44"/>
          <w:szCs w:val="44"/>
          <w:highlight w:val="none"/>
          <w:lang w:bidi="ar"/>
        </w:rPr>
        <w:t>建设工程施工环保水保管理协议</w:t>
      </w:r>
    </w:p>
    <w:p w14:paraId="1BA46D0D">
      <w:pPr>
        <w:widowControl/>
        <w:spacing w:line="576" w:lineRule="exact"/>
        <w:jc w:val="both"/>
        <w:rPr>
          <w:rFonts w:hint="eastAsia" w:ascii="黑体" w:hAnsi="黑体" w:eastAsia="黑体" w:cs="黑体"/>
          <w:color w:val="auto"/>
          <w:sz w:val="32"/>
          <w:szCs w:val="32"/>
          <w:highlight w:val="none"/>
        </w:rPr>
      </w:pPr>
      <w:r>
        <w:rPr>
          <w:rFonts w:hint="eastAsia" w:ascii="黑体" w:hAnsi="黑体" w:eastAsia="黑体" w:cs="黑体"/>
          <w:b w:val="0"/>
          <w:bCs w:val="0"/>
          <w:color w:val="auto"/>
          <w:kern w:val="0"/>
          <w:sz w:val="32"/>
          <w:szCs w:val="32"/>
          <w:highlight w:val="none"/>
          <w:lang w:bidi="ar"/>
        </w:rPr>
        <w:t xml:space="preserve">发包人（全称）：     </w:t>
      </w:r>
    </w:p>
    <w:p w14:paraId="57EF76B0">
      <w:pPr>
        <w:widowControl/>
        <w:spacing w:line="576" w:lineRule="exact"/>
        <w:jc w:val="both"/>
        <w:rPr>
          <w:rFonts w:hint="eastAsia" w:ascii="仿宋_GB2312" w:hAnsi="仿宋_GB2312" w:eastAsia="仿宋_GB2312" w:cs="仿宋_GB2312"/>
          <w:b/>
          <w:bCs/>
          <w:color w:val="auto"/>
          <w:kern w:val="0"/>
          <w:sz w:val="32"/>
          <w:szCs w:val="32"/>
          <w:highlight w:val="none"/>
          <w:lang w:bidi="ar"/>
        </w:rPr>
      </w:pPr>
      <w:r>
        <w:rPr>
          <w:rFonts w:hint="eastAsia" w:ascii="黑体" w:hAnsi="黑体" w:eastAsia="黑体" w:cs="黑体"/>
          <w:b w:val="0"/>
          <w:bCs w:val="0"/>
          <w:color w:val="auto"/>
          <w:kern w:val="0"/>
          <w:sz w:val="32"/>
          <w:szCs w:val="32"/>
          <w:highlight w:val="none"/>
          <w:lang w:bidi="ar"/>
        </w:rPr>
        <w:t xml:space="preserve">承包人（全称）：    </w:t>
      </w:r>
      <w:r>
        <w:rPr>
          <w:rFonts w:hint="eastAsia" w:ascii="仿宋_GB2312" w:hAnsi="仿宋_GB2312" w:eastAsia="仿宋_GB2312" w:cs="仿宋_GB2312"/>
          <w:b/>
          <w:bCs/>
          <w:color w:val="auto"/>
          <w:kern w:val="0"/>
          <w:sz w:val="32"/>
          <w:szCs w:val="32"/>
          <w:highlight w:val="none"/>
          <w:lang w:bidi="ar"/>
        </w:rPr>
        <w:t xml:space="preserve"> </w:t>
      </w:r>
    </w:p>
    <w:p w14:paraId="06493241">
      <w:pPr>
        <w:widowControl/>
        <w:spacing w:line="576" w:lineRule="exact"/>
        <w:ind w:firstLine="640" w:firstLineChars="200"/>
        <w:jc w:val="both"/>
        <w:rPr>
          <w:rFonts w:hint="eastAsia" w:ascii="仿宋_GB2312" w:hAnsi="仿宋_GB2312" w:eastAsia="仿宋_GB2312" w:cs="仿宋_GB2312"/>
          <w:color w:val="auto"/>
          <w:kern w:val="0"/>
          <w:sz w:val="32"/>
          <w:szCs w:val="32"/>
          <w:highlight w:val="none"/>
          <w:lang w:bidi="ar"/>
        </w:rPr>
      </w:pPr>
      <w:r>
        <w:rPr>
          <w:rFonts w:hint="eastAsia" w:ascii="仿宋_GB2312" w:hAnsi="仿宋_GB2312" w:eastAsia="仿宋_GB2312" w:cs="仿宋_GB2312"/>
          <w:color w:val="auto"/>
          <w:kern w:val="0"/>
          <w:sz w:val="32"/>
          <w:szCs w:val="32"/>
          <w:highlight w:val="none"/>
          <w:lang w:bidi="ar"/>
        </w:rPr>
        <w:t>为切实贯彻和落实《中华人民共和国环境保护法》和《中华人民共和国水土保持法》及有关</w:t>
      </w:r>
      <w:r>
        <w:rPr>
          <w:rFonts w:hint="eastAsia" w:ascii="仿宋_GB2312" w:hAnsi="仿宋_GB2312" w:eastAsia="仿宋_GB2312" w:cs="仿宋_GB2312"/>
          <w:color w:val="auto"/>
          <w:kern w:val="0"/>
          <w:sz w:val="32"/>
          <w:szCs w:val="32"/>
          <w:highlight w:val="none"/>
          <w:lang w:eastAsia="zh-CN" w:bidi="ar"/>
        </w:rPr>
        <w:t>法律法规</w:t>
      </w:r>
      <w:r>
        <w:rPr>
          <w:rFonts w:hint="eastAsia" w:ascii="仿宋_GB2312" w:hAnsi="仿宋_GB2312" w:eastAsia="仿宋_GB2312" w:cs="仿宋_GB2312"/>
          <w:color w:val="auto"/>
          <w:kern w:val="0"/>
          <w:sz w:val="32"/>
          <w:szCs w:val="32"/>
          <w:highlight w:val="none"/>
          <w:lang w:bidi="ar"/>
        </w:rPr>
        <w:t>的相关规定，确保工程目标建设的顺利实现，本项目发包人与承包人特此签订建设工程环保水保施工管理协议：</w:t>
      </w:r>
    </w:p>
    <w:p w14:paraId="228AE2DE">
      <w:pPr>
        <w:widowControl/>
        <w:spacing w:line="576"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kern w:val="0"/>
          <w:sz w:val="32"/>
          <w:szCs w:val="32"/>
          <w:highlight w:val="none"/>
          <w:lang w:bidi="ar"/>
        </w:rPr>
        <w:t xml:space="preserve"> </w:t>
      </w:r>
      <w:r>
        <w:rPr>
          <w:rFonts w:hint="eastAsia" w:ascii="黑体" w:hAnsi="黑体" w:eastAsia="黑体" w:cs="黑体"/>
          <w:color w:val="auto"/>
          <w:kern w:val="0"/>
          <w:sz w:val="32"/>
          <w:szCs w:val="32"/>
          <w:highlight w:val="none"/>
          <w:lang w:bidi="ar"/>
        </w:rPr>
        <w:t>一、发包人职责</w:t>
      </w:r>
      <w:r>
        <w:rPr>
          <w:rFonts w:hint="eastAsia" w:ascii="仿宋_GB2312" w:hAnsi="仿宋_GB2312" w:eastAsia="仿宋_GB2312" w:cs="仿宋_GB2312"/>
          <w:color w:val="auto"/>
          <w:kern w:val="0"/>
          <w:sz w:val="32"/>
          <w:szCs w:val="32"/>
          <w:highlight w:val="none"/>
          <w:lang w:bidi="ar"/>
        </w:rPr>
        <w:t xml:space="preserve"> </w:t>
      </w:r>
    </w:p>
    <w:p w14:paraId="57DE08EA">
      <w:pPr>
        <w:widowControl/>
        <w:spacing w:line="576" w:lineRule="exact"/>
        <w:ind w:firstLine="640" w:firstLineChars="200"/>
        <w:jc w:val="both"/>
        <w:rPr>
          <w:rFonts w:hint="eastAsia" w:ascii="仿宋_GB2312" w:hAnsi="仿宋_GB2312" w:eastAsia="仿宋_GB2312" w:cs="仿宋_GB2312"/>
          <w:color w:val="auto"/>
          <w:kern w:val="0"/>
          <w:sz w:val="32"/>
          <w:szCs w:val="32"/>
          <w:highlight w:val="none"/>
          <w:lang w:bidi="ar"/>
        </w:rPr>
      </w:pPr>
      <w:r>
        <w:rPr>
          <w:rFonts w:hint="eastAsia" w:ascii="仿宋_GB2312" w:hAnsi="仿宋_GB2312" w:eastAsia="仿宋_GB2312" w:cs="仿宋_GB2312"/>
          <w:color w:val="auto"/>
          <w:kern w:val="0"/>
          <w:sz w:val="32"/>
          <w:szCs w:val="32"/>
          <w:highlight w:val="none"/>
          <w:lang w:bidi="ar"/>
        </w:rPr>
        <w:t>1</w:t>
      </w:r>
      <w:r>
        <w:rPr>
          <w:rFonts w:hint="eastAsia" w:ascii="仿宋_GB2312" w:hAnsi="仿宋_GB2312" w:eastAsia="仿宋_GB2312" w:cs="仿宋_GB2312"/>
          <w:color w:val="auto"/>
          <w:kern w:val="0"/>
          <w:sz w:val="32"/>
          <w:szCs w:val="32"/>
          <w:highlight w:val="none"/>
          <w:lang w:val="en-US" w:eastAsia="zh-CN" w:bidi="ar"/>
        </w:rPr>
        <w:t>.</w:t>
      </w:r>
      <w:r>
        <w:rPr>
          <w:rFonts w:hint="eastAsia" w:ascii="仿宋_GB2312" w:hAnsi="仿宋_GB2312" w:eastAsia="仿宋_GB2312" w:cs="仿宋_GB2312"/>
          <w:color w:val="auto"/>
          <w:kern w:val="0"/>
          <w:sz w:val="32"/>
          <w:szCs w:val="32"/>
          <w:highlight w:val="none"/>
          <w:lang w:bidi="ar"/>
        </w:rPr>
        <w:t xml:space="preserve">严格遵守国家、省市有关施工环保、水保管理的法律法规，认真执行工程承包合同中的有关环保、水保施工要求。 </w:t>
      </w:r>
    </w:p>
    <w:p w14:paraId="3C904F21">
      <w:pPr>
        <w:widowControl/>
        <w:spacing w:line="576" w:lineRule="exact"/>
        <w:ind w:firstLine="640" w:firstLineChars="200"/>
        <w:jc w:val="both"/>
        <w:rPr>
          <w:rFonts w:hint="eastAsia" w:ascii="仿宋_GB2312" w:hAnsi="仿宋_GB2312" w:eastAsia="仿宋_GB2312" w:cs="仿宋_GB2312"/>
          <w:color w:val="auto"/>
          <w:kern w:val="0"/>
          <w:sz w:val="32"/>
          <w:szCs w:val="32"/>
          <w:highlight w:val="none"/>
          <w:lang w:bidi="ar"/>
        </w:rPr>
      </w:pPr>
      <w:r>
        <w:rPr>
          <w:rFonts w:hint="eastAsia" w:ascii="仿宋_GB2312" w:hAnsi="仿宋_GB2312" w:eastAsia="仿宋_GB2312" w:cs="仿宋_GB2312"/>
          <w:color w:val="auto"/>
          <w:kern w:val="0"/>
          <w:sz w:val="32"/>
          <w:szCs w:val="32"/>
          <w:highlight w:val="none"/>
          <w:lang w:bidi="ar"/>
        </w:rPr>
        <w:t>2</w:t>
      </w:r>
      <w:r>
        <w:rPr>
          <w:rFonts w:hint="eastAsia" w:ascii="仿宋_GB2312" w:hAnsi="仿宋_GB2312" w:eastAsia="仿宋_GB2312" w:cs="仿宋_GB2312"/>
          <w:color w:val="auto"/>
          <w:kern w:val="0"/>
          <w:sz w:val="32"/>
          <w:szCs w:val="32"/>
          <w:highlight w:val="none"/>
          <w:lang w:val="en-US" w:eastAsia="zh-CN" w:bidi="ar"/>
        </w:rPr>
        <w:t>.</w:t>
      </w:r>
      <w:r>
        <w:rPr>
          <w:rFonts w:hint="eastAsia" w:ascii="仿宋_GB2312" w:hAnsi="仿宋_GB2312" w:eastAsia="仿宋_GB2312" w:cs="仿宋_GB2312"/>
          <w:color w:val="auto"/>
          <w:kern w:val="0"/>
          <w:sz w:val="32"/>
          <w:szCs w:val="32"/>
          <w:highlight w:val="none"/>
          <w:lang w:bidi="ar"/>
        </w:rPr>
        <w:t>按照“保护优先、预防为主、综合治理”和坚持“防止、减少环境污染、生态破坏、水土流失，对所造成的损害依法承担责任”的原则进行环保、水保管理，做到生产与环保、水保工作同时计划、布置、检查。</w:t>
      </w:r>
    </w:p>
    <w:p w14:paraId="6906B4C7">
      <w:pPr>
        <w:widowControl/>
        <w:spacing w:line="576"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kern w:val="0"/>
          <w:sz w:val="32"/>
          <w:szCs w:val="32"/>
          <w:highlight w:val="none"/>
          <w:lang w:bidi="ar"/>
        </w:rPr>
        <w:t>3</w:t>
      </w:r>
      <w:r>
        <w:rPr>
          <w:rFonts w:hint="eastAsia" w:ascii="仿宋_GB2312" w:hAnsi="仿宋_GB2312" w:eastAsia="仿宋_GB2312" w:cs="仿宋_GB2312"/>
          <w:color w:val="auto"/>
          <w:kern w:val="0"/>
          <w:sz w:val="32"/>
          <w:szCs w:val="32"/>
          <w:highlight w:val="none"/>
          <w:lang w:val="en-US" w:eastAsia="zh-CN" w:bidi="ar"/>
        </w:rPr>
        <w:t>.</w:t>
      </w:r>
      <w:r>
        <w:rPr>
          <w:rFonts w:hint="eastAsia" w:ascii="仿宋_GB2312" w:hAnsi="仿宋_GB2312" w:eastAsia="仿宋_GB2312" w:cs="仿宋_GB2312"/>
          <w:color w:val="auto"/>
          <w:kern w:val="0"/>
          <w:sz w:val="32"/>
          <w:szCs w:val="32"/>
          <w:highlight w:val="none"/>
          <w:lang w:bidi="ar"/>
        </w:rPr>
        <w:t xml:space="preserve">重要的环保、水保设施必须坚持与主体工程“三同时”的原则，即：同时设计、审批，同时施工，同时验收、投入使用。 </w:t>
      </w:r>
    </w:p>
    <w:p w14:paraId="747E6CBF">
      <w:pPr>
        <w:widowControl/>
        <w:spacing w:line="576"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kern w:val="0"/>
          <w:sz w:val="32"/>
          <w:szCs w:val="32"/>
          <w:highlight w:val="none"/>
          <w:lang w:bidi="ar"/>
        </w:rPr>
        <w:t>4</w:t>
      </w:r>
      <w:r>
        <w:rPr>
          <w:rFonts w:hint="eastAsia" w:ascii="仿宋_GB2312" w:hAnsi="仿宋_GB2312" w:eastAsia="仿宋_GB2312" w:cs="仿宋_GB2312"/>
          <w:color w:val="auto"/>
          <w:kern w:val="0"/>
          <w:sz w:val="32"/>
          <w:szCs w:val="32"/>
          <w:highlight w:val="none"/>
          <w:lang w:val="en-US" w:eastAsia="zh-CN" w:bidi="ar"/>
        </w:rPr>
        <w:t>.</w:t>
      </w:r>
      <w:r>
        <w:rPr>
          <w:rFonts w:hint="eastAsia" w:ascii="仿宋_GB2312" w:hAnsi="仿宋_GB2312" w:eastAsia="仿宋_GB2312" w:cs="仿宋_GB2312"/>
          <w:color w:val="auto"/>
          <w:kern w:val="0"/>
          <w:sz w:val="32"/>
          <w:szCs w:val="32"/>
          <w:highlight w:val="none"/>
          <w:lang w:bidi="ar"/>
        </w:rPr>
        <w:t>根据环保、水保动态政策及时传达中央及地方有关环保、水保治理精神。</w:t>
      </w:r>
    </w:p>
    <w:p w14:paraId="67223BA3">
      <w:pPr>
        <w:widowControl/>
        <w:spacing w:line="576"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kern w:val="0"/>
          <w:sz w:val="32"/>
          <w:szCs w:val="32"/>
          <w:highlight w:val="none"/>
          <w:lang w:bidi="ar"/>
        </w:rPr>
        <w:t>5</w:t>
      </w:r>
      <w:r>
        <w:rPr>
          <w:rFonts w:hint="eastAsia" w:ascii="仿宋_GB2312" w:hAnsi="仿宋_GB2312" w:eastAsia="仿宋_GB2312" w:cs="仿宋_GB2312"/>
          <w:color w:val="auto"/>
          <w:kern w:val="0"/>
          <w:sz w:val="32"/>
          <w:szCs w:val="32"/>
          <w:highlight w:val="none"/>
          <w:lang w:val="en-US" w:eastAsia="zh-CN" w:bidi="ar"/>
        </w:rPr>
        <w:t>.</w:t>
      </w:r>
      <w:r>
        <w:rPr>
          <w:rFonts w:hint="eastAsia" w:ascii="仿宋_GB2312" w:hAnsi="仿宋_GB2312" w:eastAsia="仿宋_GB2312" w:cs="仿宋_GB2312"/>
          <w:color w:val="auto"/>
          <w:kern w:val="0"/>
          <w:sz w:val="32"/>
          <w:szCs w:val="32"/>
          <w:highlight w:val="none"/>
          <w:lang w:bidi="ar"/>
        </w:rPr>
        <w:t>组织对承包人施工现场环保、水保管理检查，监督承包人及时处理发现的各种环保、水保隐患。</w:t>
      </w:r>
    </w:p>
    <w:p w14:paraId="3B4E7267">
      <w:pPr>
        <w:widowControl/>
        <w:spacing w:line="576"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黑体" w:hAnsi="黑体" w:eastAsia="黑体" w:cs="黑体"/>
          <w:color w:val="auto"/>
          <w:kern w:val="0"/>
          <w:sz w:val="32"/>
          <w:szCs w:val="32"/>
          <w:highlight w:val="none"/>
          <w:lang w:bidi="ar"/>
        </w:rPr>
        <w:t>二、承包人职责</w:t>
      </w:r>
      <w:r>
        <w:rPr>
          <w:rFonts w:hint="eastAsia" w:ascii="仿宋_GB2312" w:hAnsi="仿宋_GB2312" w:eastAsia="仿宋_GB2312" w:cs="仿宋_GB2312"/>
          <w:color w:val="auto"/>
          <w:kern w:val="0"/>
          <w:sz w:val="32"/>
          <w:szCs w:val="32"/>
          <w:highlight w:val="none"/>
          <w:lang w:bidi="ar"/>
        </w:rPr>
        <w:t xml:space="preserve"> </w:t>
      </w:r>
    </w:p>
    <w:p w14:paraId="27414A8E">
      <w:pPr>
        <w:widowControl/>
        <w:spacing w:line="576"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kern w:val="0"/>
          <w:sz w:val="32"/>
          <w:szCs w:val="32"/>
          <w:highlight w:val="none"/>
          <w:lang w:bidi="ar"/>
        </w:rPr>
        <w:t>1</w:t>
      </w:r>
      <w:r>
        <w:rPr>
          <w:rFonts w:hint="eastAsia" w:ascii="仿宋_GB2312" w:hAnsi="仿宋_GB2312" w:eastAsia="仿宋_GB2312" w:cs="仿宋_GB2312"/>
          <w:color w:val="auto"/>
          <w:kern w:val="0"/>
          <w:sz w:val="32"/>
          <w:szCs w:val="32"/>
          <w:highlight w:val="none"/>
          <w:lang w:val="en-US" w:eastAsia="zh-CN" w:bidi="ar"/>
        </w:rPr>
        <w:t>.</w:t>
      </w:r>
      <w:r>
        <w:rPr>
          <w:rFonts w:hint="eastAsia" w:ascii="仿宋_GB2312" w:hAnsi="仿宋_GB2312" w:eastAsia="仿宋_GB2312" w:cs="仿宋_GB2312"/>
          <w:color w:val="auto"/>
          <w:kern w:val="0"/>
          <w:sz w:val="32"/>
          <w:szCs w:val="32"/>
          <w:highlight w:val="none"/>
          <w:lang w:bidi="ar"/>
        </w:rPr>
        <w:t>严格遵守国家有关施工环保、水保管理的法律法规，生态环境部门、</w:t>
      </w:r>
      <w:r>
        <w:rPr>
          <w:rFonts w:hint="eastAsia" w:ascii="仿宋_GB2312" w:hAnsi="仿宋_GB2312" w:eastAsia="仿宋_GB2312" w:cs="仿宋_GB2312"/>
          <w:color w:val="auto"/>
          <w:kern w:val="0"/>
          <w:sz w:val="32"/>
          <w:szCs w:val="32"/>
          <w:highlight w:val="none"/>
          <w:lang w:eastAsia="zh-CN" w:bidi="ar"/>
        </w:rPr>
        <w:t>水行政主管部门</w:t>
      </w:r>
      <w:r>
        <w:rPr>
          <w:rFonts w:hint="eastAsia" w:ascii="仿宋_GB2312" w:hAnsi="仿宋_GB2312" w:eastAsia="仿宋_GB2312" w:cs="仿宋_GB2312"/>
          <w:color w:val="auto"/>
          <w:kern w:val="0"/>
          <w:sz w:val="32"/>
          <w:szCs w:val="32"/>
          <w:highlight w:val="none"/>
          <w:lang w:bidi="ar"/>
        </w:rPr>
        <w:t xml:space="preserve">、住房和城乡建设部门颁发的相关环保水保施工技术规程和机械操作规程有关环保水保的规定，认真执行工程承包合同中的有关施工环保水保管理要求。 </w:t>
      </w:r>
    </w:p>
    <w:p w14:paraId="03AEBDB5">
      <w:pPr>
        <w:widowControl/>
        <w:spacing w:line="576" w:lineRule="exact"/>
        <w:ind w:firstLine="640" w:firstLineChars="200"/>
        <w:jc w:val="both"/>
        <w:rPr>
          <w:rFonts w:hint="eastAsia" w:ascii="仿宋_GB2312" w:hAnsi="仿宋_GB2312" w:eastAsia="仿宋_GB2312" w:cs="仿宋_GB2312"/>
          <w:color w:val="auto"/>
          <w:kern w:val="0"/>
          <w:sz w:val="32"/>
          <w:szCs w:val="32"/>
          <w:highlight w:val="none"/>
          <w:lang w:bidi="ar"/>
        </w:rPr>
      </w:pPr>
      <w:r>
        <w:rPr>
          <w:rFonts w:hint="eastAsia" w:ascii="仿宋_GB2312" w:hAnsi="仿宋_GB2312" w:eastAsia="仿宋_GB2312" w:cs="仿宋_GB2312"/>
          <w:color w:val="auto"/>
          <w:kern w:val="0"/>
          <w:sz w:val="32"/>
          <w:szCs w:val="32"/>
          <w:highlight w:val="none"/>
          <w:lang w:bidi="ar"/>
        </w:rPr>
        <w:t>2</w:t>
      </w:r>
      <w:r>
        <w:rPr>
          <w:rFonts w:hint="eastAsia" w:ascii="仿宋_GB2312" w:hAnsi="仿宋_GB2312" w:eastAsia="仿宋_GB2312" w:cs="仿宋_GB2312"/>
          <w:color w:val="auto"/>
          <w:kern w:val="0"/>
          <w:sz w:val="32"/>
          <w:szCs w:val="32"/>
          <w:highlight w:val="none"/>
          <w:lang w:val="en-US" w:eastAsia="zh-CN" w:bidi="ar"/>
        </w:rPr>
        <w:t>.</w:t>
      </w:r>
      <w:r>
        <w:rPr>
          <w:rFonts w:hint="eastAsia" w:ascii="仿宋_GB2312" w:hAnsi="仿宋_GB2312" w:eastAsia="仿宋_GB2312" w:cs="仿宋_GB2312"/>
          <w:color w:val="auto"/>
          <w:kern w:val="0"/>
          <w:sz w:val="32"/>
          <w:szCs w:val="32"/>
          <w:highlight w:val="none"/>
          <w:lang w:bidi="ar"/>
        </w:rPr>
        <w:t xml:space="preserve">坚持“保护优先、预防为主、综合治理”和坚持“防止、减少环境污染、生态破坏、水土流失，对所造成的损害依法承担责任”的原则，加强施工环保水保管理宣传教育和培训，增强全员环保水保施工意识，项目经理、工程技术人员、环保水保管理人员和具体操作人员，必须熟悉和遵守本条款的各项规定，做到生产与环保水保同时计划、布置、检查、总结。 </w:t>
      </w:r>
    </w:p>
    <w:p w14:paraId="3C8C4B18">
      <w:pPr>
        <w:widowControl/>
        <w:spacing w:line="576" w:lineRule="exact"/>
        <w:ind w:firstLine="640" w:firstLineChars="200"/>
        <w:jc w:val="both"/>
        <w:rPr>
          <w:rFonts w:hint="eastAsia" w:ascii="仿宋_GB2312" w:hAnsi="仿宋_GB2312" w:eastAsia="仿宋_GB2312" w:cs="仿宋_GB2312"/>
          <w:color w:val="auto"/>
          <w:kern w:val="0"/>
          <w:sz w:val="32"/>
          <w:szCs w:val="32"/>
          <w:highlight w:val="none"/>
          <w:lang w:bidi="ar"/>
        </w:rPr>
      </w:pPr>
      <w:r>
        <w:rPr>
          <w:rFonts w:hint="eastAsia" w:ascii="仿宋_GB2312" w:hAnsi="仿宋_GB2312" w:eastAsia="仿宋_GB2312" w:cs="仿宋_GB2312"/>
          <w:color w:val="auto"/>
          <w:kern w:val="0"/>
          <w:sz w:val="32"/>
          <w:szCs w:val="32"/>
          <w:highlight w:val="none"/>
          <w:lang w:bidi="ar"/>
        </w:rPr>
        <w:t>3</w:t>
      </w:r>
      <w:r>
        <w:rPr>
          <w:rFonts w:hint="eastAsia" w:ascii="仿宋_GB2312" w:hAnsi="仿宋_GB2312" w:eastAsia="仿宋_GB2312" w:cs="仿宋_GB2312"/>
          <w:color w:val="auto"/>
          <w:kern w:val="0"/>
          <w:sz w:val="32"/>
          <w:szCs w:val="32"/>
          <w:highlight w:val="none"/>
          <w:lang w:val="en-US" w:eastAsia="zh-CN" w:bidi="ar"/>
        </w:rPr>
        <w:t>.</w:t>
      </w:r>
      <w:r>
        <w:rPr>
          <w:rFonts w:hint="eastAsia" w:ascii="仿宋_GB2312" w:hAnsi="仿宋_GB2312" w:eastAsia="仿宋_GB2312" w:cs="仿宋_GB2312"/>
          <w:color w:val="auto"/>
          <w:kern w:val="0"/>
          <w:sz w:val="32"/>
          <w:szCs w:val="32"/>
          <w:highlight w:val="none"/>
          <w:lang w:bidi="ar"/>
        </w:rPr>
        <w:t>在工程施工前，施工单位应编制环保、水保施工专项方案，采取相应的环保、水保治理措施。</w:t>
      </w:r>
    </w:p>
    <w:p w14:paraId="5C6612B1">
      <w:pPr>
        <w:widowControl/>
        <w:spacing w:line="576" w:lineRule="exact"/>
        <w:ind w:firstLine="640" w:firstLineChars="200"/>
        <w:jc w:val="both"/>
        <w:rPr>
          <w:rFonts w:hint="eastAsia" w:ascii="仿宋_GB2312" w:hAnsi="仿宋_GB2312" w:eastAsia="仿宋_GB2312" w:cs="仿宋_GB2312"/>
          <w:color w:val="auto"/>
          <w:kern w:val="0"/>
          <w:sz w:val="32"/>
          <w:szCs w:val="32"/>
          <w:highlight w:val="none"/>
          <w:lang w:bidi="ar"/>
        </w:rPr>
      </w:pPr>
      <w:r>
        <w:rPr>
          <w:rFonts w:hint="eastAsia" w:ascii="仿宋_GB2312" w:hAnsi="仿宋_GB2312" w:eastAsia="仿宋_GB2312" w:cs="仿宋_GB2312"/>
          <w:color w:val="auto"/>
          <w:kern w:val="0"/>
          <w:sz w:val="32"/>
          <w:szCs w:val="32"/>
          <w:highlight w:val="none"/>
          <w:lang w:bidi="ar"/>
        </w:rPr>
        <w:t>4</w:t>
      </w:r>
      <w:r>
        <w:rPr>
          <w:rFonts w:hint="eastAsia" w:ascii="仿宋_GB2312" w:hAnsi="仿宋_GB2312" w:eastAsia="仿宋_GB2312" w:cs="仿宋_GB2312"/>
          <w:color w:val="auto"/>
          <w:kern w:val="0"/>
          <w:sz w:val="32"/>
          <w:szCs w:val="32"/>
          <w:highlight w:val="none"/>
          <w:lang w:val="en-US" w:eastAsia="zh-CN" w:bidi="ar"/>
        </w:rPr>
        <w:t>.</w:t>
      </w:r>
      <w:r>
        <w:rPr>
          <w:rFonts w:hint="eastAsia" w:ascii="仿宋_GB2312" w:hAnsi="仿宋_GB2312" w:eastAsia="仿宋_GB2312" w:cs="仿宋_GB2312"/>
          <w:color w:val="auto"/>
          <w:kern w:val="0"/>
          <w:sz w:val="32"/>
          <w:szCs w:val="32"/>
          <w:highlight w:val="none"/>
          <w:lang w:bidi="ar"/>
        </w:rPr>
        <w:t>建立健全环保、水保管理体系。建立健全施工过程中的环境管理体系和各项环境管理规章制度，加强环保管理，采用防治污染的新工艺、新技术、新设备；运用技术的、管理的手段</w:t>
      </w:r>
      <w:r>
        <w:rPr>
          <w:rFonts w:hint="eastAsia" w:ascii="仿宋_GB2312" w:hAnsi="仿宋_GB2312" w:eastAsia="仿宋_GB2312" w:cs="仿宋_GB2312"/>
          <w:color w:val="auto"/>
          <w:kern w:val="0"/>
          <w:sz w:val="32"/>
          <w:szCs w:val="32"/>
          <w:highlight w:val="none"/>
          <w:lang w:eastAsia="zh-CN" w:bidi="ar"/>
        </w:rPr>
        <w:t>及其他</w:t>
      </w:r>
      <w:r>
        <w:rPr>
          <w:rFonts w:hint="eastAsia" w:ascii="仿宋_GB2312" w:hAnsi="仿宋_GB2312" w:eastAsia="仿宋_GB2312" w:cs="仿宋_GB2312"/>
          <w:color w:val="auto"/>
          <w:kern w:val="0"/>
          <w:sz w:val="32"/>
          <w:szCs w:val="32"/>
          <w:highlight w:val="none"/>
          <w:lang w:bidi="ar"/>
        </w:rPr>
        <w:t>制度措施，对污染源进行监督管理，控制污染物的排放量，改善环境质量；开展绿化工作，及时恢复已完工程的植被，控制水土流失。</w:t>
      </w:r>
    </w:p>
    <w:p w14:paraId="4A3E4D09">
      <w:pPr>
        <w:widowControl/>
        <w:spacing w:line="576" w:lineRule="exact"/>
        <w:ind w:firstLine="640" w:firstLineChars="200"/>
        <w:jc w:val="both"/>
        <w:rPr>
          <w:rFonts w:hint="eastAsia" w:ascii="仿宋_GB2312" w:hAnsi="仿宋_GB2312" w:eastAsia="仿宋_GB2312" w:cs="仿宋_GB2312"/>
          <w:color w:val="auto"/>
          <w:kern w:val="0"/>
          <w:sz w:val="32"/>
          <w:szCs w:val="32"/>
          <w:highlight w:val="none"/>
          <w:lang w:bidi="ar"/>
        </w:rPr>
      </w:pPr>
      <w:r>
        <w:rPr>
          <w:rFonts w:hint="eastAsia" w:ascii="仿宋_GB2312" w:hAnsi="仿宋_GB2312" w:eastAsia="仿宋_GB2312" w:cs="仿宋_GB2312"/>
          <w:color w:val="auto"/>
          <w:kern w:val="0"/>
          <w:sz w:val="32"/>
          <w:szCs w:val="32"/>
          <w:highlight w:val="none"/>
          <w:lang w:bidi="ar"/>
        </w:rPr>
        <w:t>5</w:t>
      </w:r>
      <w:r>
        <w:rPr>
          <w:rFonts w:hint="eastAsia" w:ascii="仿宋_GB2312" w:hAnsi="仿宋_GB2312" w:eastAsia="仿宋_GB2312" w:cs="仿宋_GB2312"/>
          <w:color w:val="auto"/>
          <w:kern w:val="0"/>
          <w:sz w:val="32"/>
          <w:szCs w:val="32"/>
          <w:highlight w:val="none"/>
          <w:lang w:val="en-US" w:eastAsia="zh-CN" w:bidi="ar"/>
        </w:rPr>
        <w:t>.</w:t>
      </w:r>
      <w:r>
        <w:rPr>
          <w:rFonts w:hint="eastAsia" w:ascii="仿宋_GB2312" w:hAnsi="仿宋_GB2312" w:eastAsia="仿宋_GB2312" w:cs="仿宋_GB2312"/>
          <w:color w:val="auto"/>
          <w:kern w:val="0"/>
          <w:sz w:val="32"/>
          <w:szCs w:val="32"/>
          <w:highlight w:val="none"/>
          <w:lang w:bidi="ar"/>
        </w:rPr>
        <w:t>建立健全环保、水保责任制。建立健全各</w:t>
      </w:r>
      <w:r>
        <w:rPr>
          <w:rFonts w:hint="eastAsia" w:ascii="仿宋_GB2312" w:hAnsi="仿宋_GB2312" w:eastAsia="仿宋_GB2312" w:cs="仿宋_GB2312"/>
          <w:color w:val="auto"/>
          <w:kern w:val="0"/>
          <w:sz w:val="32"/>
          <w:szCs w:val="32"/>
          <w:highlight w:val="none"/>
          <w:lang w:eastAsia="zh-CN" w:bidi="ar"/>
        </w:rPr>
        <w:t>项</w:t>
      </w:r>
      <w:r>
        <w:rPr>
          <w:rFonts w:hint="eastAsia" w:ascii="仿宋_GB2312" w:hAnsi="仿宋_GB2312" w:eastAsia="仿宋_GB2312" w:cs="仿宋_GB2312"/>
          <w:color w:val="auto"/>
          <w:kern w:val="0"/>
          <w:sz w:val="32"/>
          <w:szCs w:val="32"/>
          <w:highlight w:val="none"/>
          <w:lang w:bidi="ar"/>
        </w:rPr>
        <w:t xml:space="preserve">目施工环保、水保的管理组织机构，明确各级、各部门在环保、水保工作中的职责分工，形成环保、水保工作的责任体系，配备专（兼）职环保、水保人员，有组织地开展施工环保、水保管理。从派往项目实施的项目经理到生产工人（包括临时雇请的民工）的环保、水保管理系统必须做到纵向到底，一环不漏；各职能部门和人员的环保、水保责任制做到横向到边，人人有责。项目经理是环保、水保管理的第一责任人，现场设置专（兼）环保、水保管理员，专（兼）职负责施工环保、水保管理工作及预防突发环境事件的发生。环保、水保管理人员，有权按有关规定发布指令，并采取保护性措施防止突发环境事件发生。 </w:t>
      </w:r>
    </w:p>
    <w:p w14:paraId="2FEEA817">
      <w:pPr>
        <w:widowControl/>
        <w:spacing w:line="576" w:lineRule="exact"/>
        <w:ind w:firstLine="640" w:firstLineChars="200"/>
        <w:jc w:val="both"/>
        <w:rPr>
          <w:rFonts w:hint="eastAsia" w:ascii="仿宋_GB2312" w:hAnsi="仿宋_GB2312" w:eastAsia="仿宋_GB2312" w:cs="仿宋_GB2312"/>
          <w:color w:val="auto"/>
          <w:kern w:val="0"/>
          <w:sz w:val="32"/>
          <w:szCs w:val="32"/>
          <w:highlight w:val="none"/>
          <w:lang w:bidi="ar"/>
        </w:rPr>
      </w:pPr>
      <w:r>
        <w:rPr>
          <w:rFonts w:hint="eastAsia" w:ascii="仿宋_GB2312" w:hAnsi="仿宋_GB2312" w:eastAsia="仿宋_GB2312" w:cs="仿宋_GB2312"/>
          <w:color w:val="auto"/>
          <w:kern w:val="0"/>
          <w:sz w:val="32"/>
          <w:szCs w:val="32"/>
          <w:highlight w:val="none"/>
          <w:lang w:bidi="ar"/>
        </w:rPr>
        <w:t>6</w:t>
      </w:r>
      <w:r>
        <w:rPr>
          <w:rFonts w:hint="eastAsia" w:ascii="仿宋_GB2312" w:hAnsi="仿宋_GB2312" w:eastAsia="仿宋_GB2312" w:cs="仿宋_GB2312"/>
          <w:color w:val="auto"/>
          <w:kern w:val="0"/>
          <w:sz w:val="32"/>
          <w:szCs w:val="32"/>
          <w:highlight w:val="none"/>
          <w:lang w:val="en-US" w:eastAsia="zh-CN" w:bidi="ar"/>
        </w:rPr>
        <w:t>.</w:t>
      </w:r>
      <w:r>
        <w:rPr>
          <w:rFonts w:hint="eastAsia" w:ascii="仿宋_GB2312" w:hAnsi="仿宋_GB2312" w:eastAsia="仿宋_GB2312" w:cs="仿宋_GB2312"/>
          <w:color w:val="auto"/>
          <w:kern w:val="0"/>
          <w:sz w:val="32"/>
          <w:szCs w:val="32"/>
          <w:highlight w:val="none"/>
          <w:lang w:bidi="ar"/>
        </w:rPr>
        <w:t xml:space="preserve">大气及扬尘管控措施。 </w:t>
      </w:r>
    </w:p>
    <w:p w14:paraId="3648D302">
      <w:pPr>
        <w:widowControl/>
        <w:spacing w:line="576" w:lineRule="exact"/>
        <w:ind w:firstLine="640" w:firstLineChars="200"/>
        <w:jc w:val="both"/>
        <w:rPr>
          <w:rFonts w:hint="eastAsia" w:ascii="仿宋_GB2312" w:hAnsi="仿宋_GB2312" w:eastAsia="仿宋_GB2312" w:cs="仿宋_GB2312"/>
          <w:color w:val="auto"/>
          <w:kern w:val="0"/>
          <w:sz w:val="32"/>
          <w:szCs w:val="32"/>
          <w:highlight w:val="none"/>
          <w:lang w:bidi="ar"/>
        </w:rPr>
      </w:pPr>
      <w:r>
        <w:rPr>
          <w:rFonts w:hint="eastAsia" w:ascii="仿宋_GB2312" w:hAnsi="仿宋_GB2312" w:eastAsia="仿宋_GB2312" w:cs="仿宋_GB2312"/>
          <w:color w:val="auto"/>
          <w:kern w:val="0"/>
          <w:sz w:val="32"/>
          <w:szCs w:val="32"/>
          <w:highlight w:val="none"/>
          <w:lang w:bidi="ar"/>
        </w:rPr>
        <w:t>落实海南省扬尘防治六个100%，即工地周边围挡100%、施工便道硬化100%、裸土及物料堆放覆盖100%、土石方开挖和拆除工程湿法作业100%、出入车辆清洗100%、渣土车辆密闭运输100%等“六个100%”；施工场地及时喷淋、洒水降尘；施工现场安装扬尘噪声在线监测设备；施工现场非道路移动设备挂环保牌号；施工现场使用环保型清洁能源、厨房安装油烟净化器。</w:t>
      </w:r>
    </w:p>
    <w:p w14:paraId="10AE58D1">
      <w:pPr>
        <w:widowControl/>
        <w:spacing w:line="576" w:lineRule="exact"/>
        <w:ind w:firstLine="640" w:firstLineChars="200"/>
        <w:jc w:val="both"/>
        <w:rPr>
          <w:rFonts w:hint="eastAsia" w:ascii="仿宋_GB2312" w:hAnsi="仿宋_GB2312" w:eastAsia="仿宋_GB2312" w:cs="仿宋_GB2312"/>
          <w:color w:val="auto"/>
          <w:kern w:val="0"/>
          <w:sz w:val="32"/>
          <w:szCs w:val="32"/>
          <w:highlight w:val="none"/>
          <w:lang w:bidi="ar"/>
        </w:rPr>
      </w:pPr>
      <w:r>
        <w:rPr>
          <w:rFonts w:hint="eastAsia" w:ascii="仿宋_GB2312" w:hAnsi="仿宋_GB2312" w:eastAsia="仿宋_GB2312" w:cs="仿宋_GB2312"/>
          <w:color w:val="auto"/>
          <w:kern w:val="0"/>
          <w:sz w:val="32"/>
          <w:szCs w:val="32"/>
          <w:highlight w:val="none"/>
          <w:lang w:bidi="ar"/>
        </w:rPr>
        <w:t>7</w:t>
      </w:r>
      <w:r>
        <w:rPr>
          <w:rFonts w:hint="eastAsia" w:ascii="仿宋_GB2312" w:hAnsi="仿宋_GB2312" w:eastAsia="仿宋_GB2312" w:cs="仿宋_GB2312"/>
          <w:color w:val="auto"/>
          <w:kern w:val="0"/>
          <w:sz w:val="32"/>
          <w:szCs w:val="32"/>
          <w:highlight w:val="none"/>
          <w:lang w:val="en-US" w:eastAsia="zh-CN" w:bidi="ar"/>
        </w:rPr>
        <w:t>.</w:t>
      </w:r>
      <w:r>
        <w:rPr>
          <w:rFonts w:hint="eastAsia" w:ascii="仿宋_GB2312" w:hAnsi="仿宋_GB2312" w:eastAsia="仿宋_GB2312" w:cs="仿宋_GB2312"/>
          <w:color w:val="auto"/>
          <w:kern w:val="0"/>
          <w:sz w:val="32"/>
          <w:szCs w:val="32"/>
          <w:highlight w:val="none"/>
          <w:lang w:bidi="ar"/>
        </w:rPr>
        <w:t>废水管控措施。</w:t>
      </w:r>
    </w:p>
    <w:p w14:paraId="48469677">
      <w:pPr>
        <w:widowControl/>
        <w:spacing w:line="576" w:lineRule="exact"/>
        <w:ind w:firstLine="640" w:firstLineChars="200"/>
        <w:jc w:val="both"/>
        <w:rPr>
          <w:rFonts w:hint="eastAsia" w:ascii="仿宋_GB2312" w:hAnsi="仿宋_GB2312" w:eastAsia="仿宋_GB2312" w:cs="仿宋_GB2312"/>
          <w:color w:val="auto"/>
          <w:kern w:val="0"/>
          <w:sz w:val="32"/>
          <w:szCs w:val="32"/>
          <w:highlight w:val="none"/>
          <w:lang w:bidi="ar"/>
        </w:rPr>
      </w:pPr>
      <w:r>
        <w:rPr>
          <w:rFonts w:hint="eastAsia" w:ascii="仿宋_GB2312" w:hAnsi="仿宋_GB2312" w:eastAsia="仿宋_GB2312" w:cs="仿宋_GB2312"/>
          <w:color w:val="auto"/>
          <w:kern w:val="0"/>
          <w:sz w:val="32"/>
          <w:szCs w:val="32"/>
          <w:highlight w:val="none"/>
          <w:lang w:bidi="ar"/>
        </w:rPr>
        <w:t>施工废水、泥浆处理措施合理，场地设置沉淀、过滤或回收、循环利用设施；施工生活污水设置化粪池处理，厨房废水设置隔油池处理，具备进入市政污水管网条件的，污水预处理后方可排入市政污水管网，不具备入市政污水管网，须委托抽运处理并建立抽运台账；在水系范围内或者附近施工作业时，采取水体保护、水土保持措施；材料的存放场地应平整夯实并有排水措施，用于材料加工及材料集散的场地必须硬化。施工现场材料码放应采取防火、防锈蚀、防雨等措施。</w:t>
      </w:r>
    </w:p>
    <w:p w14:paraId="4ED08945">
      <w:pPr>
        <w:widowControl/>
        <w:spacing w:line="576" w:lineRule="exact"/>
        <w:ind w:firstLine="640" w:firstLineChars="200"/>
        <w:jc w:val="both"/>
        <w:rPr>
          <w:rFonts w:hint="eastAsia" w:ascii="仿宋_GB2312" w:hAnsi="仿宋_GB2312" w:eastAsia="仿宋_GB2312" w:cs="仿宋_GB2312"/>
          <w:color w:val="auto"/>
          <w:kern w:val="0"/>
          <w:sz w:val="32"/>
          <w:szCs w:val="32"/>
          <w:highlight w:val="none"/>
          <w:lang w:bidi="ar"/>
        </w:rPr>
      </w:pPr>
      <w:r>
        <w:rPr>
          <w:rFonts w:hint="eastAsia" w:ascii="仿宋_GB2312" w:hAnsi="仿宋_GB2312" w:eastAsia="仿宋_GB2312" w:cs="仿宋_GB2312"/>
          <w:color w:val="auto"/>
          <w:kern w:val="0"/>
          <w:sz w:val="32"/>
          <w:szCs w:val="32"/>
          <w:highlight w:val="none"/>
          <w:lang w:bidi="ar"/>
        </w:rPr>
        <w:t>8</w:t>
      </w:r>
      <w:r>
        <w:rPr>
          <w:rFonts w:hint="eastAsia" w:ascii="仿宋_GB2312" w:hAnsi="仿宋_GB2312" w:eastAsia="仿宋_GB2312" w:cs="仿宋_GB2312"/>
          <w:color w:val="auto"/>
          <w:kern w:val="0"/>
          <w:sz w:val="32"/>
          <w:szCs w:val="32"/>
          <w:highlight w:val="none"/>
          <w:lang w:val="en-US" w:eastAsia="zh-CN" w:bidi="ar"/>
        </w:rPr>
        <w:t>.</w:t>
      </w:r>
      <w:r>
        <w:rPr>
          <w:rFonts w:hint="eastAsia" w:ascii="仿宋_GB2312" w:hAnsi="仿宋_GB2312" w:eastAsia="仿宋_GB2312" w:cs="仿宋_GB2312"/>
          <w:color w:val="auto"/>
          <w:kern w:val="0"/>
          <w:sz w:val="32"/>
          <w:szCs w:val="32"/>
          <w:highlight w:val="none"/>
          <w:lang w:bidi="ar"/>
        </w:rPr>
        <w:t>固废管控措施。</w:t>
      </w:r>
    </w:p>
    <w:p w14:paraId="2E18EEB7">
      <w:pPr>
        <w:widowControl/>
        <w:spacing w:line="576" w:lineRule="exact"/>
        <w:ind w:firstLine="640" w:firstLineChars="200"/>
        <w:jc w:val="both"/>
        <w:rPr>
          <w:rFonts w:hint="eastAsia" w:ascii="仿宋_GB2312" w:hAnsi="仿宋_GB2312" w:eastAsia="仿宋_GB2312" w:cs="仿宋_GB2312"/>
          <w:color w:val="auto"/>
          <w:kern w:val="0"/>
          <w:sz w:val="32"/>
          <w:szCs w:val="32"/>
          <w:highlight w:val="none"/>
          <w:lang w:bidi="ar"/>
        </w:rPr>
      </w:pPr>
      <w:r>
        <w:rPr>
          <w:rFonts w:hint="eastAsia" w:ascii="仿宋_GB2312" w:hAnsi="仿宋_GB2312" w:eastAsia="仿宋_GB2312" w:cs="仿宋_GB2312"/>
          <w:color w:val="auto"/>
          <w:kern w:val="0"/>
          <w:sz w:val="32"/>
          <w:szCs w:val="32"/>
          <w:highlight w:val="none"/>
          <w:lang w:bidi="ar"/>
        </w:rPr>
        <w:t>建筑垃圾、土石方、淤泥进行资源化、合法化处理、利用；生活垃圾、施工建筑</w:t>
      </w:r>
      <w:r>
        <w:rPr>
          <w:rFonts w:hint="eastAsia" w:ascii="仿宋_GB2312" w:hAnsi="仿宋_GB2312" w:eastAsia="仿宋_GB2312" w:cs="仿宋_GB2312"/>
          <w:color w:val="auto"/>
          <w:kern w:val="0"/>
          <w:sz w:val="32"/>
          <w:szCs w:val="32"/>
          <w:highlight w:val="none"/>
          <w:lang w:eastAsia="zh-CN" w:bidi="ar"/>
        </w:rPr>
        <w:t>垃圾</w:t>
      </w:r>
      <w:r>
        <w:rPr>
          <w:rFonts w:hint="eastAsia" w:ascii="仿宋_GB2312" w:hAnsi="仿宋_GB2312" w:eastAsia="仿宋_GB2312" w:cs="仿宋_GB2312"/>
          <w:color w:val="auto"/>
          <w:kern w:val="0"/>
          <w:sz w:val="32"/>
          <w:szCs w:val="32"/>
          <w:highlight w:val="none"/>
          <w:lang w:bidi="ar"/>
        </w:rPr>
        <w:t>集中收集并外运处理；配备足够数量生活垃圾收集箱、建筑垃圾收集池；危险化学品及易燃易爆物品必须按其性质设置专用库房分类存放，不得露天堆放；施工现场存放的油料和化学溶剂等物品应设有专门的库房，地面应做防渗漏处理。</w:t>
      </w:r>
    </w:p>
    <w:p w14:paraId="336CF57D">
      <w:pPr>
        <w:widowControl/>
        <w:spacing w:line="576" w:lineRule="exact"/>
        <w:ind w:firstLine="640" w:firstLineChars="200"/>
        <w:jc w:val="both"/>
        <w:rPr>
          <w:rFonts w:hint="eastAsia" w:ascii="仿宋_GB2312" w:hAnsi="仿宋_GB2312" w:eastAsia="仿宋_GB2312" w:cs="仿宋_GB2312"/>
          <w:color w:val="auto"/>
          <w:kern w:val="0"/>
          <w:sz w:val="32"/>
          <w:szCs w:val="32"/>
          <w:highlight w:val="none"/>
          <w:lang w:bidi="ar"/>
        </w:rPr>
      </w:pPr>
      <w:r>
        <w:rPr>
          <w:rFonts w:hint="eastAsia" w:ascii="仿宋_GB2312" w:hAnsi="仿宋_GB2312" w:eastAsia="仿宋_GB2312" w:cs="仿宋_GB2312"/>
          <w:color w:val="auto"/>
          <w:kern w:val="0"/>
          <w:sz w:val="32"/>
          <w:szCs w:val="32"/>
          <w:highlight w:val="none"/>
          <w:lang w:bidi="ar"/>
        </w:rPr>
        <w:t>9</w:t>
      </w:r>
      <w:r>
        <w:rPr>
          <w:rFonts w:hint="eastAsia" w:ascii="仿宋_GB2312" w:hAnsi="仿宋_GB2312" w:eastAsia="仿宋_GB2312" w:cs="仿宋_GB2312"/>
          <w:color w:val="auto"/>
          <w:kern w:val="0"/>
          <w:sz w:val="32"/>
          <w:szCs w:val="32"/>
          <w:highlight w:val="none"/>
          <w:lang w:val="en-US" w:eastAsia="zh-CN" w:bidi="ar"/>
        </w:rPr>
        <w:t>.</w:t>
      </w:r>
      <w:r>
        <w:rPr>
          <w:rFonts w:hint="eastAsia" w:ascii="仿宋_GB2312" w:hAnsi="仿宋_GB2312" w:eastAsia="仿宋_GB2312" w:cs="仿宋_GB2312"/>
          <w:color w:val="auto"/>
          <w:kern w:val="0"/>
          <w:sz w:val="32"/>
          <w:szCs w:val="32"/>
          <w:highlight w:val="none"/>
          <w:lang w:bidi="ar"/>
        </w:rPr>
        <w:t>噪声防治措施。</w:t>
      </w:r>
    </w:p>
    <w:p w14:paraId="22648390">
      <w:pPr>
        <w:widowControl/>
        <w:spacing w:line="576" w:lineRule="exact"/>
        <w:ind w:firstLine="640" w:firstLineChars="200"/>
        <w:jc w:val="both"/>
        <w:rPr>
          <w:rFonts w:hint="eastAsia" w:ascii="仿宋_GB2312" w:hAnsi="仿宋_GB2312" w:eastAsia="仿宋_GB2312" w:cs="仿宋_GB2312"/>
          <w:color w:val="auto"/>
          <w:kern w:val="0"/>
          <w:sz w:val="32"/>
          <w:szCs w:val="32"/>
          <w:highlight w:val="none"/>
          <w:lang w:bidi="ar"/>
        </w:rPr>
      </w:pPr>
      <w:r>
        <w:rPr>
          <w:rFonts w:hint="eastAsia" w:ascii="仿宋_GB2312" w:hAnsi="仿宋_GB2312" w:eastAsia="仿宋_GB2312" w:cs="仿宋_GB2312"/>
          <w:color w:val="auto"/>
          <w:kern w:val="0"/>
          <w:sz w:val="32"/>
          <w:szCs w:val="32"/>
          <w:highlight w:val="none"/>
          <w:lang w:bidi="ar"/>
        </w:rPr>
        <w:t>施工现场场界噪声排放应符合国家标准《建筑施工场界环境噪声排放标准》的规定；施工现场宜选用低噪声、低振动的设备，电锯、电刨、切割机、搅拌机、混凝土输送泵、大型空气压缩机等强噪声设备应设置在远离居民区、学校、医院的一侧，并应采取消声、减振、降噪等措施；钢筋加工、木工场地、预制场以及其他材料加工，需要采取围挡、防护棚、隔声等降低噪声措施，拆除工程施工时，应有降低噪声的措施；现场施工使用的柴油发电机须采取围挡、遮盖、底座设置减振垫、加装隔声罩等降噪措施，底座应采取硬化、防渗等漏油防护措施；积极主动处理好与毗邻单位和居民的关系，自觉遵守施工噪声管理规定，合理安排施工时间，在噪声敏感区域内，因生产工艺上要求必须连续作业或者特殊需要夜间进行施工的，施工单位应在开工前向当地生态环境主管部门提出申请，经批准后方可进行施工，在施工过程中加强噪声控制，积极协调并征得毗邻单位和居民的认可，减少对周边居民生活影响。</w:t>
      </w:r>
    </w:p>
    <w:p w14:paraId="40073170">
      <w:pPr>
        <w:widowControl/>
        <w:spacing w:line="576" w:lineRule="exact"/>
        <w:ind w:firstLine="640" w:firstLineChars="200"/>
        <w:jc w:val="both"/>
        <w:rPr>
          <w:rFonts w:hint="eastAsia" w:ascii="仿宋_GB2312" w:hAnsi="仿宋_GB2312" w:eastAsia="仿宋_GB2312" w:cs="仿宋_GB2312"/>
          <w:color w:val="auto"/>
          <w:kern w:val="0"/>
          <w:sz w:val="32"/>
          <w:szCs w:val="32"/>
          <w:highlight w:val="none"/>
          <w:lang w:bidi="ar"/>
        </w:rPr>
      </w:pPr>
      <w:r>
        <w:rPr>
          <w:rFonts w:hint="eastAsia" w:ascii="仿宋_GB2312" w:hAnsi="仿宋_GB2312" w:eastAsia="仿宋_GB2312" w:cs="仿宋_GB2312"/>
          <w:color w:val="auto"/>
          <w:kern w:val="0"/>
          <w:sz w:val="32"/>
          <w:szCs w:val="32"/>
          <w:highlight w:val="none"/>
          <w:lang w:bidi="ar"/>
        </w:rPr>
        <w:t>10</w:t>
      </w:r>
      <w:r>
        <w:rPr>
          <w:rFonts w:hint="eastAsia" w:ascii="仿宋_GB2312" w:hAnsi="仿宋_GB2312" w:eastAsia="仿宋_GB2312" w:cs="仿宋_GB2312"/>
          <w:color w:val="auto"/>
          <w:kern w:val="0"/>
          <w:sz w:val="32"/>
          <w:szCs w:val="32"/>
          <w:highlight w:val="none"/>
          <w:lang w:val="en-US" w:eastAsia="zh-CN" w:bidi="ar"/>
        </w:rPr>
        <w:t>.</w:t>
      </w:r>
      <w:r>
        <w:rPr>
          <w:rFonts w:hint="eastAsia" w:ascii="仿宋_GB2312" w:hAnsi="仿宋_GB2312" w:eastAsia="仿宋_GB2312" w:cs="仿宋_GB2312"/>
          <w:color w:val="auto"/>
          <w:kern w:val="0"/>
          <w:sz w:val="32"/>
          <w:szCs w:val="32"/>
          <w:highlight w:val="none"/>
          <w:lang w:bidi="ar"/>
        </w:rPr>
        <w:t>水土保持措施。</w:t>
      </w:r>
    </w:p>
    <w:p w14:paraId="7904CA12">
      <w:pPr>
        <w:widowControl/>
        <w:spacing w:line="576" w:lineRule="exact"/>
        <w:ind w:firstLine="640" w:firstLineChars="200"/>
        <w:jc w:val="both"/>
        <w:rPr>
          <w:rFonts w:hint="eastAsia" w:ascii="仿宋_GB2312" w:hAnsi="仿宋_GB2312" w:eastAsia="仿宋_GB2312" w:cs="仿宋_GB2312"/>
          <w:color w:val="auto"/>
          <w:kern w:val="0"/>
          <w:sz w:val="32"/>
          <w:szCs w:val="32"/>
          <w:highlight w:val="none"/>
          <w:lang w:bidi="ar"/>
        </w:rPr>
      </w:pPr>
      <w:r>
        <w:rPr>
          <w:rFonts w:hint="eastAsia" w:ascii="仿宋_GB2312" w:hAnsi="仿宋_GB2312" w:eastAsia="仿宋_GB2312" w:cs="仿宋_GB2312"/>
          <w:color w:val="auto"/>
          <w:kern w:val="0"/>
          <w:sz w:val="32"/>
          <w:szCs w:val="32"/>
          <w:highlight w:val="none"/>
          <w:lang w:bidi="ar"/>
        </w:rPr>
        <w:t>对工程项目所占用土地的地表土应当进行分层剥离、保存和利用，做到土石方挖填平衡，减少地表扰动范围；对废弃的砂、石、土、废渣等存放地，应当采取拦挡、坡面防护、防洪导排等措施；工程建设结束后，应当及时在取土场、开挖面和存放地的裸露土地上植树种草、恢复植被；开挖、填筑、排弃的场地应采取拦挡、护坡、截排水等措施；临近水系的项目，基坑废水及其他施工废水设置足够数量的沉砂池进行沉淀澄清干净后方可排放，进入水系前需设置水土拦挡，防止水土冲刷及泥沙进入水系；施工产生的泥浆应通过泥浆沉淀池沉淀，沉淀后将泥土干化资源化利用；施工应采取有效预防措施，防止施工场所占用的土地或临时使用的土地受到冲刷；在施工期间应始终保持工地良好的排水状态。</w:t>
      </w:r>
    </w:p>
    <w:p w14:paraId="65BEC546">
      <w:pPr>
        <w:widowControl/>
        <w:spacing w:line="576"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黑体" w:hAnsi="黑体" w:eastAsia="黑体" w:cs="黑体"/>
          <w:color w:val="auto"/>
          <w:kern w:val="0"/>
          <w:sz w:val="32"/>
          <w:szCs w:val="32"/>
          <w:highlight w:val="none"/>
          <w:lang w:bidi="ar"/>
        </w:rPr>
        <w:t>三、违约责任</w:t>
      </w:r>
      <w:r>
        <w:rPr>
          <w:rFonts w:hint="eastAsia" w:ascii="仿宋_GB2312" w:hAnsi="仿宋_GB2312" w:eastAsia="仿宋_GB2312" w:cs="仿宋_GB2312"/>
          <w:color w:val="auto"/>
          <w:kern w:val="0"/>
          <w:sz w:val="32"/>
          <w:szCs w:val="32"/>
          <w:highlight w:val="none"/>
          <w:lang w:bidi="ar"/>
        </w:rPr>
        <w:t xml:space="preserve"> </w:t>
      </w:r>
    </w:p>
    <w:p w14:paraId="55DAA92D">
      <w:pPr>
        <w:widowControl/>
        <w:spacing w:line="576"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kern w:val="0"/>
          <w:sz w:val="32"/>
          <w:szCs w:val="32"/>
          <w:highlight w:val="none"/>
          <w:lang w:bidi="ar"/>
        </w:rPr>
        <w:t xml:space="preserve">如因发包人或承包人违约造成环境污染、生态破坏、水土流失等事故，将追究合同违约责任。 </w:t>
      </w:r>
    </w:p>
    <w:p w14:paraId="4F554286">
      <w:pPr>
        <w:widowControl/>
        <w:spacing w:line="576" w:lineRule="exact"/>
        <w:ind w:firstLine="640" w:firstLineChars="200"/>
        <w:jc w:val="both"/>
        <w:rPr>
          <w:rFonts w:hint="eastAsia" w:ascii="仿宋_GB2312" w:hAnsi="仿宋_GB2312" w:eastAsia="仿宋_GB2312" w:cs="仿宋_GB2312"/>
          <w:color w:val="auto"/>
          <w:kern w:val="0"/>
          <w:sz w:val="32"/>
          <w:szCs w:val="32"/>
          <w:highlight w:val="none"/>
          <w:lang w:bidi="ar"/>
        </w:rPr>
      </w:pPr>
      <w:r>
        <w:rPr>
          <w:rFonts w:hint="eastAsia" w:ascii="黑体" w:hAnsi="黑体" w:eastAsia="黑体" w:cs="黑体"/>
          <w:color w:val="auto"/>
          <w:kern w:val="0"/>
          <w:sz w:val="32"/>
          <w:szCs w:val="32"/>
          <w:highlight w:val="none"/>
          <w:lang w:bidi="ar"/>
        </w:rPr>
        <w:t>四、</w:t>
      </w:r>
      <w:r>
        <w:rPr>
          <w:rFonts w:hint="eastAsia" w:ascii="仿宋_GB2312" w:hAnsi="仿宋_GB2312" w:eastAsia="仿宋_GB2312" w:cs="仿宋_GB2312"/>
          <w:color w:val="auto"/>
          <w:kern w:val="0"/>
          <w:sz w:val="32"/>
          <w:szCs w:val="32"/>
          <w:highlight w:val="none"/>
          <w:lang w:bidi="ar"/>
        </w:rPr>
        <w:t>本协议作为</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电力工程</w:t>
      </w:r>
      <w:r>
        <w:rPr>
          <w:rFonts w:hint="eastAsia" w:ascii="仿宋_GB2312" w:hAnsi="仿宋_GB2312" w:eastAsia="仿宋_GB2312" w:cs="仿宋_GB2312"/>
          <w:color w:val="auto"/>
          <w:sz w:val="32"/>
          <w:szCs w:val="32"/>
          <w:highlight w:val="none"/>
        </w:rPr>
        <w:t>施工合同》</w:t>
      </w:r>
      <w:r>
        <w:rPr>
          <w:rFonts w:hint="eastAsia" w:ascii="仿宋_GB2312" w:hAnsi="仿宋_GB2312" w:eastAsia="仿宋_GB2312" w:cs="仿宋_GB2312"/>
          <w:color w:val="auto"/>
          <w:kern w:val="0"/>
          <w:sz w:val="32"/>
          <w:szCs w:val="32"/>
          <w:highlight w:val="none"/>
          <w:lang w:bidi="ar"/>
        </w:rPr>
        <w:t>附件，与</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电力工程</w:t>
      </w:r>
      <w:r>
        <w:rPr>
          <w:rFonts w:hint="eastAsia" w:ascii="仿宋_GB2312" w:hAnsi="仿宋_GB2312" w:eastAsia="仿宋_GB2312" w:cs="仿宋_GB2312"/>
          <w:color w:val="auto"/>
          <w:sz w:val="32"/>
          <w:szCs w:val="32"/>
          <w:highlight w:val="none"/>
        </w:rPr>
        <w:t>施工合同》</w:t>
      </w:r>
      <w:r>
        <w:rPr>
          <w:rFonts w:hint="eastAsia" w:ascii="仿宋_GB2312" w:hAnsi="仿宋_GB2312" w:eastAsia="仿宋_GB2312" w:cs="仿宋_GB2312"/>
          <w:color w:val="auto"/>
          <w:kern w:val="0"/>
          <w:sz w:val="32"/>
          <w:szCs w:val="32"/>
          <w:highlight w:val="none"/>
          <w:lang w:bidi="ar"/>
        </w:rPr>
        <w:t>具有同等的法律效力，经协议双方</w:t>
      </w:r>
      <w:r>
        <w:rPr>
          <w:rFonts w:hint="eastAsia" w:ascii="仿宋_GB2312" w:hAnsi="仿宋_GB2312" w:eastAsia="仿宋_GB2312" w:cs="仿宋_GB2312"/>
          <w:color w:val="auto"/>
          <w:kern w:val="0"/>
          <w:sz w:val="32"/>
          <w:szCs w:val="32"/>
          <w:highlight w:val="none"/>
          <w:lang w:val="en-US" w:eastAsia="zh-CN" w:bidi="ar"/>
        </w:rPr>
        <w:t>法定代表人或授权代表签字并加盖企业公章或合同章</w:t>
      </w:r>
      <w:r>
        <w:rPr>
          <w:rFonts w:hint="eastAsia" w:ascii="仿宋_GB2312" w:hAnsi="仿宋_GB2312" w:eastAsia="仿宋_GB2312" w:cs="仿宋_GB2312"/>
          <w:color w:val="auto"/>
          <w:kern w:val="0"/>
          <w:sz w:val="32"/>
          <w:szCs w:val="32"/>
          <w:highlight w:val="none"/>
          <w:lang w:bidi="ar"/>
        </w:rPr>
        <w:t xml:space="preserve">后立即生效。 </w:t>
      </w:r>
    </w:p>
    <w:p w14:paraId="28B0D25D">
      <w:pPr>
        <w:pStyle w:val="12"/>
        <w:spacing w:line="576" w:lineRule="exact"/>
        <w:ind w:firstLine="480"/>
        <w:rPr>
          <w:rFonts w:hint="eastAsia" w:ascii="仿宋_GB2312" w:hAnsi="仿宋_GB2312" w:eastAsia="仿宋_GB2312" w:cs="仿宋_GB2312"/>
          <w:color w:val="auto"/>
          <w:sz w:val="32"/>
          <w:szCs w:val="32"/>
          <w:highlight w:val="none"/>
        </w:rPr>
      </w:pPr>
    </w:p>
    <w:p w14:paraId="6E6F4DD5">
      <w:pPr>
        <w:pStyle w:val="12"/>
        <w:spacing w:line="576" w:lineRule="exact"/>
        <w:ind w:firstLine="480"/>
        <w:rPr>
          <w:rFonts w:hint="eastAsia" w:ascii="仿宋_GB2312" w:hAnsi="仿宋_GB2312" w:eastAsia="仿宋_GB2312" w:cs="仿宋_GB2312"/>
          <w:color w:val="auto"/>
          <w:sz w:val="32"/>
          <w:szCs w:val="32"/>
          <w:highlight w:val="none"/>
        </w:rPr>
      </w:pPr>
    </w:p>
    <w:tbl>
      <w:tblPr>
        <w:tblStyle w:val="13"/>
        <w:tblW w:w="0" w:type="auto"/>
        <w:tblInd w:w="0" w:type="dxa"/>
        <w:tblLayout w:type="autofit"/>
        <w:tblCellMar>
          <w:top w:w="0" w:type="dxa"/>
          <w:left w:w="108" w:type="dxa"/>
          <w:bottom w:w="0" w:type="dxa"/>
          <w:right w:w="108" w:type="dxa"/>
        </w:tblCellMar>
      </w:tblPr>
      <w:tblGrid>
        <w:gridCol w:w="4148"/>
        <w:gridCol w:w="4148"/>
      </w:tblGrid>
      <w:tr w14:paraId="206C0C76">
        <w:tblPrEx>
          <w:tblCellMar>
            <w:top w:w="0" w:type="dxa"/>
            <w:left w:w="108" w:type="dxa"/>
            <w:bottom w:w="0" w:type="dxa"/>
            <w:right w:w="108" w:type="dxa"/>
          </w:tblCellMar>
        </w:tblPrEx>
        <w:trPr>
          <w:trHeight w:val="2560" w:hRule="atLeast"/>
        </w:trPr>
        <w:tc>
          <w:tcPr>
            <w:tcW w:w="4148" w:type="dxa"/>
            <w:noWrap w:val="0"/>
            <w:vAlign w:val="top"/>
          </w:tcPr>
          <w:p w14:paraId="6DA9FFC0">
            <w:pPr>
              <w:snapToGrid/>
              <w:spacing w:line="576" w:lineRule="exac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br w:type="page"/>
            </w:r>
            <w:r>
              <w:rPr>
                <w:rFonts w:hint="eastAsia" w:ascii="仿宋_GB2312" w:hAnsi="仿宋_GB2312" w:eastAsia="仿宋_GB2312" w:cs="仿宋_GB2312"/>
                <w:color w:val="auto"/>
                <w:sz w:val="32"/>
                <w:szCs w:val="32"/>
                <w:highlight w:val="none"/>
              </w:rPr>
              <w:t>发包人：（盖章）</w:t>
            </w:r>
          </w:p>
          <w:p w14:paraId="06C18777">
            <w:pPr>
              <w:snapToGrid/>
              <w:spacing w:line="576" w:lineRule="exac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 xml:space="preserve">                          </w:t>
            </w:r>
          </w:p>
          <w:p w14:paraId="781EBBD6">
            <w:pPr>
              <w:snapToGrid/>
              <w:spacing w:line="576" w:lineRule="exac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法定代表人或其</w:t>
            </w:r>
            <w:r>
              <w:rPr>
                <w:rFonts w:hint="eastAsia" w:ascii="仿宋_GB2312" w:hAnsi="仿宋_GB2312" w:eastAsia="仿宋_GB2312" w:cs="仿宋_GB2312"/>
                <w:color w:val="auto"/>
                <w:sz w:val="32"/>
                <w:szCs w:val="32"/>
                <w:highlight w:val="none"/>
                <w:lang w:eastAsia="zh-CN"/>
              </w:rPr>
              <w:t>授权代理人</w:t>
            </w:r>
            <w:r>
              <w:rPr>
                <w:rFonts w:hint="eastAsia" w:ascii="仿宋_GB2312" w:hAnsi="仿宋_GB2312" w:eastAsia="仿宋_GB2312" w:cs="仿宋_GB2312"/>
                <w:color w:val="auto"/>
                <w:sz w:val="32"/>
                <w:szCs w:val="32"/>
                <w:highlight w:val="none"/>
              </w:rPr>
              <w:t>：</w:t>
            </w:r>
          </w:p>
          <w:p w14:paraId="0ACF3D35">
            <w:pPr>
              <w:snapToGrid/>
              <w:spacing w:line="576" w:lineRule="exac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（签字或盖章）</w:t>
            </w:r>
          </w:p>
        </w:tc>
        <w:tc>
          <w:tcPr>
            <w:tcW w:w="4148" w:type="dxa"/>
            <w:noWrap w:val="0"/>
            <w:vAlign w:val="top"/>
          </w:tcPr>
          <w:p w14:paraId="71B1A398">
            <w:pPr>
              <w:snapToGrid/>
              <w:spacing w:line="576" w:lineRule="exac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承包人：（盖章）</w:t>
            </w:r>
          </w:p>
          <w:p w14:paraId="628AFA6A">
            <w:pPr>
              <w:snapToGrid/>
              <w:spacing w:line="576" w:lineRule="exac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 xml:space="preserve">                          </w:t>
            </w:r>
          </w:p>
          <w:p w14:paraId="46AD70BD">
            <w:pPr>
              <w:snapToGrid/>
              <w:spacing w:line="576" w:lineRule="exac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法定代表人或其</w:t>
            </w:r>
            <w:r>
              <w:rPr>
                <w:rFonts w:hint="eastAsia" w:ascii="仿宋_GB2312" w:hAnsi="仿宋_GB2312" w:eastAsia="仿宋_GB2312" w:cs="仿宋_GB2312"/>
                <w:color w:val="auto"/>
                <w:sz w:val="32"/>
                <w:szCs w:val="32"/>
                <w:highlight w:val="none"/>
                <w:lang w:eastAsia="zh-CN"/>
              </w:rPr>
              <w:t>授权代理人</w:t>
            </w:r>
            <w:r>
              <w:rPr>
                <w:rFonts w:hint="eastAsia" w:ascii="仿宋_GB2312" w:hAnsi="仿宋_GB2312" w:eastAsia="仿宋_GB2312" w:cs="仿宋_GB2312"/>
                <w:color w:val="auto"/>
                <w:sz w:val="32"/>
                <w:szCs w:val="32"/>
                <w:highlight w:val="none"/>
              </w:rPr>
              <w:t>：</w:t>
            </w:r>
          </w:p>
          <w:p w14:paraId="111C691F">
            <w:pPr>
              <w:snapToGrid/>
              <w:spacing w:line="576" w:lineRule="exac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（签字或盖章）</w:t>
            </w:r>
          </w:p>
        </w:tc>
      </w:tr>
    </w:tbl>
    <w:p w14:paraId="6DCC0063">
      <w:pPr>
        <w:jc w:val="left"/>
        <w:rPr>
          <w:rFonts w:ascii="仿宋" w:hAnsi="仿宋" w:eastAsia="仿宋" w:cs="仿宋"/>
          <w:b/>
          <w:bCs/>
          <w:color w:val="auto"/>
          <w:sz w:val="32"/>
          <w:szCs w:val="32"/>
          <w:highlight w:val="none"/>
        </w:rPr>
      </w:pPr>
    </w:p>
    <w:p w14:paraId="06476319">
      <w:pPr>
        <w:pStyle w:val="2"/>
        <w:snapToGrid/>
        <w:spacing w:before="0" w:after="0" w:line="576" w:lineRule="exact"/>
        <w:rPr>
          <w:rFonts w:hint="eastAsia" w:ascii="仿宋_GB2312" w:hAnsi="仿宋_GB2312" w:eastAsia="仿宋_GB2312" w:cs="仿宋_GB2312"/>
          <w:b w:val="0"/>
          <w:bCs w:val="0"/>
          <w:color w:val="auto"/>
          <w:sz w:val="32"/>
          <w:szCs w:val="32"/>
          <w:highlight w:val="none"/>
          <w:lang w:bidi="ar"/>
        </w:rPr>
      </w:pPr>
      <w:bookmarkStart w:id="3031" w:name="_Toc13804"/>
      <w:bookmarkStart w:id="3032" w:name="_Toc4417"/>
      <w:bookmarkStart w:id="3033" w:name="_Toc21170"/>
      <w:bookmarkStart w:id="3034" w:name="_Toc11951"/>
      <w:bookmarkStart w:id="3035" w:name="_Toc27787"/>
      <w:r>
        <w:rPr>
          <w:rFonts w:hint="eastAsia" w:ascii="仿宋" w:hAnsi="仿宋" w:eastAsia="仿宋" w:cs="仿宋"/>
          <w:b w:val="0"/>
          <w:bCs w:val="0"/>
          <w:color w:val="auto"/>
          <w:sz w:val="32"/>
          <w:szCs w:val="32"/>
          <w:highlight w:val="none"/>
          <w:lang w:bidi="ar"/>
        </w:rPr>
        <w:br w:type="page"/>
      </w:r>
      <w:bookmarkStart w:id="3036" w:name="_Toc10892"/>
      <w:r>
        <w:rPr>
          <w:rFonts w:hint="eastAsia" w:ascii="黑体" w:hAnsi="黑体" w:eastAsia="黑体" w:cs="黑体"/>
          <w:b w:val="0"/>
          <w:bCs w:val="0"/>
          <w:color w:val="auto"/>
          <w:sz w:val="32"/>
          <w:szCs w:val="32"/>
          <w:highlight w:val="none"/>
          <w:lang w:bidi="ar"/>
        </w:rPr>
        <w:t>附件</w:t>
      </w:r>
      <w:r>
        <w:rPr>
          <w:rFonts w:hint="eastAsia" w:ascii="黑体" w:hAnsi="黑体" w:eastAsia="黑体" w:cs="黑体"/>
          <w:b w:val="0"/>
          <w:bCs w:val="0"/>
          <w:color w:val="auto"/>
          <w:sz w:val="32"/>
          <w:szCs w:val="32"/>
          <w:highlight w:val="none"/>
          <w:lang w:val="en-US" w:eastAsia="zh-CN" w:bidi="ar"/>
        </w:rPr>
        <w:t>18</w:t>
      </w:r>
      <w:bookmarkEnd w:id="3031"/>
      <w:bookmarkEnd w:id="3032"/>
      <w:bookmarkEnd w:id="3033"/>
      <w:bookmarkEnd w:id="3034"/>
      <w:bookmarkEnd w:id="3035"/>
      <w:bookmarkEnd w:id="3036"/>
    </w:p>
    <w:p w14:paraId="17CFB441">
      <w:pPr>
        <w:spacing w:line="576" w:lineRule="exact"/>
        <w:jc w:val="left"/>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1.预付款担保，适用于银行保函或非银行金融机构保函形式</w:t>
      </w:r>
    </w:p>
    <w:p w14:paraId="0071AC27">
      <w:pPr>
        <w:spacing w:line="576" w:lineRule="exact"/>
        <w:jc w:val="center"/>
        <w:rPr>
          <w:rFonts w:hint="eastAsia" w:ascii="方正小标宋简体" w:hAnsi="方正小标宋简体" w:eastAsia="方正小标宋简体" w:cs="方正小标宋简体"/>
          <w:b w:val="0"/>
          <w:bCs w:val="0"/>
          <w:color w:val="auto"/>
          <w:sz w:val="44"/>
          <w:szCs w:val="44"/>
          <w:highlight w:val="none"/>
        </w:rPr>
      </w:pPr>
      <w:r>
        <w:rPr>
          <w:rFonts w:hint="eastAsia" w:ascii="方正小标宋简体" w:hAnsi="方正小标宋简体" w:eastAsia="方正小标宋简体" w:cs="方正小标宋简体"/>
          <w:b w:val="0"/>
          <w:bCs w:val="0"/>
          <w:color w:val="auto"/>
          <w:sz w:val="44"/>
          <w:szCs w:val="44"/>
          <w:highlight w:val="none"/>
        </w:rPr>
        <w:t>预付款担保</w:t>
      </w:r>
    </w:p>
    <w:p w14:paraId="293A8055">
      <w:pPr>
        <w:spacing w:line="576" w:lineRule="exact"/>
        <w:jc w:val="center"/>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w:t>
      </w:r>
      <w:r>
        <w:rPr>
          <w:rFonts w:hint="eastAsia" w:ascii="仿宋_GB2312" w:hAnsi="仿宋_GB2312" w:eastAsia="仿宋_GB2312" w:cs="仿宋_GB2312"/>
          <w:b/>
          <w:bCs/>
          <w:color w:val="auto"/>
          <w:sz w:val="32"/>
          <w:szCs w:val="32"/>
          <w:highlight w:val="none"/>
          <w:lang w:val="en-US" w:eastAsia="zh-Hans"/>
        </w:rPr>
        <w:t>独立保函</w:t>
      </w:r>
      <w:r>
        <w:rPr>
          <w:rFonts w:hint="eastAsia" w:ascii="仿宋_GB2312" w:hAnsi="仿宋_GB2312" w:eastAsia="仿宋_GB2312" w:cs="仿宋_GB2312"/>
          <w:b/>
          <w:bCs/>
          <w:color w:val="auto"/>
          <w:sz w:val="32"/>
          <w:szCs w:val="32"/>
          <w:highlight w:val="none"/>
          <w:lang w:eastAsia="zh-Hans"/>
        </w:rPr>
        <w:t>）</w:t>
      </w:r>
    </w:p>
    <w:p w14:paraId="6814153E">
      <w:pPr>
        <w:wordWrap w:val="0"/>
        <w:spacing w:line="576" w:lineRule="exact"/>
        <w:ind w:firstLine="0" w:firstLineChars="0"/>
        <w:jc w:val="right"/>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保函编号：</w:t>
      </w:r>
    </w:p>
    <w:p w14:paraId="43197676">
      <w:pPr>
        <w:spacing w:line="576" w:lineRule="exact"/>
        <w:ind w:firstLine="0" w:firstLineChars="0"/>
        <w:jc w:val="right"/>
        <w:rPr>
          <w:rFonts w:hint="eastAsia" w:ascii="仿宋_GB2312" w:hAnsi="仿宋_GB2312" w:eastAsia="仿宋_GB2312" w:cs="仿宋_GB2312"/>
          <w:color w:val="auto"/>
          <w:sz w:val="32"/>
          <w:szCs w:val="32"/>
          <w:highlight w:val="none"/>
          <w:u w:val="single"/>
        </w:rPr>
      </w:pPr>
      <w:r>
        <w:rPr>
          <w:rFonts w:hint="eastAsia" w:ascii="仿宋_GB2312" w:hAnsi="仿宋_GB2312" w:eastAsia="仿宋_GB2312" w:cs="仿宋_GB2312"/>
          <w:b/>
          <w:bCs/>
          <w:color w:val="auto"/>
          <w:sz w:val="32"/>
          <w:szCs w:val="32"/>
          <w:highlight w:val="none"/>
        </w:rPr>
        <w:t>查询码：</w:t>
      </w:r>
    </w:p>
    <w:p w14:paraId="62489A69">
      <w:pPr>
        <w:spacing w:line="576" w:lineRule="exac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u w:val="single"/>
        </w:rPr>
        <w:t>发包人名称</w:t>
      </w:r>
      <w:r>
        <w:rPr>
          <w:rFonts w:hint="eastAsia" w:ascii="仿宋_GB2312" w:hAnsi="仿宋_GB2312" w:eastAsia="仿宋_GB2312" w:cs="仿宋_GB2312"/>
          <w:color w:val="auto"/>
          <w:sz w:val="32"/>
          <w:szCs w:val="32"/>
          <w:highlight w:val="none"/>
        </w:rPr>
        <w:t>：</w:t>
      </w:r>
    </w:p>
    <w:p w14:paraId="32E92D1C">
      <w:pPr>
        <w:spacing w:line="576"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根据</w:t>
      </w:r>
      <w:r>
        <w:rPr>
          <w:rFonts w:hint="eastAsia" w:ascii="仿宋_GB2312" w:hAnsi="仿宋_GB2312" w:eastAsia="仿宋_GB2312" w:cs="仿宋_GB2312"/>
          <w:color w:val="auto"/>
          <w:sz w:val="32"/>
          <w:szCs w:val="32"/>
          <w:highlight w:val="none"/>
          <w:u w:val="none"/>
        </w:rPr>
        <w:t xml:space="preserve">承包人名称 </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rPr>
        <w:t>以下称“承包人”</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 xml:space="preserve">与 </w:t>
      </w:r>
      <w:r>
        <w:rPr>
          <w:rFonts w:hint="eastAsia" w:ascii="仿宋_GB2312" w:hAnsi="仿宋_GB2312" w:eastAsia="仿宋_GB2312" w:cs="仿宋_GB2312"/>
          <w:color w:val="auto"/>
          <w:sz w:val="32"/>
          <w:szCs w:val="32"/>
          <w:highlight w:val="none"/>
          <w:u w:val="none"/>
        </w:rPr>
        <w:t>发包人名称</w:t>
      </w:r>
      <w:r>
        <w:rPr>
          <w:rFonts w:hint="eastAsia"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以下简称“发包人”</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于</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年</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月</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日</w:t>
      </w:r>
      <w:r>
        <w:rPr>
          <w:rFonts w:hint="eastAsia" w:ascii="仿宋_GB2312" w:hAnsi="仿宋_GB2312" w:eastAsia="仿宋_GB2312" w:cs="仿宋_GB2312"/>
          <w:color w:val="auto"/>
          <w:sz w:val="32"/>
          <w:szCs w:val="32"/>
          <w:highlight w:val="none"/>
          <w:lang w:val="en-US" w:eastAsia="zh-Hans"/>
        </w:rPr>
        <w:t>就</w:t>
      </w:r>
      <w:r>
        <w:rPr>
          <w:rFonts w:hint="eastAsia" w:ascii="仿宋_GB2312" w:hAnsi="仿宋_GB2312" w:eastAsia="仿宋_GB2312" w:cs="仿宋_GB2312"/>
          <w:color w:val="auto"/>
          <w:sz w:val="32"/>
          <w:szCs w:val="32"/>
          <w:highlight w:val="none"/>
          <w:u w:val="single"/>
        </w:rPr>
        <w:t>工程名称（</w:t>
      </w:r>
      <w:r>
        <w:rPr>
          <w:rFonts w:hint="eastAsia" w:ascii="仿宋_GB2312" w:hAnsi="仿宋_GB2312" w:eastAsia="仿宋_GB2312" w:cs="仿宋_GB2312"/>
          <w:color w:val="auto"/>
          <w:sz w:val="32"/>
          <w:szCs w:val="32"/>
          <w:highlight w:val="none"/>
          <w:u w:val="single"/>
          <w:lang w:val="en-US" w:eastAsia="zh-Hans"/>
        </w:rPr>
        <w:t>下称“本项目”</w:t>
      </w:r>
      <w:r>
        <w:rPr>
          <w:rFonts w:hint="eastAsia" w:ascii="仿宋_GB2312" w:hAnsi="仿宋_GB2312" w:eastAsia="仿宋_GB2312" w:cs="仿宋_GB2312"/>
          <w:color w:val="auto"/>
          <w:sz w:val="32"/>
          <w:szCs w:val="32"/>
          <w:highlight w:val="none"/>
          <w:u w:val="single"/>
          <w:lang w:eastAsia="zh-Hans"/>
        </w:rPr>
        <w:t>）</w:t>
      </w:r>
      <w:r>
        <w:rPr>
          <w:rFonts w:hint="eastAsia" w:ascii="仿宋_GB2312" w:hAnsi="仿宋_GB2312" w:eastAsia="仿宋_GB2312" w:cs="仿宋_GB2312"/>
          <w:color w:val="auto"/>
          <w:sz w:val="32"/>
          <w:szCs w:val="32"/>
          <w:highlight w:val="none"/>
        </w:rPr>
        <w:t>签订的《建设工程施工合同》（</w:t>
      </w:r>
      <w:r>
        <w:rPr>
          <w:rFonts w:hint="eastAsia" w:ascii="仿宋_GB2312" w:hAnsi="仿宋_GB2312" w:eastAsia="仿宋_GB2312" w:cs="仿宋_GB2312"/>
          <w:color w:val="auto"/>
          <w:sz w:val="32"/>
          <w:szCs w:val="32"/>
          <w:highlight w:val="none"/>
          <w:lang w:val="en-US" w:eastAsia="zh-Hans"/>
        </w:rPr>
        <w:t>下称“基础合同”</w:t>
      </w:r>
      <w:r>
        <w:rPr>
          <w:rFonts w:hint="eastAsia" w:ascii="仿宋_GB2312" w:hAnsi="仿宋_GB2312" w:eastAsia="仿宋_GB2312" w:cs="仿宋_GB2312"/>
          <w:color w:val="auto"/>
          <w:sz w:val="32"/>
          <w:szCs w:val="32"/>
          <w:highlight w:val="none"/>
          <w:lang w:eastAsia="zh-Hans"/>
        </w:rPr>
        <w:t>）</w:t>
      </w:r>
      <w:r>
        <w:rPr>
          <w:rFonts w:hint="eastAsia" w:ascii="仿宋_GB2312" w:hAnsi="仿宋_GB2312" w:eastAsia="仿宋_GB2312" w:cs="仿宋_GB2312"/>
          <w:color w:val="auto"/>
          <w:sz w:val="32"/>
          <w:szCs w:val="32"/>
          <w:highlight w:val="none"/>
        </w:rPr>
        <w:t>，我方同意就</w:t>
      </w:r>
      <w:r>
        <w:rPr>
          <w:rFonts w:hint="eastAsia" w:ascii="仿宋_GB2312" w:hAnsi="仿宋_GB2312" w:eastAsia="仿宋_GB2312" w:cs="仿宋_GB2312"/>
          <w:color w:val="auto"/>
          <w:sz w:val="32"/>
          <w:szCs w:val="32"/>
          <w:highlight w:val="none"/>
          <w:lang w:val="en-US" w:eastAsia="zh-Hans"/>
        </w:rPr>
        <w:t>承包人</w:t>
      </w:r>
      <w:r>
        <w:rPr>
          <w:rFonts w:hint="eastAsia" w:ascii="仿宋_GB2312" w:hAnsi="仿宋_GB2312" w:eastAsia="仿宋_GB2312" w:cs="仿宋_GB2312"/>
          <w:color w:val="auto"/>
          <w:sz w:val="32"/>
          <w:szCs w:val="32"/>
          <w:highlight w:val="none"/>
        </w:rPr>
        <w:t>按照</w:t>
      </w:r>
      <w:r>
        <w:rPr>
          <w:rFonts w:hint="eastAsia" w:ascii="仿宋_GB2312" w:hAnsi="仿宋_GB2312" w:eastAsia="仿宋_GB2312" w:cs="仿宋_GB2312"/>
          <w:color w:val="auto"/>
          <w:sz w:val="32"/>
          <w:szCs w:val="32"/>
          <w:highlight w:val="none"/>
          <w:lang w:val="en-US" w:eastAsia="zh-Hans"/>
        </w:rPr>
        <w:t>基础</w:t>
      </w:r>
      <w:r>
        <w:rPr>
          <w:rFonts w:hint="eastAsia" w:ascii="仿宋_GB2312" w:hAnsi="仿宋_GB2312" w:eastAsia="仿宋_GB2312" w:cs="仿宋_GB2312"/>
          <w:color w:val="auto"/>
          <w:sz w:val="32"/>
          <w:szCs w:val="32"/>
          <w:highlight w:val="none"/>
        </w:rPr>
        <w:t>合同约定正确和合理地为合同目的使用预付款，</w:t>
      </w:r>
      <w:r>
        <w:rPr>
          <w:rFonts w:hint="eastAsia" w:ascii="仿宋_GB2312" w:hAnsi="仿宋_GB2312" w:eastAsia="仿宋_GB2312" w:cs="仿宋_GB2312"/>
          <w:color w:val="auto"/>
          <w:sz w:val="32"/>
          <w:szCs w:val="32"/>
          <w:highlight w:val="none"/>
          <w:lang w:val="en-US" w:eastAsia="zh-Hans"/>
        </w:rPr>
        <w:t>向你方提供</w:t>
      </w:r>
      <w:r>
        <w:rPr>
          <w:rFonts w:hint="eastAsia" w:ascii="仿宋_GB2312" w:hAnsi="仿宋_GB2312" w:eastAsia="仿宋_GB2312" w:cs="仿宋_GB2312"/>
          <w:color w:val="auto"/>
          <w:sz w:val="32"/>
          <w:szCs w:val="32"/>
          <w:highlight w:val="none"/>
        </w:rPr>
        <w:t>无条件、不可撤销、</w:t>
      </w:r>
      <w:r>
        <w:rPr>
          <w:rFonts w:hint="eastAsia" w:ascii="仿宋_GB2312" w:hAnsi="仿宋_GB2312" w:eastAsia="仿宋_GB2312" w:cs="仿宋_GB2312"/>
          <w:color w:val="auto"/>
          <w:sz w:val="32"/>
          <w:szCs w:val="32"/>
          <w:highlight w:val="none"/>
          <w:lang w:val="en-US" w:eastAsia="zh-Hans"/>
        </w:rPr>
        <w:t>不可转让</w:t>
      </w:r>
      <w:r>
        <w:rPr>
          <w:rFonts w:hint="eastAsia" w:ascii="仿宋_GB2312" w:hAnsi="仿宋_GB2312" w:eastAsia="仿宋_GB2312" w:cs="仿宋_GB2312"/>
          <w:color w:val="auto"/>
          <w:sz w:val="32"/>
          <w:szCs w:val="32"/>
          <w:highlight w:val="none"/>
          <w:lang w:eastAsia="zh-Hans"/>
        </w:rPr>
        <w:t>、</w:t>
      </w:r>
      <w:r>
        <w:rPr>
          <w:rFonts w:hint="eastAsia" w:ascii="仿宋_GB2312" w:hAnsi="仿宋_GB2312" w:eastAsia="仿宋_GB2312" w:cs="仿宋_GB2312"/>
          <w:color w:val="auto"/>
          <w:sz w:val="32"/>
          <w:szCs w:val="32"/>
          <w:highlight w:val="none"/>
        </w:rPr>
        <w:t>见索即付的</w:t>
      </w:r>
      <w:r>
        <w:rPr>
          <w:rFonts w:hint="eastAsia" w:ascii="仿宋_GB2312" w:hAnsi="仿宋_GB2312" w:eastAsia="仿宋_GB2312" w:cs="仿宋_GB2312"/>
          <w:color w:val="auto"/>
          <w:sz w:val="32"/>
          <w:szCs w:val="32"/>
          <w:highlight w:val="none"/>
          <w:lang w:val="en-US" w:eastAsia="zh-Hans"/>
        </w:rPr>
        <w:t>独立保函</w:t>
      </w:r>
      <w:r>
        <w:rPr>
          <w:rFonts w:hint="eastAsia" w:ascii="仿宋_GB2312" w:hAnsi="仿宋_GB2312" w:eastAsia="仿宋_GB2312" w:cs="仿宋_GB2312"/>
          <w:color w:val="auto"/>
          <w:sz w:val="32"/>
          <w:szCs w:val="32"/>
          <w:highlight w:val="none"/>
          <w:lang w:eastAsia="zh-Hans"/>
        </w:rPr>
        <w:t>（</w:t>
      </w:r>
      <w:r>
        <w:rPr>
          <w:rFonts w:hint="eastAsia" w:ascii="仿宋_GB2312" w:hAnsi="仿宋_GB2312" w:eastAsia="仿宋_GB2312" w:cs="仿宋_GB2312"/>
          <w:color w:val="auto"/>
          <w:sz w:val="32"/>
          <w:szCs w:val="32"/>
          <w:highlight w:val="none"/>
        </w:rPr>
        <w:t xml:space="preserve">以下简称“本保函”）。 </w:t>
      </w:r>
    </w:p>
    <w:p w14:paraId="7672A8D5">
      <w:pPr>
        <w:spacing w:line="576"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val="en-US" w:eastAsia="zh-Hans"/>
        </w:rPr>
        <w:t>本保函最高</w:t>
      </w:r>
      <w:r>
        <w:rPr>
          <w:rFonts w:hint="eastAsia" w:ascii="仿宋_GB2312" w:hAnsi="仿宋_GB2312" w:eastAsia="仿宋_GB2312" w:cs="仿宋_GB2312"/>
          <w:color w:val="auto"/>
          <w:sz w:val="32"/>
          <w:szCs w:val="32"/>
          <w:highlight w:val="none"/>
        </w:rPr>
        <w:t>担保金额：人民币</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大写</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w:t>
      </w:r>
    </w:p>
    <w:p w14:paraId="2014EE65">
      <w:pPr>
        <w:spacing w:line="576"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w:t>
      </w:r>
      <w:r>
        <w:rPr>
          <w:rFonts w:hint="eastAsia" w:ascii="仿宋_GB2312" w:hAnsi="仿宋_GB2312" w:eastAsia="仿宋_GB2312" w:cs="仿宋_GB2312"/>
          <w:color w:val="auto"/>
          <w:sz w:val="32"/>
          <w:szCs w:val="32"/>
          <w:highlight w:val="none"/>
          <w:lang w:val="en-US" w:eastAsia="zh-Hans"/>
        </w:rPr>
        <w:t>本保函</w:t>
      </w:r>
      <w:r>
        <w:rPr>
          <w:rFonts w:hint="eastAsia" w:ascii="仿宋_GB2312" w:hAnsi="仿宋_GB2312" w:eastAsia="仿宋_GB2312" w:cs="仿宋_GB2312"/>
          <w:color w:val="auto"/>
          <w:sz w:val="32"/>
          <w:szCs w:val="32"/>
          <w:highlight w:val="none"/>
        </w:rPr>
        <w:t>有效期自</w:t>
      </w:r>
      <w:r>
        <w:rPr>
          <w:rFonts w:hint="eastAsia" w:ascii="仿宋_GB2312" w:hAnsi="仿宋_GB2312" w:eastAsia="仿宋_GB2312" w:cs="仿宋_GB2312"/>
          <w:color w:val="auto"/>
          <w:sz w:val="32"/>
          <w:szCs w:val="32"/>
          <w:highlight w:val="none"/>
          <w:lang w:val="en-US" w:eastAsia="zh-CN"/>
        </w:rPr>
        <w:t>开立之日</w:t>
      </w:r>
      <w:r>
        <w:rPr>
          <w:rFonts w:hint="eastAsia" w:ascii="仿宋_GB2312" w:hAnsi="仿宋_GB2312" w:eastAsia="仿宋_GB2312" w:cs="仿宋_GB2312"/>
          <w:color w:val="auto"/>
          <w:sz w:val="32"/>
          <w:szCs w:val="32"/>
          <w:highlight w:val="none"/>
        </w:rPr>
        <w:t>起生效，至</w:t>
      </w:r>
      <w:r>
        <w:rPr>
          <w:rFonts w:hint="eastAsia" w:ascii="仿宋_GB2312" w:hAnsi="仿宋_GB2312" w:eastAsia="仿宋_GB2312" w:cs="仿宋_GB2312"/>
          <w:color w:val="auto"/>
          <w:sz w:val="32"/>
          <w:szCs w:val="32"/>
          <w:highlight w:val="none"/>
          <w:lang w:val="en-US" w:eastAsia="zh-CN"/>
        </w:rPr>
        <w:t xml:space="preserve">    年    月    日止</w:t>
      </w:r>
      <w:r>
        <w:rPr>
          <w:rFonts w:hint="eastAsia" w:ascii="仿宋_GB2312" w:hAnsi="仿宋_GB2312" w:eastAsia="仿宋_GB2312" w:cs="仿宋_GB2312"/>
          <w:color w:val="auto"/>
          <w:sz w:val="32"/>
          <w:szCs w:val="32"/>
          <w:highlight w:val="none"/>
        </w:rPr>
        <w:t>。</w:t>
      </w:r>
    </w:p>
    <w:p w14:paraId="32E980C3">
      <w:pPr>
        <w:spacing w:line="576" w:lineRule="exact"/>
        <w:ind w:firstLine="640" w:firstLineChars="200"/>
        <w:rPr>
          <w:rFonts w:hint="eastAsia" w:ascii="仿宋_GB2312" w:hAnsi="仿宋_GB2312" w:eastAsia="仿宋_GB2312" w:cs="仿宋_GB2312"/>
          <w:color w:val="auto"/>
          <w:sz w:val="32"/>
          <w:szCs w:val="32"/>
          <w:highlight w:val="none"/>
          <w:lang w:val="en-US" w:eastAsia="zh-Hans"/>
        </w:rPr>
      </w:pPr>
      <w:r>
        <w:rPr>
          <w:rFonts w:hint="eastAsia" w:ascii="仿宋_GB2312" w:hAnsi="仿宋_GB2312" w:eastAsia="仿宋_GB2312" w:cs="仿宋_GB2312"/>
          <w:color w:val="auto"/>
          <w:sz w:val="32"/>
          <w:szCs w:val="32"/>
          <w:highlight w:val="none"/>
        </w:rPr>
        <w:t>3.在本保函有效期内，因承包人违反合同约定的义务</w:t>
      </w:r>
      <w:r>
        <w:rPr>
          <w:rFonts w:hint="eastAsia" w:ascii="仿宋_GB2312" w:hAnsi="仿宋_GB2312" w:eastAsia="仿宋_GB2312" w:cs="仿宋_GB2312"/>
          <w:color w:val="auto"/>
          <w:sz w:val="32"/>
          <w:szCs w:val="32"/>
          <w:highlight w:val="none"/>
          <w:lang w:val="en-US" w:eastAsia="zh-CN"/>
        </w:rPr>
        <w:t>使你方</w:t>
      </w:r>
      <w:r>
        <w:rPr>
          <w:rFonts w:hint="eastAsia" w:ascii="仿宋_GB2312" w:hAnsi="仿宋_GB2312" w:eastAsia="仿宋_GB2312" w:cs="仿宋_GB2312"/>
          <w:color w:val="auto"/>
          <w:sz w:val="32"/>
          <w:szCs w:val="32"/>
          <w:highlight w:val="none"/>
        </w:rPr>
        <w:t>要求收回预付款时，我方在收到你方的书面</w:t>
      </w:r>
      <w:r>
        <w:rPr>
          <w:rFonts w:hint="eastAsia" w:ascii="仿宋_GB2312" w:hAnsi="仿宋_GB2312" w:eastAsia="仿宋_GB2312" w:cs="仿宋_GB2312"/>
          <w:color w:val="auto"/>
          <w:sz w:val="32"/>
          <w:szCs w:val="32"/>
          <w:highlight w:val="none"/>
          <w:lang w:val="en-US" w:eastAsia="zh-Hans"/>
        </w:rPr>
        <w:t>支付</w:t>
      </w:r>
      <w:r>
        <w:rPr>
          <w:rFonts w:hint="eastAsia" w:ascii="仿宋_GB2312" w:hAnsi="仿宋_GB2312" w:eastAsia="仿宋_GB2312" w:cs="仿宋_GB2312"/>
          <w:color w:val="auto"/>
          <w:sz w:val="32"/>
          <w:szCs w:val="32"/>
          <w:highlight w:val="none"/>
        </w:rPr>
        <w:t>通知后（无须你方提出任何证明或证据），在7天内无条件支付，</w:t>
      </w:r>
      <w:r>
        <w:rPr>
          <w:rFonts w:hint="eastAsia" w:ascii="仿宋_GB2312" w:hAnsi="仿宋_GB2312" w:eastAsia="仿宋_GB2312" w:cs="仿宋_GB2312"/>
          <w:color w:val="auto"/>
          <w:sz w:val="32"/>
          <w:szCs w:val="32"/>
          <w:highlight w:val="none"/>
          <w:lang w:val="en-US" w:eastAsia="zh-Hans"/>
        </w:rPr>
        <w:t>你方</w:t>
      </w:r>
      <w:r>
        <w:rPr>
          <w:rFonts w:hint="eastAsia" w:ascii="仿宋_GB2312" w:hAnsi="仿宋_GB2312" w:eastAsia="仿宋_GB2312" w:cs="仿宋_GB2312"/>
          <w:color w:val="auto"/>
          <w:sz w:val="32"/>
          <w:szCs w:val="32"/>
          <w:highlight w:val="none"/>
          <w:lang w:eastAsia="zh-Hans"/>
        </w:rPr>
        <w:t>书面</w:t>
      </w:r>
      <w:r>
        <w:rPr>
          <w:rFonts w:hint="eastAsia" w:ascii="仿宋_GB2312" w:hAnsi="仿宋_GB2312" w:eastAsia="仿宋_GB2312" w:cs="仿宋_GB2312"/>
          <w:color w:val="auto"/>
          <w:sz w:val="32"/>
          <w:szCs w:val="32"/>
          <w:highlight w:val="none"/>
          <w:lang w:val="en-US" w:eastAsia="zh-Hans"/>
        </w:rPr>
        <w:t>支付</w:t>
      </w:r>
      <w:r>
        <w:rPr>
          <w:rFonts w:hint="eastAsia" w:ascii="仿宋_GB2312" w:hAnsi="仿宋_GB2312" w:eastAsia="仿宋_GB2312" w:cs="仿宋_GB2312"/>
          <w:color w:val="auto"/>
          <w:sz w:val="32"/>
          <w:szCs w:val="32"/>
          <w:highlight w:val="none"/>
          <w:lang w:eastAsia="zh-Hans"/>
        </w:rPr>
        <w:t>通知</w:t>
      </w:r>
      <w:r>
        <w:rPr>
          <w:rFonts w:hint="eastAsia" w:ascii="仿宋_GB2312" w:hAnsi="仿宋_GB2312" w:eastAsia="仿宋_GB2312" w:cs="仿宋_GB2312"/>
          <w:color w:val="auto"/>
          <w:sz w:val="32"/>
          <w:szCs w:val="32"/>
          <w:highlight w:val="none"/>
          <w:lang w:val="en-US" w:eastAsia="zh-Hans"/>
        </w:rPr>
        <w:t>书</w:t>
      </w:r>
      <w:r>
        <w:rPr>
          <w:rFonts w:hint="eastAsia" w:ascii="仿宋_GB2312" w:hAnsi="仿宋_GB2312" w:eastAsia="仿宋_GB2312" w:cs="仿宋_GB2312"/>
          <w:color w:val="auto"/>
          <w:sz w:val="32"/>
          <w:szCs w:val="32"/>
          <w:highlight w:val="none"/>
          <w:lang w:eastAsia="zh-Hans"/>
        </w:rPr>
        <w:t>即为</w:t>
      </w:r>
      <w:r>
        <w:rPr>
          <w:rFonts w:hint="eastAsia" w:ascii="仿宋_GB2312" w:hAnsi="仿宋_GB2312" w:eastAsia="仿宋_GB2312" w:cs="仿宋_GB2312"/>
          <w:color w:val="auto"/>
          <w:sz w:val="32"/>
          <w:szCs w:val="32"/>
          <w:highlight w:val="none"/>
          <w:lang w:val="en-US" w:eastAsia="zh-Hans"/>
        </w:rPr>
        <w:t>我方</w:t>
      </w:r>
      <w:r>
        <w:rPr>
          <w:rFonts w:hint="eastAsia" w:ascii="仿宋_GB2312" w:hAnsi="仿宋_GB2312" w:eastAsia="仿宋_GB2312" w:cs="仿宋_GB2312"/>
          <w:color w:val="auto"/>
          <w:sz w:val="32"/>
          <w:szCs w:val="32"/>
          <w:highlight w:val="none"/>
          <w:lang w:eastAsia="zh-Hans"/>
        </w:rPr>
        <w:t>付款要求之单据。</w:t>
      </w:r>
      <w:r>
        <w:rPr>
          <w:rFonts w:hint="eastAsia" w:ascii="仿宋_GB2312" w:hAnsi="仿宋_GB2312" w:eastAsia="仿宋_GB2312" w:cs="仿宋_GB2312"/>
          <w:color w:val="auto"/>
          <w:sz w:val="32"/>
          <w:szCs w:val="32"/>
          <w:highlight w:val="none"/>
        </w:rPr>
        <w:t>但本保函的担保金额，在任何时候不应超过预付款金额减去你方按合同约定在向承包人签发的进度款支付证书中扣除的金额。</w:t>
      </w:r>
      <w:r>
        <w:rPr>
          <w:rFonts w:hint="eastAsia" w:ascii="仿宋_GB2312" w:hAnsi="仿宋_GB2312" w:eastAsia="仿宋_GB2312" w:cs="仿宋_GB2312"/>
          <w:color w:val="auto"/>
          <w:sz w:val="32"/>
          <w:szCs w:val="32"/>
          <w:highlight w:val="none"/>
          <w:lang w:val="en-US" w:eastAsia="zh-Hans"/>
        </w:rPr>
        <w:t>支付通知书送达地址如下：</w:t>
      </w:r>
    </w:p>
    <w:p w14:paraId="12E55C11">
      <w:pPr>
        <w:spacing w:line="576" w:lineRule="exact"/>
        <w:ind w:firstLine="640" w:firstLineChars="200"/>
        <w:rPr>
          <w:rFonts w:hint="eastAsia" w:ascii="仿宋_GB2312" w:hAnsi="仿宋_GB2312" w:eastAsia="仿宋_GB2312" w:cs="仿宋_GB2312"/>
          <w:color w:val="auto"/>
          <w:sz w:val="32"/>
          <w:szCs w:val="32"/>
          <w:highlight w:val="none"/>
          <w:lang w:val="en-US" w:eastAsia="zh-Hans"/>
        </w:rPr>
      </w:pPr>
      <w:r>
        <w:rPr>
          <w:rFonts w:hint="eastAsia" w:ascii="仿宋_GB2312" w:hAnsi="仿宋_GB2312" w:eastAsia="仿宋_GB2312" w:cs="仿宋_GB2312"/>
          <w:color w:val="auto"/>
          <w:sz w:val="32"/>
          <w:szCs w:val="32"/>
          <w:highlight w:val="none"/>
          <w:lang w:val="en-US" w:eastAsia="zh-Hans"/>
        </w:rPr>
        <w:t>收件人：</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lang w:val="en-US" w:eastAsia="zh-Hans"/>
        </w:rPr>
        <w:t xml:space="preserve">  电话：</w:t>
      </w:r>
      <w:r>
        <w:rPr>
          <w:rFonts w:hint="eastAsia" w:ascii="仿宋_GB2312" w:hAnsi="仿宋_GB2312" w:eastAsia="仿宋_GB2312" w:cs="仿宋_GB2312"/>
          <w:color w:val="auto"/>
          <w:sz w:val="32"/>
          <w:szCs w:val="32"/>
          <w:highlight w:val="none"/>
          <w:u w:val="single"/>
        </w:rPr>
        <w:t xml:space="preserve">     </w:t>
      </w:r>
    </w:p>
    <w:p w14:paraId="64110053">
      <w:pPr>
        <w:spacing w:line="576"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Hans"/>
        </w:rPr>
        <w:t>地址：</w:t>
      </w:r>
      <w:r>
        <w:rPr>
          <w:rFonts w:hint="eastAsia" w:ascii="仿宋_GB2312" w:hAnsi="仿宋_GB2312" w:eastAsia="仿宋_GB2312" w:cs="仿宋_GB2312"/>
          <w:color w:val="auto"/>
          <w:sz w:val="32"/>
          <w:szCs w:val="32"/>
          <w:highlight w:val="none"/>
          <w:u w:val="single"/>
        </w:rPr>
        <w:t xml:space="preserve">     </w:t>
      </w:r>
    </w:p>
    <w:p w14:paraId="2BCF598A">
      <w:pPr>
        <w:spacing w:line="576"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4.你方和承包人约定变更</w:t>
      </w:r>
      <w:r>
        <w:rPr>
          <w:rFonts w:hint="eastAsia" w:ascii="仿宋_GB2312" w:hAnsi="仿宋_GB2312" w:eastAsia="仿宋_GB2312" w:cs="仿宋_GB2312"/>
          <w:color w:val="auto"/>
          <w:sz w:val="32"/>
          <w:szCs w:val="32"/>
          <w:highlight w:val="none"/>
          <w:lang w:val="en-US" w:eastAsia="zh-Hans"/>
        </w:rPr>
        <w:t>基础</w:t>
      </w:r>
      <w:r>
        <w:rPr>
          <w:rFonts w:hint="eastAsia" w:ascii="仿宋_GB2312" w:hAnsi="仿宋_GB2312" w:eastAsia="仿宋_GB2312" w:cs="仿宋_GB2312"/>
          <w:color w:val="auto"/>
          <w:sz w:val="32"/>
          <w:szCs w:val="32"/>
          <w:highlight w:val="none"/>
        </w:rPr>
        <w:t>合同时，</w:t>
      </w:r>
      <w:r>
        <w:rPr>
          <w:rFonts w:hint="eastAsia" w:ascii="仿宋_GB2312" w:hAnsi="仿宋_GB2312" w:eastAsia="仿宋_GB2312" w:cs="仿宋_GB2312"/>
          <w:color w:val="auto"/>
          <w:sz w:val="32"/>
          <w:szCs w:val="32"/>
          <w:highlight w:val="none"/>
          <w:lang w:val="en-US" w:eastAsia="zh-Hans"/>
        </w:rPr>
        <w:t>无论我方是否收到该变更</w:t>
      </w:r>
      <w:r>
        <w:rPr>
          <w:rFonts w:hint="eastAsia" w:ascii="仿宋_GB2312" w:hAnsi="仿宋_GB2312" w:eastAsia="仿宋_GB2312" w:cs="仿宋_GB2312"/>
          <w:color w:val="auto"/>
          <w:sz w:val="32"/>
          <w:szCs w:val="32"/>
          <w:highlight w:val="none"/>
          <w:lang w:eastAsia="zh-Hans"/>
        </w:rPr>
        <w:t>，</w:t>
      </w:r>
      <w:r>
        <w:rPr>
          <w:rFonts w:hint="eastAsia" w:ascii="仿宋_GB2312" w:hAnsi="仿宋_GB2312" w:eastAsia="仿宋_GB2312" w:cs="仿宋_GB2312"/>
          <w:color w:val="auto"/>
          <w:sz w:val="32"/>
          <w:szCs w:val="32"/>
          <w:highlight w:val="none"/>
        </w:rPr>
        <w:t>我方承担本保函规定的义务不变。</w:t>
      </w:r>
    </w:p>
    <w:p w14:paraId="0527F6A3">
      <w:pPr>
        <w:spacing w:line="576"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5.与本保函有关的基础合同不成立、不生效、无效、被撤销、被解除，不影响本保函的独立有效。 </w:t>
      </w:r>
    </w:p>
    <w:p w14:paraId="1885E587">
      <w:pPr>
        <w:spacing w:line="576"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6</w:t>
      </w:r>
      <w:r>
        <w:rPr>
          <w:rFonts w:hint="eastAsia" w:ascii="仿宋_GB2312" w:hAnsi="仿宋_GB2312" w:eastAsia="仿宋_GB2312" w:cs="仿宋_GB2312"/>
          <w:color w:val="auto"/>
          <w:sz w:val="32"/>
          <w:szCs w:val="32"/>
          <w:highlight w:val="none"/>
          <w:lang w:val="en-US" w:eastAsia="zh-Hans"/>
        </w:rPr>
        <w:t>.</w:t>
      </w:r>
      <w:r>
        <w:rPr>
          <w:rFonts w:hint="eastAsia" w:ascii="仿宋_GB2312" w:hAnsi="仿宋_GB2312" w:eastAsia="仿宋_GB2312" w:cs="仿宋_GB2312"/>
          <w:color w:val="auto"/>
          <w:sz w:val="32"/>
          <w:szCs w:val="32"/>
          <w:highlight w:val="none"/>
        </w:rPr>
        <w:t>因本保函发生的纠纷，可由双方协商解决，协商不成的，任何一方均可</w:t>
      </w:r>
      <w:r>
        <w:rPr>
          <w:rFonts w:hint="eastAsia" w:ascii="仿宋_GB2312" w:hAnsi="仿宋_GB2312" w:eastAsia="仿宋_GB2312" w:cs="仿宋_GB2312"/>
          <w:color w:val="auto"/>
          <w:sz w:val="32"/>
          <w:szCs w:val="32"/>
          <w:highlight w:val="none"/>
          <w:lang w:val="en-US" w:eastAsia="zh-CN"/>
        </w:rPr>
        <w:t>向</w:t>
      </w:r>
      <w:r>
        <w:rPr>
          <w:rFonts w:hint="eastAsia" w:ascii="仿宋_GB2312" w:hAnsi="仿宋_GB2312" w:eastAsia="仿宋_GB2312" w:cs="仿宋_GB2312"/>
          <w:color w:val="auto"/>
          <w:sz w:val="32"/>
          <w:szCs w:val="32"/>
          <w:highlight w:val="none"/>
          <w:lang w:val="en-US" w:eastAsia="zh-Hans"/>
        </w:rPr>
        <w:t>本</w:t>
      </w:r>
      <w:r>
        <w:rPr>
          <w:rFonts w:hint="eastAsia" w:ascii="仿宋_GB2312" w:hAnsi="仿宋_GB2312" w:eastAsia="仿宋_GB2312" w:cs="仿宋_GB2312"/>
          <w:color w:val="auto"/>
          <w:sz w:val="32"/>
          <w:szCs w:val="32"/>
          <w:highlight w:val="none"/>
          <w:u w:val="none"/>
        </w:rPr>
        <w:t>项目所在地</w:t>
      </w:r>
      <w:r>
        <w:rPr>
          <w:rFonts w:hint="eastAsia" w:ascii="仿宋_GB2312" w:hAnsi="仿宋_GB2312" w:eastAsia="仿宋_GB2312" w:cs="仿宋_GB2312"/>
          <w:color w:val="auto"/>
          <w:sz w:val="32"/>
          <w:szCs w:val="32"/>
          <w:highlight w:val="none"/>
        </w:rPr>
        <w:t>人民法院</w:t>
      </w:r>
      <w:r>
        <w:rPr>
          <w:rFonts w:hint="eastAsia" w:ascii="仿宋_GB2312" w:hAnsi="仿宋_GB2312" w:eastAsia="仿宋_GB2312" w:cs="仿宋_GB2312"/>
          <w:color w:val="auto"/>
          <w:sz w:val="32"/>
          <w:szCs w:val="32"/>
          <w:highlight w:val="none"/>
          <w:lang w:val="en-US" w:eastAsia="zh-CN"/>
        </w:rPr>
        <w:t>提起诉讼解决</w:t>
      </w:r>
      <w:r>
        <w:rPr>
          <w:rFonts w:hint="eastAsia" w:ascii="仿宋_GB2312" w:hAnsi="仿宋_GB2312" w:eastAsia="仿宋_GB2312" w:cs="仿宋_GB2312"/>
          <w:color w:val="auto"/>
          <w:sz w:val="32"/>
          <w:szCs w:val="32"/>
          <w:highlight w:val="none"/>
        </w:rPr>
        <w:t>。</w:t>
      </w:r>
    </w:p>
    <w:p w14:paraId="57019CF3">
      <w:pPr>
        <w:spacing w:line="576"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7.本保函自我方法定代表人</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或其授权代理人</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 xml:space="preserve"> 签字并加盖公章之日起生效。</w:t>
      </w:r>
    </w:p>
    <w:p w14:paraId="68823906">
      <w:pPr>
        <w:spacing w:line="576" w:lineRule="exact"/>
        <w:ind w:firstLine="640" w:firstLineChars="200"/>
        <w:rPr>
          <w:rFonts w:hint="eastAsia" w:ascii="仿宋_GB2312" w:hAnsi="仿宋_GB2312" w:eastAsia="仿宋_GB2312" w:cs="仿宋_GB2312"/>
          <w:color w:val="auto"/>
          <w:sz w:val="32"/>
          <w:szCs w:val="32"/>
          <w:highlight w:val="none"/>
        </w:rPr>
      </w:pPr>
    </w:p>
    <w:p w14:paraId="68FAD0E2">
      <w:pPr>
        <w:spacing w:line="576" w:lineRule="exact"/>
        <w:ind w:firstLine="640" w:firstLineChars="200"/>
        <w:rPr>
          <w:rFonts w:hint="eastAsia" w:ascii="仿宋_GB2312" w:hAnsi="仿宋_GB2312" w:eastAsia="仿宋_GB2312" w:cs="仿宋_GB2312"/>
          <w:color w:val="auto"/>
          <w:sz w:val="32"/>
          <w:szCs w:val="32"/>
          <w:highlight w:val="none"/>
        </w:rPr>
      </w:pPr>
    </w:p>
    <w:p w14:paraId="58CECFC2">
      <w:pPr>
        <w:spacing w:line="576"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担保人名称：</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u w:val="single"/>
          <w:lang w:eastAsia="zh-CN"/>
        </w:rPr>
        <w:t>（</w:t>
      </w:r>
      <w:r>
        <w:rPr>
          <w:rFonts w:hint="eastAsia" w:ascii="仿宋_GB2312" w:hAnsi="仿宋_GB2312" w:eastAsia="仿宋_GB2312" w:cs="仿宋_GB2312"/>
          <w:color w:val="auto"/>
          <w:sz w:val="32"/>
          <w:szCs w:val="32"/>
          <w:highlight w:val="none"/>
        </w:rPr>
        <w:t>盖单位章</w:t>
      </w:r>
      <w:r>
        <w:rPr>
          <w:rFonts w:hint="eastAsia" w:ascii="仿宋_GB2312" w:hAnsi="仿宋_GB2312" w:eastAsia="仿宋_GB2312" w:cs="仿宋_GB2312"/>
          <w:color w:val="auto"/>
          <w:sz w:val="32"/>
          <w:szCs w:val="32"/>
          <w:highlight w:val="none"/>
          <w:lang w:eastAsia="zh-CN"/>
        </w:rPr>
        <w:t>）</w:t>
      </w:r>
    </w:p>
    <w:p w14:paraId="4A22977E">
      <w:pPr>
        <w:spacing w:line="576"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法定代表人或其</w:t>
      </w:r>
      <w:r>
        <w:rPr>
          <w:rFonts w:hint="eastAsia" w:ascii="仿宋_GB2312" w:hAnsi="仿宋_GB2312" w:eastAsia="仿宋_GB2312" w:cs="仿宋_GB2312"/>
          <w:color w:val="auto"/>
          <w:sz w:val="32"/>
          <w:szCs w:val="32"/>
          <w:highlight w:val="none"/>
          <w:lang w:eastAsia="zh-CN"/>
        </w:rPr>
        <w:t>授权代理人</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u w:val="single"/>
          <w:lang w:eastAsia="zh-CN"/>
        </w:rPr>
        <w:t>（</w:t>
      </w:r>
      <w:r>
        <w:rPr>
          <w:rFonts w:hint="eastAsia" w:ascii="仿宋_GB2312" w:hAnsi="仿宋_GB2312" w:eastAsia="仿宋_GB2312" w:cs="仿宋_GB2312"/>
          <w:color w:val="auto"/>
          <w:sz w:val="32"/>
          <w:szCs w:val="32"/>
          <w:highlight w:val="none"/>
        </w:rPr>
        <w:t>签字或盖章</w:t>
      </w:r>
      <w:r>
        <w:rPr>
          <w:rFonts w:hint="eastAsia" w:ascii="仿宋_GB2312" w:hAnsi="仿宋_GB2312" w:eastAsia="仿宋_GB2312" w:cs="仿宋_GB2312"/>
          <w:color w:val="auto"/>
          <w:sz w:val="32"/>
          <w:szCs w:val="32"/>
          <w:highlight w:val="none"/>
          <w:lang w:eastAsia="zh-CN"/>
        </w:rPr>
        <w:t>）</w:t>
      </w:r>
    </w:p>
    <w:p w14:paraId="74871DFA">
      <w:pPr>
        <w:spacing w:line="576"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地址：</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邮政编码：</w:t>
      </w:r>
      <w:r>
        <w:rPr>
          <w:rFonts w:hint="eastAsia" w:ascii="仿宋_GB2312" w:hAnsi="仿宋_GB2312" w:eastAsia="仿宋_GB2312" w:cs="仿宋_GB2312"/>
          <w:color w:val="auto"/>
          <w:sz w:val="32"/>
          <w:szCs w:val="32"/>
          <w:highlight w:val="none"/>
          <w:u w:val="single"/>
        </w:rPr>
        <w:t xml:space="preserve">     </w:t>
      </w:r>
    </w:p>
    <w:p w14:paraId="442E567A">
      <w:pPr>
        <w:spacing w:line="576" w:lineRule="exact"/>
        <w:ind w:firstLine="640" w:firstLineChars="200"/>
        <w:rPr>
          <w:rFonts w:hint="eastAsia" w:ascii="仿宋_GB2312" w:hAnsi="仿宋_GB2312" w:eastAsia="仿宋_GB2312" w:cs="仿宋_GB2312"/>
          <w:color w:val="auto"/>
          <w:sz w:val="32"/>
          <w:szCs w:val="32"/>
          <w:highlight w:val="none"/>
          <w:u w:val="single"/>
        </w:rPr>
      </w:pPr>
      <w:r>
        <w:rPr>
          <w:rFonts w:hint="eastAsia" w:ascii="仿宋_GB2312" w:hAnsi="仿宋_GB2312" w:eastAsia="仿宋_GB2312" w:cs="仿宋_GB2312"/>
          <w:color w:val="auto"/>
          <w:sz w:val="32"/>
          <w:szCs w:val="32"/>
          <w:highlight w:val="none"/>
        </w:rPr>
        <w:t>电话：</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传真：</w:t>
      </w:r>
      <w:r>
        <w:rPr>
          <w:rFonts w:hint="eastAsia" w:ascii="仿宋_GB2312" w:hAnsi="仿宋_GB2312" w:eastAsia="仿宋_GB2312" w:cs="仿宋_GB2312"/>
          <w:color w:val="auto"/>
          <w:sz w:val="32"/>
          <w:szCs w:val="32"/>
          <w:highlight w:val="none"/>
          <w:u w:val="single"/>
        </w:rPr>
        <w:t xml:space="preserve">     </w:t>
      </w:r>
    </w:p>
    <w:p w14:paraId="63B2714B">
      <w:pPr>
        <w:spacing w:line="576" w:lineRule="exact"/>
        <w:ind w:firstLine="640" w:firstLineChars="200"/>
        <w:jc w:val="left"/>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color w:val="auto"/>
          <w:sz w:val="32"/>
          <w:szCs w:val="32"/>
          <w:highlight w:val="none"/>
          <w:u w:val="none"/>
          <w:lang w:val="en-US" w:eastAsia="zh-Hans"/>
        </w:rPr>
        <w:t>开立时间</w:t>
      </w:r>
      <w:r>
        <w:rPr>
          <w:rFonts w:hint="eastAsia" w:ascii="仿宋_GB2312" w:hAnsi="仿宋_GB2312" w:eastAsia="仿宋_GB2312" w:cs="仿宋_GB2312"/>
          <w:color w:val="auto"/>
          <w:sz w:val="32"/>
          <w:szCs w:val="32"/>
          <w:highlight w:val="none"/>
          <w:u w:val="none"/>
          <w:lang w:eastAsia="zh-Hans"/>
        </w:rPr>
        <w:t>：</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年</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月</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日</w:t>
      </w:r>
    </w:p>
    <w:p w14:paraId="407BF233">
      <w:pPr>
        <w:spacing w:line="576" w:lineRule="exact"/>
        <w:jc w:val="left"/>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sz w:val="32"/>
          <w:szCs w:val="32"/>
          <w:lang w:val="en-US" w:eastAsia="zh-CN"/>
        </w:rPr>
        <w:br w:type="page"/>
      </w:r>
      <w:r>
        <w:rPr>
          <w:rFonts w:hint="eastAsia" w:ascii="仿宋_GB2312" w:hAnsi="仿宋_GB2312" w:eastAsia="仿宋_GB2312" w:cs="仿宋_GB2312"/>
          <w:b/>
          <w:bCs/>
          <w:sz w:val="32"/>
          <w:szCs w:val="32"/>
          <w:lang w:val="en-US" w:eastAsia="zh-CN"/>
        </w:rPr>
        <w:t>2.履约担保，适用于银行保函或非银行金融机构保函形式</w:t>
      </w:r>
    </w:p>
    <w:p w14:paraId="2D588D57">
      <w:pPr>
        <w:spacing w:line="576" w:lineRule="exact"/>
        <w:jc w:val="center"/>
        <w:rPr>
          <w:rFonts w:hint="eastAsia" w:ascii="方正小标宋简体" w:hAnsi="方正小标宋简体" w:eastAsia="方正小标宋简体" w:cs="方正小标宋简体"/>
          <w:b w:val="0"/>
          <w:bCs w:val="0"/>
          <w:color w:val="auto"/>
          <w:sz w:val="44"/>
          <w:szCs w:val="44"/>
          <w:highlight w:val="none"/>
        </w:rPr>
      </w:pPr>
      <w:r>
        <w:rPr>
          <w:rFonts w:hint="eastAsia" w:ascii="方正小标宋简体" w:hAnsi="方正小标宋简体" w:eastAsia="方正小标宋简体" w:cs="方正小标宋简体"/>
          <w:b w:val="0"/>
          <w:bCs w:val="0"/>
          <w:color w:val="auto"/>
          <w:sz w:val="44"/>
          <w:szCs w:val="44"/>
          <w:highlight w:val="none"/>
        </w:rPr>
        <w:t>履约保函</w:t>
      </w:r>
    </w:p>
    <w:p w14:paraId="33E07702">
      <w:pPr>
        <w:spacing w:line="576" w:lineRule="exact"/>
        <w:jc w:val="center"/>
        <w:rPr>
          <w:rFonts w:hint="eastAsia" w:ascii="仿宋_GB2312" w:hAnsi="仿宋_GB2312" w:eastAsia="仿宋_GB2312" w:cs="仿宋_GB2312"/>
          <w:b/>
          <w:bCs/>
          <w:color w:val="auto"/>
          <w:sz w:val="32"/>
          <w:szCs w:val="32"/>
          <w:highlight w:val="none"/>
          <w:lang w:eastAsia="zh-Hans"/>
        </w:rPr>
      </w:pPr>
      <w:r>
        <w:rPr>
          <w:rFonts w:hint="eastAsia" w:ascii="仿宋_GB2312" w:hAnsi="仿宋_GB2312" w:eastAsia="仿宋_GB2312" w:cs="仿宋_GB2312"/>
          <w:b/>
          <w:bCs/>
          <w:color w:val="auto"/>
          <w:sz w:val="32"/>
          <w:szCs w:val="32"/>
          <w:highlight w:val="none"/>
        </w:rPr>
        <w:t>（</w:t>
      </w:r>
      <w:r>
        <w:rPr>
          <w:rFonts w:hint="eastAsia" w:ascii="仿宋_GB2312" w:hAnsi="仿宋_GB2312" w:eastAsia="仿宋_GB2312" w:cs="仿宋_GB2312"/>
          <w:b/>
          <w:bCs/>
          <w:color w:val="auto"/>
          <w:sz w:val="32"/>
          <w:szCs w:val="32"/>
          <w:highlight w:val="none"/>
          <w:lang w:val="en-US" w:eastAsia="zh-Hans"/>
        </w:rPr>
        <w:t>独立保函</w:t>
      </w:r>
      <w:r>
        <w:rPr>
          <w:rFonts w:hint="eastAsia" w:ascii="仿宋_GB2312" w:hAnsi="仿宋_GB2312" w:eastAsia="仿宋_GB2312" w:cs="仿宋_GB2312"/>
          <w:b/>
          <w:bCs/>
          <w:color w:val="auto"/>
          <w:sz w:val="32"/>
          <w:szCs w:val="32"/>
          <w:highlight w:val="none"/>
          <w:lang w:eastAsia="zh-Hans"/>
        </w:rPr>
        <w:t>）</w:t>
      </w:r>
    </w:p>
    <w:p w14:paraId="110D1BB2">
      <w:pPr>
        <w:wordWrap w:val="0"/>
        <w:spacing w:line="576" w:lineRule="exact"/>
        <w:ind w:firstLine="0" w:firstLineChars="0"/>
        <w:jc w:val="right"/>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保函编号：</w:t>
      </w:r>
    </w:p>
    <w:p w14:paraId="28561CF8">
      <w:pPr>
        <w:spacing w:line="576" w:lineRule="exact"/>
        <w:jc w:val="right"/>
        <w:rPr>
          <w:rFonts w:hint="eastAsia" w:ascii="仿宋_GB2312" w:hAnsi="仿宋_GB2312" w:eastAsia="仿宋_GB2312" w:cs="仿宋_GB2312"/>
          <w:color w:val="auto"/>
          <w:sz w:val="32"/>
          <w:szCs w:val="32"/>
          <w:highlight w:val="none"/>
          <w:u w:val="single"/>
        </w:rPr>
      </w:pPr>
      <w:r>
        <w:rPr>
          <w:rFonts w:hint="eastAsia" w:ascii="仿宋_GB2312" w:hAnsi="仿宋_GB2312" w:eastAsia="仿宋_GB2312" w:cs="仿宋_GB2312"/>
          <w:b/>
          <w:bCs/>
          <w:color w:val="auto"/>
          <w:sz w:val="32"/>
          <w:szCs w:val="32"/>
          <w:highlight w:val="none"/>
        </w:rPr>
        <w:t>查询码：</w:t>
      </w:r>
    </w:p>
    <w:p w14:paraId="069E7369">
      <w:pPr>
        <w:spacing w:line="576" w:lineRule="exac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u w:val="single"/>
        </w:rPr>
        <w:t>发包人名称</w:t>
      </w:r>
      <w:r>
        <w:rPr>
          <w:rFonts w:hint="eastAsia" w:ascii="仿宋_GB2312" w:hAnsi="仿宋_GB2312" w:eastAsia="仿宋_GB2312" w:cs="仿宋_GB2312"/>
          <w:color w:val="auto"/>
          <w:sz w:val="32"/>
          <w:szCs w:val="32"/>
          <w:highlight w:val="none"/>
        </w:rPr>
        <w:t>：</w:t>
      </w:r>
    </w:p>
    <w:p w14:paraId="780C5BDF">
      <w:pPr>
        <w:spacing w:line="576"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鉴于</w:t>
      </w:r>
      <w:r>
        <w:rPr>
          <w:rFonts w:hint="eastAsia" w:ascii="仿宋_GB2312" w:hAnsi="仿宋_GB2312" w:eastAsia="仿宋_GB2312" w:cs="仿宋_GB2312"/>
          <w:color w:val="auto"/>
          <w:sz w:val="32"/>
          <w:szCs w:val="32"/>
          <w:highlight w:val="none"/>
          <w:u w:val="single"/>
        </w:rPr>
        <w:t>发包人名称</w:t>
      </w:r>
      <w:r>
        <w:rPr>
          <w:rFonts w:hint="eastAsia" w:ascii="仿宋_GB2312" w:hAnsi="仿宋_GB2312" w:eastAsia="仿宋_GB2312" w:cs="仿宋_GB2312"/>
          <w:color w:val="auto"/>
          <w:sz w:val="32"/>
          <w:szCs w:val="32"/>
          <w:highlight w:val="none"/>
          <w:u w:val="single"/>
          <w:lang w:eastAsia="zh-CN"/>
        </w:rPr>
        <w:t>（</w:t>
      </w:r>
      <w:r>
        <w:rPr>
          <w:rFonts w:hint="eastAsia" w:ascii="仿宋_GB2312" w:hAnsi="仿宋_GB2312" w:eastAsia="仿宋_GB2312" w:cs="仿宋_GB2312"/>
          <w:color w:val="auto"/>
          <w:sz w:val="32"/>
          <w:szCs w:val="32"/>
          <w:highlight w:val="none"/>
        </w:rPr>
        <w:t>以下简称</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发包人</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与</w:t>
      </w:r>
      <w:r>
        <w:rPr>
          <w:rFonts w:hint="eastAsia" w:ascii="仿宋_GB2312" w:hAnsi="仿宋_GB2312" w:eastAsia="仿宋_GB2312" w:cs="仿宋_GB2312"/>
          <w:color w:val="auto"/>
          <w:sz w:val="32"/>
          <w:szCs w:val="32"/>
          <w:highlight w:val="none"/>
          <w:u w:val="single"/>
        </w:rPr>
        <w:t>承包人名称</w:t>
      </w:r>
      <w:r>
        <w:rPr>
          <w:rFonts w:hint="eastAsia" w:ascii="仿宋_GB2312" w:hAnsi="仿宋_GB2312" w:eastAsia="仿宋_GB2312" w:cs="仿宋_GB2312"/>
          <w:color w:val="auto"/>
          <w:sz w:val="32"/>
          <w:szCs w:val="32"/>
          <w:highlight w:val="none"/>
          <w:u w:val="single"/>
          <w:lang w:eastAsia="zh-CN"/>
        </w:rPr>
        <w:t>（</w:t>
      </w:r>
      <w:r>
        <w:rPr>
          <w:rFonts w:hint="eastAsia" w:ascii="仿宋_GB2312" w:hAnsi="仿宋_GB2312" w:eastAsia="仿宋_GB2312" w:cs="仿宋_GB2312"/>
          <w:color w:val="auto"/>
          <w:sz w:val="32"/>
          <w:szCs w:val="32"/>
          <w:highlight w:val="none"/>
        </w:rPr>
        <w:t>以下称</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承包人</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 xml:space="preserve"> 于</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年</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月</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 xml:space="preserve">日就 </w:t>
      </w:r>
      <w:r>
        <w:rPr>
          <w:rFonts w:hint="eastAsia" w:ascii="仿宋_GB2312" w:hAnsi="仿宋_GB2312" w:eastAsia="仿宋_GB2312" w:cs="仿宋_GB2312"/>
          <w:color w:val="auto"/>
          <w:sz w:val="32"/>
          <w:szCs w:val="32"/>
          <w:highlight w:val="none"/>
          <w:u w:val="single"/>
        </w:rPr>
        <w:t>工程名称 （</w:t>
      </w:r>
      <w:r>
        <w:rPr>
          <w:rFonts w:hint="eastAsia" w:ascii="仿宋_GB2312" w:hAnsi="仿宋_GB2312" w:eastAsia="仿宋_GB2312" w:cs="仿宋_GB2312"/>
          <w:color w:val="auto"/>
          <w:sz w:val="32"/>
          <w:szCs w:val="32"/>
          <w:highlight w:val="none"/>
          <w:u w:val="single"/>
          <w:lang w:val="en-US" w:eastAsia="zh-Hans"/>
        </w:rPr>
        <w:t>下称“本项目”</w:t>
      </w:r>
      <w:r>
        <w:rPr>
          <w:rFonts w:hint="eastAsia" w:ascii="仿宋_GB2312" w:hAnsi="仿宋_GB2312" w:eastAsia="仿宋_GB2312" w:cs="仿宋_GB2312"/>
          <w:color w:val="auto"/>
          <w:sz w:val="32"/>
          <w:szCs w:val="32"/>
          <w:highlight w:val="none"/>
          <w:u w:val="single"/>
          <w:lang w:eastAsia="zh-Hans"/>
        </w:rPr>
        <w:t>）</w:t>
      </w:r>
      <w:r>
        <w:rPr>
          <w:rFonts w:hint="eastAsia" w:ascii="仿宋_GB2312" w:hAnsi="仿宋_GB2312" w:eastAsia="仿宋_GB2312" w:cs="仿宋_GB2312"/>
          <w:color w:val="auto"/>
          <w:sz w:val="32"/>
          <w:szCs w:val="32"/>
          <w:highlight w:val="none"/>
        </w:rPr>
        <w:t>施工及有关事项协商一致共同签订《建设工程施工合同》（</w:t>
      </w:r>
      <w:r>
        <w:rPr>
          <w:rFonts w:hint="eastAsia" w:ascii="仿宋_GB2312" w:hAnsi="仿宋_GB2312" w:eastAsia="仿宋_GB2312" w:cs="仿宋_GB2312"/>
          <w:color w:val="auto"/>
          <w:sz w:val="32"/>
          <w:szCs w:val="32"/>
          <w:highlight w:val="none"/>
          <w:lang w:val="en-US" w:eastAsia="zh-Hans"/>
        </w:rPr>
        <w:t>下称“基础合同”</w:t>
      </w:r>
      <w:r>
        <w:rPr>
          <w:rFonts w:hint="eastAsia" w:ascii="仿宋_GB2312" w:hAnsi="仿宋_GB2312" w:eastAsia="仿宋_GB2312" w:cs="仿宋_GB2312"/>
          <w:color w:val="auto"/>
          <w:sz w:val="32"/>
          <w:szCs w:val="32"/>
          <w:highlight w:val="none"/>
          <w:lang w:eastAsia="zh-Hans"/>
        </w:rPr>
        <w:t>）</w:t>
      </w:r>
      <w:r>
        <w:rPr>
          <w:rFonts w:hint="eastAsia" w:ascii="仿宋_GB2312" w:hAnsi="仿宋_GB2312" w:eastAsia="仿宋_GB2312" w:cs="仿宋_GB2312"/>
          <w:color w:val="auto"/>
          <w:sz w:val="32"/>
          <w:szCs w:val="32"/>
          <w:highlight w:val="none"/>
        </w:rPr>
        <w:t>。我方愿</w:t>
      </w:r>
      <w:r>
        <w:rPr>
          <w:rFonts w:hint="eastAsia" w:ascii="仿宋_GB2312" w:hAnsi="仿宋_GB2312" w:eastAsia="仿宋_GB2312" w:cs="仿宋_GB2312"/>
          <w:color w:val="auto"/>
          <w:sz w:val="32"/>
          <w:szCs w:val="32"/>
          <w:highlight w:val="none"/>
          <w:lang w:val="en-US" w:eastAsia="zh-Hans"/>
        </w:rPr>
        <w:t>以承包人为被担保人</w:t>
      </w:r>
      <w:r>
        <w:rPr>
          <w:rFonts w:hint="eastAsia" w:ascii="仿宋_GB2312" w:hAnsi="仿宋_GB2312" w:eastAsia="仿宋_GB2312" w:cs="仿宋_GB2312"/>
          <w:color w:val="auto"/>
          <w:sz w:val="32"/>
          <w:szCs w:val="32"/>
          <w:highlight w:val="none"/>
          <w:lang w:eastAsia="zh-Hans"/>
        </w:rPr>
        <w:t>，</w:t>
      </w:r>
      <w:r>
        <w:rPr>
          <w:rFonts w:hint="eastAsia" w:ascii="仿宋_GB2312" w:hAnsi="仿宋_GB2312" w:eastAsia="仿宋_GB2312" w:cs="仿宋_GB2312"/>
          <w:color w:val="auto"/>
          <w:sz w:val="32"/>
          <w:szCs w:val="32"/>
          <w:highlight w:val="none"/>
        </w:rPr>
        <w:t>就</w:t>
      </w:r>
      <w:r>
        <w:rPr>
          <w:rFonts w:hint="eastAsia" w:ascii="仿宋_GB2312" w:hAnsi="仿宋_GB2312" w:eastAsia="仿宋_GB2312" w:cs="仿宋_GB2312"/>
          <w:color w:val="auto"/>
          <w:sz w:val="32"/>
          <w:szCs w:val="32"/>
          <w:highlight w:val="none"/>
          <w:lang w:val="en-US" w:eastAsia="zh-Hans"/>
        </w:rPr>
        <w:t>承包人</w:t>
      </w:r>
      <w:r>
        <w:rPr>
          <w:rFonts w:hint="eastAsia" w:ascii="仿宋_GB2312" w:hAnsi="仿宋_GB2312" w:eastAsia="仿宋_GB2312" w:cs="仿宋_GB2312"/>
          <w:color w:val="auto"/>
          <w:sz w:val="32"/>
          <w:szCs w:val="32"/>
          <w:highlight w:val="none"/>
        </w:rPr>
        <w:t>履行</w:t>
      </w:r>
      <w:r>
        <w:rPr>
          <w:rFonts w:hint="eastAsia" w:ascii="仿宋_GB2312" w:hAnsi="仿宋_GB2312" w:eastAsia="仿宋_GB2312" w:cs="仿宋_GB2312"/>
          <w:color w:val="auto"/>
          <w:sz w:val="32"/>
          <w:szCs w:val="32"/>
          <w:highlight w:val="none"/>
          <w:lang w:val="en-US" w:eastAsia="zh-Hans"/>
        </w:rPr>
        <w:t>基础合同约定之义务</w:t>
      </w:r>
      <w:r>
        <w:rPr>
          <w:rFonts w:hint="eastAsia" w:ascii="仿宋_GB2312" w:hAnsi="仿宋_GB2312" w:eastAsia="仿宋_GB2312" w:cs="仿宋_GB2312"/>
          <w:color w:val="auto"/>
          <w:sz w:val="32"/>
          <w:szCs w:val="32"/>
          <w:highlight w:val="none"/>
        </w:rPr>
        <w:t>，向你方提供无条件、不可撤销、</w:t>
      </w:r>
      <w:r>
        <w:rPr>
          <w:rFonts w:hint="eastAsia" w:ascii="仿宋_GB2312" w:hAnsi="仿宋_GB2312" w:eastAsia="仿宋_GB2312" w:cs="仿宋_GB2312"/>
          <w:color w:val="auto"/>
          <w:sz w:val="32"/>
          <w:szCs w:val="32"/>
          <w:highlight w:val="none"/>
          <w:lang w:val="en-US" w:eastAsia="zh-Hans"/>
        </w:rPr>
        <w:t>不可转让</w:t>
      </w:r>
      <w:r>
        <w:rPr>
          <w:rFonts w:hint="eastAsia" w:ascii="仿宋_GB2312" w:hAnsi="仿宋_GB2312" w:eastAsia="仿宋_GB2312" w:cs="仿宋_GB2312"/>
          <w:color w:val="auto"/>
          <w:sz w:val="32"/>
          <w:szCs w:val="32"/>
          <w:highlight w:val="none"/>
          <w:lang w:eastAsia="zh-Hans"/>
        </w:rPr>
        <w:t>、</w:t>
      </w:r>
      <w:r>
        <w:rPr>
          <w:rFonts w:hint="eastAsia" w:ascii="仿宋_GB2312" w:hAnsi="仿宋_GB2312" w:eastAsia="仿宋_GB2312" w:cs="仿宋_GB2312"/>
          <w:color w:val="auto"/>
          <w:sz w:val="32"/>
          <w:szCs w:val="32"/>
          <w:highlight w:val="none"/>
        </w:rPr>
        <w:t>见索即付的</w:t>
      </w:r>
      <w:r>
        <w:rPr>
          <w:rFonts w:hint="eastAsia" w:ascii="仿宋_GB2312" w:hAnsi="仿宋_GB2312" w:eastAsia="仿宋_GB2312" w:cs="仿宋_GB2312"/>
          <w:color w:val="auto"/>
          <w:sz w:val="32"/>
          <w:szCs w:val="32"/>
          <w:highlight w:val="none"/>
          <w:lang w:val="en-US" w:eastAsia="zh-Hans"/>
        </w:rPr>
        <w:t>独立保函</w:t>
      </w:r>
      <w:r>
        <w:rPr>
          <w:rFonts w:hint="eastAsia" w:ascii="仿宋_GB2312" w:hAnsi="仿宋_GB2312" w:eastAsia="仿宋_GB2312" w:cs="仿宋_GB2312"/>
          <w:color w:val="auto"/>
          <w:sz w:val="32"/>
          <w:szCs w:val="32"/>
          <w:highlight w:val="none"/>
          <w:lang w:eastAsia="zh-Hans"/>
        </w:rPr>
        <w:t>（</w:t>
      </w:r>
      <w:r>
        <w:rPr>
          <w:rFonts w:hint="eastAsia" w:ascii="仿宋_GB2312" w:hAnsi="仿宋_GB2312" w:eastAsia="仿宋_GB2312" w:cs="仿宋_GB2312"/>
          <w:color w:val="auto"/>
          <w:sz w:val="32"/>
          <w:szCs w:val="32"/>
          <w:highlight w:val="none"/>
        </w:rPr>
        <w:t>以下简称“本保函”）。</w:t>
      </w:r>
    </w:p>
    <w:p w14:paraId="186247B2">
      <w:pPr>
        <w:spacing w:line="576"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val="en-US" w:eastAsia="zh-Hans"/>
        </w:rPr>
        <w:t>本保函最高</w:t>
      </w:r>
      <w:r>
        <w:rPr>
          <w:rFonts w:hint="eastAsia" w:ascii="仿宋_GB2312" w:hAnsi="仿宋_GB2312" w:eastAsia="仿宋_GB2312" w:cs="仿宋_GB2312"/>
          <w:color w:val="auto"/>
          <w:sz w:val="32"/>
          <w:szCs w:val="32"/>
          <w:highlight w:val="none"/>
        </w:rPr>
        <w:t>担保金额：人民币</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大写</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w:t>
      </w:r>
    </w:p>
    <w:p w14:paraId="59AB0EDE">
      <w:pPr>
        <w:spacing w:line="576"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w:t>
      </w:r>
      <w:r>
        <w:rPr>
          <w:rFonts w:hint="eastAsia" w:ascii="仿宋_GB2312" w:hAnsi="仿宋_GB2312" w:eastAsia="仿宋_GB2312" w:cs="仿宋_GB2312"/>
          <w:color w:val="auto"/>
          <w:sz w:val="32"/>
          <w:szCs w:val="32"/>
          <w:highlight w:val="none"/>
          <w:lang w:val="en-US" w:eastAsia="zh-Hans"/>
        </w:rPr>
        <w:t>本保函</w:t>
      </w:r>
      <w:r>
        <w:rPr>
          <w:rFonts w:hint="eastAsia" w:ascii="仿宋_GB2312" w:hAnsi="仿宋_GB2312" w:eastAsia="仿宋_GB2312" w:cs="仿宋_GB2312"/>
          <w:color w:val="auto"/>
          <w:sz w:val="32"/>
          <w:szCs w:val="32"/>
          <w:highlight w:val="none"/>
        </w:rPr>
        <w:t>有效期自</w:t>
      </w:r>
      <w:r>
        <w:rPr>
          <w:rFonts w:hint="eastAsia" w:ascii="仿宋_GB2312" w:hAnsi="仿宋_GB2312" w:eastAsia="仿宋_GB2312" w:cs="仿宋_GB2312"/>
          <w:color w:val="auto"/>
          <w:sz w:val="32"/>
          <w:szCs w:val="32"/>
          <w:highlight w:val="none"/>
          <w:lang w:val="en-US" w:eastAsia="zh-Hans"/>
        </w:rPr>
        <w:t>开立之日起</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rPr>
        <w:t>至</w:t>
      </w:r>
      <w:r>
        <w:rPr>
          <w:rFonts w:hint="eastAsia" w:ascii="仿宋_GB2312" w:hAnsi="仿宋_GB2312" w:eastAsia="仿宋_GB2312" w:cs="仿宋_GB2312"/>
          <w:color w:val="auto"/>
          <w:sz w:val="32"/>
          <w:szCs w:val="32"/>
          <w:highlight w:val="none"/>
          <w:lang w:val="en-US" w:eastAsia="zh-CN"/>
        </w:rPr>
        <w:t xml:space="preserve">    年    月    日止</w:t>
      </w:r>
      <w:r>
        <w:rPr>
          <w:rFonts w:hint="eastAsia" w:ascii="仿宋_GB2312" w:hAnsi="仿宋_GB2312" w:eastAsia="仿宋_GB2312" w:cs="仿宋_GB2312"/>
          <w:color w:val="auto"/>
          <w:sz w:val="32"/>
          <w:szCs w:val="32"/>
          <w:highlight w:val="none"/>
        </w:rPr>
        <w:t>。</w:t>
      </w:r>
    </w:p>
    <w:p w14:paraId="0463F5FD">
      <w:pPr>
        <w:spacing w:line="576" w:lineRule="exact"/>
        <w:ind w:firstLine="640" w:firstLineChars="200"/>
        <w:rPr>
          <w:rFonts w:hint="eastAsia" w:ascii="仿宋_GB2312" w:hAnsi="仿宋_GB2312" w:eastAsia="仿宋_GB2312" w:cs="仿宋_GB2312"/>
          <w:color w:val="auto"/>
          <w:sz w:val="32"/>
          <w:szCs w:val="32"/>
          <w:highlight w:val="none"/>
          <w:lang w:val="en-US" w:eastAsia="zh-Hans"/>
        </w:rPr>
      </w:pPr>
      <w:r>
        <w:rPr>
          <w:rFonts w:hint="eastAsia" w:ascii="仿宋_GB2312" w:hAnsi="仿宋_GB2312" w:eastAsia="仿宋_GB2312" w:cs="仿宋_GB2312"/>
          <w:color w:val="auto"/>
          <w:sz w:val="32"/>
          <w:szCs w:val="32"/>
          <w:highlight w:val="none"/>
        </w:rPr>
        <w:t>3.在本</w:t>
      </w:r>
      <w:r>
        <w:rPr>
          <w:rFonts w:hint="eastAsia" w:ascii="仿宋_GB2312" w:hAnsi="仿宋_GB2312" w:eastAsia="仿宋_GB2312" w:cs="仿宋_GB2312"/>
          <w:color w:val="auto"/>
          <w:sz w:val="32"/>
          <w:szCs w:val="32"/>
          <w:highlight w:val="none"/>
          <w:lang w:val="en-US" w:eastAsia="zh-Hans"/>
        </w:rPr>
        <w:t>保函</w:t>
      </w:r>
      <w:r>
        <w:rPr>
          <w:rFonts w:hint="eastAsia" w:ascii="仿宋_GB2312" w:hAnsi="仿宋_GB2312" w:eastAsia="仿宋_GB2312" w:cs="仿宋_GB2312"/>
          <w:color w:val="auto"/>
          <w:sz w:val="32"/>
          <w:szCs w:val="32"/>
          <w:highlight w:val="none"/>
        </w:rPr>
        <w:t>有效期内，因承包人违反合同约定的义务给你方造成经济损失时，我方在收到你方以书面形式提出的在担保金额内的</w:t>
      </w:r>
      <w:r>
        <w:rPr>
          <w:rFonts w:hint="eastAsia" w:ascii="仿宋_GB2312" w:hAnsi="仿宋_GB2312" w:eastAsia="仿宋_GB2312" w:cs="仿宋_GB2312"/>
          <w:color w:val="auto"/>
          <w:sz w:val="32"/>
          <w:szCs w:val="32"/>
          <w:highlight w:val="none"/>
          <w:lang w:val="en-US" w:eastAsia="zh-Hans"/>
        </w:rPr>
        <w:t>索赔通知书</w:t>
      </w:r>
      <w:r>
        <w:rPr>
          <w:rFonts w:hint="eastAsia" w:ascii="仿宋_GB2312" w:hAnsi="仿宋_GB2312" w:eastAsia="仿宋_GB2312" w:cs="仿宋_GB2312"/>
          <w:color w:val="auto"/>
          <w:sz w:val="32"/>
          <w:szCs w:val="32"/>
          <w:highlight w:val="none"/>
        </w:rPr>
        <w:t>后（无须你方提出任何证明或证据），在7日内无条件支付</w:t>
      </w:r>
      <w:r>
        <w:rPr>
          <w:rFonts w:hint="eastAsia" w:ascii="仿宋_GB2312" w:hAnsi="仿宋_GB2312" w:eastAsia="仿宋_GB2312" w:cs="仿宋_GB2312"/>
          <w:color w:val="auto"/>
          <w:sz w:val="32"/>
          <w:szCs w:val="32"/>
          <w:highlight w:val="none"/>
          <w:lang w:eastAsia="zh-Hans"/>
        </w:rPr>
        <w:t>。</w:t>
      </w:r>
      <w:r>
        <w:rPr>
          <w:rFonts w:hint="eastAsia" w:ascii="仿宋_GB2312" w:hAnsi="仿宋_GB2312" w:eastAsia="仿宋_GB2312" w:cs="仿宋_GB2312"/>
          <w:color w:val="auto"/>
          <w:sz w:val="32"/>
          <w:szCs w:val="32"/>
          <w:highlight w:val="none"/>
          <w:lang w:val="en-US" w:eastAsia="zh-Hans"/>
        </w:rPr>
        <w:t>你方</w:t>
      </w:r>
      <w:r>
        <w:rPr>
          <w:rFonts w:hint="eastAsia" w:ascii="仿宋_GB2312" w:hAnsi="仿宋_GB2312" w:eastAsia="仿宋_GB2312" w:cs="仿宋_GB2312"/>
          <w:color w:val="auto"/>
          <w:sz w:val="32"/>
          <w:szCs w:val="32"/>
          <w:highlight w:val="none"/>
          <w:lang w:eastAsia="zh-Hans"/>
        </w:rPr>
        <w:t>书面</w:t>
      </w:r>
      <w:r>
        <w:rPr>
          <w:rFonts w:hint="eastAsia" w:ascii="仿宋_GB2312" w:hAnsi="仿宋_GB2312" w:eastAsia="仿宋_GB2312" w:cs="仿宋_GB2312"/>
          <w:color w:val="auto"/>
          <w:sz w:val="32"/>
          <w:szCs w:val="32"/>
          <w:highlight w:val="none"/>
          <w:lang w:val="en-US" w:eastAsia="zh-Hans"/>
        </w:rPr>
        <w:t>索赔</w:t>
      </w:r>
      <w:r>
        <w:rPr>
          <w:rFonts w:hint="eastAsia" w:ascii="仿宋_GB2312" w:hAnsi="仿宋_GB2312" w:eastAsia="仿宋_GB2312" w:cs="仿宋_GB2312"/>
          <w:color w:val="auto"/>
          <w:sz w:val="32"/>
          <w:szCs w:val="32"/>
          <w:highlight w:val="none"/>
          <w:lang w:eastAsia="zh-Hans"/>
        </w:rPr>
        <w:t>通知</w:t>
      </w:r>
      <w:r>
        <w:rPr>
          <w:rFonts w:hint="eastAsia" w:ascii="仿宋_GB2312" w:hAnsi="仿宋_GB2312" w:eastAsia="仿宋_GB2312" w:cs="仿宋_GB2312"/>
          <w:color w:val="auto"/>
          <w:sz w:val="32"/>
          <w:szCs w:val="32"/>
          <w:highlight w:val="none"/>
          <w:lang w:val="en-US" w:eastAsia="zh-Hans"/>
        </w:rPr>
        <w:t>书</w:t>
      </w:r>
      <w:r>
        <w:rPr>
          <w:rFonts w:hint="eastAsia" w:ascii="仿宋_GB2312" w:hAnsi="仿宋_GB2312" w:eastAsia="仿宋_GB2312" w:cs="仿宋_GB2312"/>
          <w:color w:val="auto"/>
          <w:sz w:val="32"/>
          <w:szCs w:val="32"/>
          <w:highlight w:val="none"/>
          <w:lang w:eastAsia="zh-Hans"/>
        </w:rPr>
        <w:t>即为</w:t>
      </w:r>
      <w:r>
        <w:rPr>
          <w:rFonts w:hint="eastAsia" w:ascii="仿宋_GB2312" w:hAnsi="仿宋_GB2312" w:eastAsia="仿宋_GB2312" w:cs="仿宋_GB2312"/>
          <w:color w:val="auto"/>
          <w:sz w:val="32"/>
          <w:szCs w:val="32"/>
          <w:highlight w:val="none"/>
          <w:lang w:val="en-US" w:eastAsia="zh-Hans"/>
        </w:rPr>
        <w:t>我方</w:t>
      </w:r>
      <w:r>
        <w:rPr>
          <w:rFonts w:hint="eastAsia" w:ascii="仿宋_GB2312" w:hAnsi="仿宋_GB2312" w:eastAsia="仿宋_GB2312" w:cs="仿宋_GB2312"/>
          <w:color w:val="auto"/>
          <w:sz w:val="32"/>
          <w:szCs w:val="32"/>
          <w:highlight w:val="none"/>
          <w:lang w:eastAsia="zh-Hans"/>
        </w:rPr>
        <w:t>付款要求之单据。</w:t>
      </w:r>
      <w:r>
        <w:rPr>
          <w:rFonts w:hint="eastAsia" w:ascii="仿宋_GB2312" w:hAnsi="仿宋_GB2312" w:eastAsia="仿宋_GB2312" w:cs="仿宋_GB2312"/>
          <w:color w:val="auto"/>
          <w:sz w:val="32"/>
          <w:szCs w:val="32"/>
          <w:highlight w:val="none"/>
          <w:lang w:val="en-US" w:eastAsia="zh-Hans"/>
        </w:rPr>
        <w:t>索赔通知书送达地址如下：</w:t>
      </w:r>
    </w:p>
    <w:p w14:paraId="5CDF7719">
      <w:pPr>
        <w:spacing w:line="576" w:lineRule="exact"/>
        <w:ind w:firstLine="640" w:firstLineChars="200"/>
        <w:rPr>
          <w:rFonts w:hint="eastAsia" w:ascii="仿宋_GB2312" w:hAnsi="仿宋_GB2312" w:eastAsia="仿宋_GB2312" w:cs="仿宋_GB2312"/>
          <w:color w:val="auto"/>
          <w:sz w:val="32"/>
          <w:szCs w:val="32"/>
          <w:highlight w:val="none"/>
          <w:lang w:val="en-US" w:eastAsia="zh-Hans"/>
        </w:rPr>
      </w:pPr>
      <w:r>
        <w:rPr>
          <w:rFonts w:hint="eastAsia" w:ascii="仿宋_GB2312" w:hAnsi="仿宋_GB2312" w:eastAsia="仿宋_GB2312" w:cs="仿宋_GB2312"/>
          <w:color w:val="auto"/>
          <w:sz w:val="32"/>
          <w:szCs w:val="32"/>
          <w:highlight w:val="none"/>
          <w:lang w:val="en-US" w:eastAsia="zh-Hans"/>
        </w:rPr>
        <w:t>收件人：</w:t>
      </w:r>
      <w:r>
        <w:rPr>
          <w:rFonts w:hint="eastAsia" w:ascii="仿宋_GB2312" w:hAnsi="仿宋_GB2312" w:eastAsia="仿宋_GB2312" w:cs="仿宋_GB2312"/>
          <w:color w:val="auto"/>
          <w:sz w:val="32"/>
          <w:szCs w:val="32"/>
          <w:highlight w:val="none"/>
          <w:u w:val="single"/>
        </w:rPr>
        <w:t xml:space="preserve">    </w:t>
      </w:r>
    </w:p>
    <w:p w14:paraId="77D714E4">
      <w:pPr>
        <w:spacing w:line="576" w:lineRule="exact"/>
        <w:ind w:firstLine="640" w:firstLineChars="200"/>
        <w:rPr>
          <w:rFonts w:hint="eastAsia" w:ascii="仿宋_GB2312" w:hAnsi="仿宋_GB2312" w:eastAsia="仿宋_GB2312" w:cs="仿宋_GB2312"/>
          <w:color w:val="auto"/>
          <w:sz w:val="32"/>
          <w:szCs w:val="32"/>
          <w:highlight w:val="none"/>
          <w:lang w:val="en-US" w:eastAsia="zh-Hans"/>
        </w:rPr>
      </w:pPr>
      <w:r>
        <w:rPr>
          <w:rFonts w:hint="eastAsia" w:ascii="仿宋_GB2312" w:hAnsi="仿宋_GB2312" w:eastAsia="仿宋_GB2312" w:cs="仿宋_GB2312"/>
          <w:color w:val="auto"/>
          <w:sz w:val="32"/>
          <w:szCs w:val="32"/>
          <w:highlight w:val="none"/>
          <w:lang w:val="en-US" w:eastAsia="zh-Hans"/>
        </w:rPr>
        <w:t>电话：</w:t>
      </w:r>
      <w:r>
        <w:rPr>
          <w:rFonts w:hint="eastAsia" w:ascii="仿宋_GB2312" w:hAnsi="仿宋_GB2312" w:eastAsia="仿宋_GB2312" w:cs="仿宋_GB2312"/>
          <w:color w:val="auto"/>
          <w:sz w:val="32"/>
          <w:szCs w:val="32"/>
          <w:highlight w:val="none"/>
          <w:u w:val="single"/>
        </w:rPr>
        <w:t xml:space="preserve">    </w:t>
      </w:r>
    </w:p>
    <w:p w14:paraId="75CAADC4">
      <w:pPr>
        <w:spacing w:line="576"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Hans"/>
        </w:rPr>
        <w:t>地址：</w:t>
      </w:r>
      <w:r>
        <w:rPr>
          <w:rFonts w:hint="eastAsia" w:ascii="仿宋_GB2312" w:hAnsi="仿宋_GB2312" w:eastAsia="仿宋_GB2312" w:cs="仿宋_GB2312"/>
          <w:color w:val="auto"/>
          <w:sz w:val="32"/>
          <w:szCs w:val="32"/>
          <w:highlight w:val="none"/>
          <w:u w:val="single"/>
        </w:rPr>
        <w:t xml:space="preserve">    </w:t>
      </w:r>
    </w:p>
    <w:p w14:paraId="44717900">
      <w:pPr>
        <w:spacing w:line="576"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4.你方和承包人约定变更</w:t>
      </w:r>
      <w:r>
        <w:rPr>
          <w:rFonts w:hint="eastAsia" w:ascii="仿宋_GB2312" w:hAnsi="仿宋_GB2312" w:eastAsia="仿宋_GB2312" w:cs="仿宋_GB2312"/>
          <w:color w:val="auto"/>
          <w:sz w:val="32"/>
          <w:szCs w:val="32"/>
          <w:highlight w:val="none"/>
          <w:lang w:val="en-US" w:eastAsia="zh-Hans"/>
        </w:rPr>
        <w:t>基础</w:t>
      </w:r>
      <w:r>
        <w:rPr>
          <w:rFonts w:hint="eastAsia" w:ascii="仿宋_GB2312" w:hAnsi="仿宋_GB2312" w:eastAsia="仿宋_GB2312" w:cs="仿宋_GB2312"/>
          <w:color w:val="auto"/>
          <w:sz w:val="32"/>
          <w:szCs w:val="32"/>
          <w:highlight w:val="none"/>
        </w:rPr>
        <w:t>合同时，</w:t>
      </w:r>
      <w:r>
        <w:rPr>
          <w:rFonts w:hint="eastAsia" w:ascii="仿宋_GB2312" w:hAnsi="仿宋_GB2312" w:eastAsia="仿宋_GB2312" w:cs="仿宋_GB2312"/>
          <w:color w:val="auto"/>
          <w:sz w:val="32"/>
          <w:szCs w:val="32"/>
          <w:highlight w:val="none"/>
          <w:lang w:val="en-US" w:eastAsia="zh-Hans"/>
        </w:rPr>
        <w:t>无论我方是否收到该变更</w:t>
      </w:r>
      <w:r>
        <w:rPr>
          <w:rFonts w:hint="eastAsia" w:ascii="仿宋_GB2312" w:hAnsi="仿宋_GB2312" w:eastAsia="仿宋_GB2312" w:cs="仿宋_GB2312"/>
          <w:color w:val="auto"/>
          <w:sz w:val="32"/>
          <w:szCs w:val="32"/>
          <w:highlight w:val="none"/>
          <w:lang w:eastAsia="zh-Hans"/>
        </w:rPr>
        <w:t>，</w:t>
      </w:r>
      <w:r>
        <w:rPr>
          <w:rFonts w:hint="eastAsia" w:ascii="仿宋_GB2312" w:hAnsi="仿宋_GB2312" w:eastAsia="仿宋_GB2312" w:cs="仿宋_GB2312"/>
          <w:color w:val="auto"/>
          <w:sz w:val="32"/>
          <w:szCs w:val="32"/>
          <w:highlight w:val="none"/>
        </w:rPr>
        <w:t>我方承担本担保规定的义务不变。</w:t>
      </w:r>
    </w:p>
    <w:p w14:paraId="2F42376F">
      <w:pPr>
        <w:wordWrap w:val="0"/>
        <w:spacing w:line="576"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5.与本保函有关的基础合同不成立、不生效、无效、被撤销、被解除，不影响本保函的独立有效。 </w:t>
      </w:r>
    </w:p>
    <w:p w14:paraId="7C134124">
      <w:pPr>
        <w:wordWrap w:val="0"/>
        <w:spacing w:line="576"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6</w:t>
      </w:r>
      <w:r>
        <w:rPr>
          <w:rFonts w:hint="eastAsia" w:ascii="仿宋_GB2312" w:hAnsi="仿宋_GB2312" w:eastAsia="仿宋_GB2312" w:cs="仿宋_GB2312"/>
          <w:color w:val="auto"/>
          <w:sz w:val="32"/>
          <w:szCs w:val="32"/>
          <w:highlight w:val="none"/>
          <w:lang w:val="en-US" w:eastAsia="zh-Hans"/>
        </w:rPr>
        <w:t>.</w:t>
      </w:r>
      <w:r>
        <w:rPr>
          <w:rFonts w:hint="eastAsia" w:ascii="仿宋_GB2312" w:hAnsi="仿宋_GB2312" w:eastAsia="仿宋_GB2312" w:cs="仿宋_GB2312"/>
          <w:color w:val="auto"/>
          <w:sz w:val="32"/>
          <w:szCs w:val="32"/>
          <w:highlight w:val="none"/>
        </w:rPr>
        <w:t>因本保函发生的纠纷，可由双方协商解决，协商不成的，任何一方均可</w:t>
      </w:r>
      <w:r>
        <w:rPr>
          <w:rFonts w:hint="eastAsia" w:ascii="仿宋_GB2312" w:hAnsi="仿宋_GB2312" w:eastAsia="仿宋_GB2312" w:cs="仿宋_GB2312"/>
          <w:color w:val="auto"/>
          <w:sz w:val="32"/>
          <w:szCs w:val="32"/>
          <w:highlight w:val="none"/>
          <w:lang w:val="en-US" w:eastAsia="zh-CN"/>
        </w:rPr>
        <w:t>向</w:t>
      </w:r>
      <w:r>
        <w:rPr>
          <w:rFonts w:hint="eastAsia" w:ascii="仿宋_GB2312" w:hAnsi="仿宋_GB2312" w:eastAsia="仿宋_GB2312" w:cs="仿宋_GB2312"/>
          <w:color w:val="auto"/>
          <w:sz w:val="32"/>
          <w:szCs w:val="32"/>
          <w:highlight w:val="none"/>
          <w:lang w:val="en-US" w:eastAsia="zh-Hans"/>
        </w:rPr>
        <w:t>本</w:t>
      </w:r>
      <w:r>
        <w:rPr>
          <w:rFonts w:hint="eastAsia" w:ascii="仿宋_GB2312" w:hAnsi="仿宋_GB2312" w:eastAsia="仿宋_GB2312" w:cs="仿宋_GB2312"/>
          <w:color w:val="auto"/>
          <w:sz w:val="32"/>
          <w:szCs w:val="32"/>
          <w:highlight w:val="none"/>
          <w:u w:val="none"/>
        </w:rPr>
        <w:t>项目所在地</w:t>
      </w:r>
      <w:r>
        <w:rPr>
          <w:rFonts w:hint="eastAsia" w:ascii="仿宋_GB2312" w:hAnsi="仿宋_GB2312" w:eastAsia="仿宋_GB2312" w:cs="仿宋_GB2312"/>
          <w:color w:val="auto"/>
          <w:sz w:val="32"/>
          <w:szCs w:val="32"/>
          <w:highlight w:val="none"/>
        </w:rPr>
        <w:t>人民法院</w:t>
      </w:r>
      <w:r>
        <w:rPr>
          <w:rFonts w:hint="eastAsia" w:ascii="仿宋_GB2312" w:hAnsi="仿宋_GB2312" w:eastAsia="仿宋_GB2312" w:cs="仿宋_GB2312"/>
          <w:color w:val="auto"/>
          <w:sz w:val="32"/>
          <w:szCs w:val="32"/>
          <w:highlight w:val="none"/>
          <w:lang w:val="en-US" w:eastAsia="zh-CN"/>
        </w:rPr>
        <w:t>提起诉讼解决</w:t>
      </w:r>
      <w:r>
        <w:rPr>
          <w:rFonts w:hint="eastAsia" w:ascii="仿宋_GB2312" w:hAnsi="仿宋_GB2312" w:eastAsia="仿宋_GB2312" w:cs="仿宋_GB2312"/>
          <w:color w:val="auto"/>
          <w:sz w:val="32"/>
          <w:szCs w:val="32"/>
          <w:highlight w:val="none"/>
        </w:rPr>
        <w:t>。</w:t>
      </w:r>
    </w:p>
    <w:p w14:paraId="771F5576">
      <w:pPr>
        <w:spacing w:line="576"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7.本保函自我方法定代表人 </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或其授权代理人</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 xml:space="preserve"> 签字并加盖公章之日起生效。</w:t>
      </w:r>
    </w:p>
    <w:p w14:paraId="5152FDCB">
      <w:pPr>
        <w:spacing w:line="576" w:lineRule="exact"/>
        <w:rPr>
          <w:rFonts w:hint="eastAsia" w:ascii="仿宋_GB2312" w:hAnsi="仿宋_GB2312" w:eastAsia="仿宋_GB2312" w:cs="仿宋_GB2312"/>
          <w:color w:val="auto"/>
          <w:sz w:val="32"/>
          <w:szCs w:val="32"/>
          <w:highlight w:val="none"/>
        </w:rPr>
      </w:pPr>
    </w:p>
    <w:p w14:paraId="79D6C526">
      <w:pPr>
        <w:spacing w:line="576" w:lineRule="exact"/>
        <w:rPr>
          <w:rFonts w:hint="eastAsia" w:ascii="仿宋_GB2312" w:hAnsi="仿宋_GB2312" w:eastAsia="仿宋_GB2312" w:cs="仿宋_GB2312"/>
          <w:color w:val="auto"/>
          <w:sz w:val="32"/>
          <w:szCs w:val="32"/>
          <w:highlight w:val="none"/>
        </w:rPr>
      </w:pPr>
    </w:p>
    <w:p w14:paraId="50496234">
      <w:pPr>
        <w:spacing w:line="576"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担保人名称：</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u w:val="single"/>
          <w:lang w:eastAsia="zh-CN"/>
        </w:rPr>
        <w:t>（</w:t>
      </w:r>
      <w:r>
        <w:rPr>
          <w:rFonts w:hint="eastAsia" w:ascii="仿宋_GB2312" w:hAnsi="仿宋_GB2312" w:eastAsia="仿宋_GB2312" w:cs="仿宋_GB2312"/>
          <w:color w:val="auto"/>
          <w:sz w:val="32"/>
          <w:szCs w:val="32"/>
          <w:highlight w:val="none"/>
        </w:rPr>
        <w:t>盖单位章</w:t>
      </w:r>
      <w:r>
        <w:rPr>
          <w:rFonts w:hint="eastAsia" w:ascii="仿宋_GB2312" w:hAnsi="仿宋_GB2312" w:eastAsia="仿宋_GB2312" w:cs="仿宋_GB2312"/>
          <w:color w:val="auto"/>
          <w:sz w:val="32"/>
          <w:szCs w:val="32"/>
          <w:highlight w:val="none"/>
          <w:lang w:eastAsia="zh-CN"/>
        </w:rPr>
        <w:t>）</w:t>
      </w:r>
    </w:p>
    <w:p w14:paraId="144CC3AB">
      <w:pPr>
        <w:spacing w:line="576"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法定代表人或其</w:t>
      </w:r>
      <w:r>
        <w:rPr>
          <w:rFonts w:hint="eastAsia" w:ascii="仿宋_GB2312" w:hAnsi="仿宋_GB2312" w:eastAsia="仿宋_GB2312" w:cs="仿宋_GB2312"/>
          <w:color w:val="auto"/>
          <w:sz w:val="32"/>
          <w:szCs w:val="32"/>
          <w:highlight w:val="none"/>
          <w:lang w:eastAsia="zh-CN"/>
        </w:rPr>
        <w:t>授权代理人</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u w:val="single"/>
          <w:lang w:eastAsia="zh-CN"/>
        </w:rPr>
        <w:t>（</w:t>
      </w:r>
      <w:r>
        <w:rPr>
          <w:rFonts w:hint="eastAsia" w:ascii="仿宋_GB2312" w:hAnsi="仿宋_GB2312" w:eastAsia="仿宋_GB2312" w:cs="仿宋_GB2312"/>
          <w:color w:val="auto"/>
          <w:sz w:val="32"/>
          <w:szCs w:val="32"/>
          <w:highlight w:val="none"/>
        </w:rPr>
        <w:t>签字或盖章</w:t>
      </w:r>
      <w:r>
        <w:rPr>
          <w:rFonts w:hint="eastAsia" w:ascii="仿宋_GB2312" w:hAnsi="仿宋_GB2312" w:eastAsia="仿宋_GB2312" w:cs="仿宋_GB2312"/>
          <w:color w:val="auto"/>
          <w:sz w:val="32"/>
          <w:szCs w:val="32"/>
          <w:highlight w:val="none"/>
          <w:lang w:eastAsia="zh-CN"/>
        </w:rPr>
        <w:t>）</w:t>
      </w:r>
    </w:p>
    <w:p w14:paraId="101464AB">
      <w:pPr>
        <w:spacing w:line="576"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地址：</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邮政编码：</w:t>
      </w:r>
      <w:r>
        <w:rPr>
          <w:rFonts w:hint="eastAsia" w:ascii="仿宋_GB2312" w:hAnsi="仿宋_GB2312" w:eastAsia="仿宋_GB2312" w:cs="仿宋_GB2312"/>
          <w:color w:val="auto"/>
          <w:sz w:val="32"/>
          <w:szCs w:val="32"/>
          <w:highlight w:val="none"/>
          <w:u w:val="single"/>
        </w:rPr>
        <w:t xml:space="preserve">     </w:t>
      </w:r>
    </w:p>
    <w:p w14:paraId="2A3FE979">
      <w:pPr>
        <w:spacing w:line="576" w:lineRule="exact"/>
        <w:ind w:firstLine="640" w:firstLineChars="200"/>
        <w:rPr>
          <w:rFonts w:hint="eastAsia" w:ascii="仿宋_GB2312" w:hAnsi="仿宋_GB2312" w:eastAsia="仿宋_GB2312" w:cs="仿宋_GB2312"/>
          <w:color w:val="auto"/>
          <w:sz w:val="32"/>
          <w:szCs w:val="32"/>
          <w:highlight w:val="none"/>
          <w:u w:val="single"/>
        </w:rPr>
      </w:pPr>
      <w:r>
        <w:rPr>
          <w:rFonts w:hint="eastAsia" w:ascii="仿宋_GB2312" w:hAnsi="仿宋_GB2312" w:eastAsia="仿宋_GB2312" w:cs="仿宋_GB2312"/>
          <w:color w:val="auto"/>
          <w:sz w:val="32"/>
          <w:szCs w:val="32"/>
          <w:highlight w:val="none"/>
        </w:rPr>
        <w:t>电话：</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传真：</w:t>
      </w:r>
      <w:r>
        <w:rPr>
          <w:rFonts w:hint="eastAsia" w:ascii="仿宋_GB2312" w:hAnsi="仿宋_GB2312" w:eastAsia="仿宋_GB2312" w:cs="仿宋_GB2312"/>
          <w:color w:val="auto"/>
          <w:sz w:val="32"/>
          <w:szCs w:val="32"/>
          <w:highlight w:val="none"/>
          <w:u w:val="single"/>
        </w:rPr>
        <w:t xml:space="preserve">     </w:t>
      </w:r>
    </w:p>
    <w:p w14:paraId="0536B82F">
      <w:pPr>
        <w:spacing w:line="576"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u w:val="none"/>
          <w:lang w:val="en-US" w:eastAsia="zh-CN"/>
        </w:rPr>
        <w:t>开立时间：</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年</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月</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日</w:t>
      </w:r>
    </w:p>
    <w:p w14:paraId="34C624E3">
      <w:pPr>
        <w:spacing w:line="576" w:lineRule="exact"/>
        <w:ind w:firstLine="643" w:firstLineChars="200"/>
        <w:rPr>
          <w:rFonts w:hint="eastAsia" w:ascii="仿宋_GB2312" w:hAnsi="仿宋_GB2312" w:eastAsia="仿宋_GB2312" w:cs="仿宋_GB2312"/>
          <w:sz w:val="32"/>
          <w:szCs w:val="32"/>
        </w:rPr>
      </w:pPr>
      <w:bookmarkStart w:id="3037" w:name="_Toc10248"/>
      <w:bookmarkStart w:id="3038" w:name="_Toc8386"/>
      <w:bookmarkStart w:id="3039" w:name="_Toc28227"/>
      <w:bookmarkStart w:id="3040" w:name="_Toc30842"/>
      <w:bookmarkStart w:id="3041" w:name="_Toc13444"/>
      <w:r>
        <w:rPr>
          <w:rFonts w:hint="eastAsia" w:ascii="仿宋_GB2312" w:hAnsi="仿宋_GB2312" w:eastAsia="仿宋_GB2312" w:cs="仿宋_GB2312"/>
          <w:b/>
          <w:bCs/>
          <w:sz w:val="32"/>
          <w:szCs w:val="32"/>
          <w:lang w:val="en-US" w:eastAsia="zh-CN"/>
        </w:rPr>
        <w:br w:type="page"/>
      </w:r>
    </w:p>
    <w:p w14:paraId="504EC088">
      <w:pPr>
        <w:pStyle w:val="2"/>
        <w:snapToGrid/>
        <w:spacing w:before="0" w:after="0" w:line="576" w:lineRule="exact"/>
        <w:rPr>
          <w:rFonts w:hint="eastAsia" w:ascii="仿宋_GB2312" w:hAnsi="仿宋_GB2312" w:eastAsia="仿宋_GB2312" w:cs="仿宋_GB2312"/>
          <w:b w:val="0"/>
          <w:bCs w:val="0"/>
          <w:color w:val="auto"/>
          <w:sz w:val="32"/>
          <w:szCs w:val="32"/>
          <w:highlight w:val="none"/>
          <w:lang w:bidi="ar"/>
        </w:rPr>
      </w:pPr>
      <w:bookmarkStart w:id="3042" w:name="_Toc24327"/>
      <w:r>
        <w:rPr>
          <w:rFonts w:hint="eastAsia" w:ascii="黑体" w:hAnsi="黑体" w:eastAsia="黑体" w:cs="黑体"/>
          <w:b w:val="0"/>
          <w:bCs w:val="0"/>
          <w:color w:val="auto"/>
          <w:sz w:val="32"/>
          <w:szCs w:val="32"/>
          <w:highlight w:val="none"/>
          <w:lang w:bidi="ar"/>
        </w:rPr>
        <w:t>附件</w:t>
      </w:r>
      <w:r>
        <w:rPr>
          <w:rFonts w:hint="eastAsia" w:ascii="黑体" w:hAnsi="黑体" w:eastAsia="黑体" w:cs="黑体"/>
          <w:b w:val="0"/>
          <w:bCs w:val="0"/>
          <w:color w:val="auto"/>
          <w:sz w:val="32"/>
          <w:szCs w:val="32"/>
          <w:highlight w:val="none"/>
          <w:lang w:val="en-US" w:eastAsia="zh-CN" w:bidi="ar"/>
        </w:rPr>
        <w:t>19</w:t>
      </w:r>
      <w:bookmarkEnd w:id="3037"/>
      <w:bookmarkEnd w:id="3038"/>
      <w:bookmarkEnd w:id="3039"/>
      <w:bookmarkEnd w:id="3040"/>
      <w:bookmarkEnd w:id="3041"/>
      <w:bookmarkEnd w:id="3042"/>
    </w:p>
    <w:p w14:paraId="4DC1CE64">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Style w:val="15"/>
          <w:rFonts w:hint="eastAsia" w:ascii="方正小标宋简体" w:hAnsi="方正小标宋简体" w:eastAsia="方正小标宋简体" w:cs="方正小标宋简体"/>
          <w:b w:val="0"/>
          <w:bCs w:val="0"/>
          <w:i w:val="0"/>
          <w:iCs w:val="0"/>
          <w:caps w:val="0"/>
          <w:color w:val="auto"/>
          <w:spacing w:val="0"/>
          <w:sz w:val="44"/>
          <w:szCs w:val="44"/>
          <w:highlight w:val="none"/>
          <w:lang w:val="en-US" w:eastAsia="zh-CN"/>
        </w:rPr>
      </w:pPr>
      <w:r>
        <w:rPr>
          <w:rStyle w:val="15"/>
          <w:rFonts w:hint="eastAsia" w:ascii="方正小标宋简体" w:hAnsi="方正小标宋简体" w:eastAsia="方正小标宋简体" w:cs="方正小标宋简体"/>
          <w:b w:val="0"/>
          <w:bCs w:val="0"/>
          <w:i w:val="0"/>
          <w:iCs w:val="0"/>
          <w:caps w:val="0"/>
          <w:color w:val="auto"/>
          <w:spacing w:val="0"/>
          <w:sz w:val="44"/>
          <w:szCs w:val="44"/>
          <w:highlight w:val="none"/>
          <w:lang w:val="en-US" w:eastAsia="zh-CN"/>
        </w:rPr>
        <w:t>施工承包人违约</w:t>
      </w:r>
      <w:r>
        <w:rPr>
          <w:rStyle w:val="15"/>
          <w:rFonts w:hint="eastAsia" w:ascii="方正小标宋简体" w:hAnsi="方正小标宋简体" w:eastAsia="方正小标宋简体" w:cs="方正小标宋简体"/>
          <w:b w:val="0"/>
          <w:bCs w:val="0"/>
          <w:i w:val="0"/>
          <w:iCs w:val="0"/>
          <w:caps w:val="0"/>
          <w:color w:val="auto"/>
          <w:spacing w:val="0"/>
          <w:sz w:val="44"/>
          <w:szCs w:val="44"/>
          <w:highlight w:val="none"/>
        </w:rPr>
        <w:t>行为记分</w:t>
      </w:r>
      <w:r>
        <w:rPr>
          <w:rStyle w:val="15"/>
          <w:rFonts w:hint="eastAsia" w:ascii="方正小标宋简体" w:hAnsi="方正小标宋简体" w:eastAsia="方正小标宋简体" w:cs="方正小标宋简体"/>
          <w:b w:val="0"/>
          <w:bCs w:val="0"/>
          <w:i w:val="0"/>
          <w:iCs w:val="0"/>
          <w:caps w:val="0"/>
          <w:color w:val="auto"/>
          <w:spacing w:val="0"/>
          <w:sz w:val="44"/>
          <w:szCs w:val="44"/>
          <w:highlight w:val="none"/>
          <w:lang w:val="en-US" w:eastAsia="zh-CN"/>
        </w:rPr>
        <w:t>管理协议</w:t>
      </w:r>
    </w:p>
    <w:p w14:paraId="608A45C5">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黑体" w:hAnsi="黑体" w:eastAsia="黑体" w:cs="黑体"/>
          <w:color w:val="auto"/>
          <w:sz w:val="32"/>
          <w:szCs w:val="32"/>
          <w:highlight w:val="none"/>
        </w:rPr>
      </w:pPr>
      <w:r>
        <w:rPr>
          <w:rFonts w:hint="eastAsia" w:ascii="黑体" w:hAnsi="黑体" w:eastAsia="黑体" w:cs="黑体"/>
          <w:b w:val="0"/>
          <w:bCs w:val="0"/>
          <w:color w:val="auto"/>
          <w:kern w:val="0"/>
          <w:sz w:val="32"/>
          <w:szCs w:val="32"/>
          <w:highlight w:val="none"/>
          <w:lang w:bidi="ar"/>
        </w:rPr>
        <w:t>发包人（全称）：</w:t>
      </w:r>
      <w:permStart w:id="120" w:edGrp="everyone"/>
      <w:r>
        <w:rPr>
          <w:rFonts w:hint="eastAsia" w:ascii="黑体" w:hAnsi="黑体" w:eastAsia="黑体" w:cs="黑体"/>
          <w:b w:val="0"/>
          <w:bCs w:val="0"/>
          <w:color w:val="auto"/>
          <w:kern w:val="0"/>
          <w:sz w:val="32"/>
          <w:szCs w:val="32"/>
          <w:highlight w:val="none"/>
          <w:lang w:bidi="ar"/>
        </w:rPr>
        <w:t xml:space="preserve">     </w:t>
      </w:r>
    </w:p>
    <w:permEnd w:id="120"/>
    <w:p w14:paraId="733AC39D">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黑体" w:hAnsi="黑体" w:eastAsia="黑体" w:cs="黑体"/>
          <w:b w:val="0"/>
          <w:bCs w:val="0"/>
          <w:color w:val="auto"/>
          <w:kern w:val="0"/>
          <w:sz w:val="32"/>
          <w:szCs w:val="32"/>
          <w:highlight w:val="none"/>
          <w:lang w:bidi="ar"/>
        </w:rPr>
      </w:pPr>
      <w:r>
        <w:rPr>
          <w:rFonts w:hint="eastAsia" w:ascii="黑体" w:hAnsi="黑体" w:eastAsia="黑体" w:cs="黑体"/>
          <w:b w:val="0"/>
          <w:bCs w:val="0"/>
          <w:color w:val="auto"/>
          <w:kern w:val="0"/>
          <w:sz w:val="32"/>
          <w:szCs w:val="32"/>
          <w:highlight w:val="none"/>
          <w:lang w:bidi="ar"/>
        </w:rPr>
        <w:t>承包人（全称）：</w:t>
      </w:r>
      <w:permStart w:id="121" w:edGrp="everyone"/>
      <w:r>
        <w:rPr>
          <w:rFonts w:hint="eastAsia" w:ascii="黑体" w:hAnsi="黑体" w:eastAsia="黑体" w:cs="黑体"/>
          <w:b w:val="0"/>
          <w:bCs w:val="0"/>
          <w:color w:val="auto"/>
          <w:kern w:val="0"/>
          <w:sz w:val="32"/>
          <w:szCs w:val="32"/>
          <w:highlight w:val="none"/>
          <w:lang w:bidi="ar"/>
        </w:rPr>
        <w:t xml:space="preserve">     </w:t>
      </w:r>
      <w:permEnd w:id="121"/>
    </w:p>
    <w:p w14:paraId="2C9BC003">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67"/>
        <w:jc w:val="both"/>
        <w:textAlignment w:val="auto"/>
        <w:rPr>
          <w:rFonts w:hint="eastAsia" w:ascii="仿宋_GB2312" w:hAnsi="仿宋_GB2312" w:eastAsia="仿宋_GB2312" w:cs="仿宋_GB2312"/>
          <w:b w:val="0"/>
          <w:bCs w:val="0"/>
          <w:i w:val="0"/>
          <w:iCs w:val="0"/>
          <w:caps w:val="0"/>
          <w:color w:val="auto"/>
          <w:spacing w:val="0"/>
          <w:sz w:val="32"/>
          <w:szCs w:val="32"/>
          <w:highlight w:val="none"/>
          <w:lang w:val="en-US" w:eastAsia="zh-CN"/>
        </w:rPr>
      </w:pPr>
      <w:r>
        <w:rPr>
          <w:rFonts w:hint="eastAsia" w:ascii="仿宋_GB2312" w:hAnsi="仿宋_GB2312" w:eastAsia="仿宋_GB2312" w:cs="仿宋_GB2312"/>
          <w:b w:val="0"/>
          <w:bCs w:val="0"/>
          <w:i w:val="0"/>
          <w:iCs w:val="0"/>
          <w:caps w:val="0"/>
          <w:color w:val="auto"/>
          <w:spacing w:val="0"/>
          <w:sz w:val="32"/>
          <w:szCs w:val="32"/>
          <w:highlight w:val="none"/>
          <w:lang w:val="en-US" w:eastAsia="zh-CN"/>
        </w:rPr>
        <w:t>为规范施工承包人履行施工合同行为，建立守约激励失约惩戒的合理秩序，促进施工承包人依法诚信经营，确保工程建设项目安全文明施工，保障质量和进度，建立施工承包人退出合同履约机制，特此签订本协议。</w:t>
      </w:r>
    </w:p>
    <w:p w14:paraId="3E45CEEF">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67"/>
        <w:jc w:val="both"/>
        <w:textAlignment w:val="auto"/>
        <w:rPr>
          <w:rFonts w:hint="eastAsia" w:ascii="仿宋_GB2312" w:hAnsi="仿宋_GB2312" w:eastAsia="仿宋_GB2312" w:cs="仿宋_GB2312"/>
          <w:b w:val="0"/>
          <w:bCs w:val="0"/>
          <w:color w:val="auto"/>
          <w:sz w:val="32"/>
          <w:szCs w:val="32"/>
          <w:highlight w:val="none"/>
        </w:rPr>
      </w:pPr>
      <w:r>
        <w:rPr>
          <w:rStyle w:val="15"/>
          <w:rFonts w:hint="eastAsia" w:ascii="仿宋_GB2312" w:hAnsi="仿宋_GB2312" w:eastAsia="仿宋_GB2312" w:cs="仿宋_GB2312"/>
          <w:i w:val="0"/>
          <w:iCs w:val="0"/>
          <w:caps w:val="0"/>
          <w:color w:val="auto"/>
          <w:spacing w:val="0"/>
          <w:sz w:val="32"/>
          <w:szCs w:val="32"/>
          <w:highlight w:val="none"/>
        </w:rPr>
        <w:t>第</w:t>
      </w:r>
      <w:r>
        <w:rPr>
          <w:rStyle w:val="15"/>
          <w:rFonts w:hint="eastAsia" w:ascii="仿宋_GB2312" w:hAnsi="仿宋_GB2312" w:eastAsia="仿宋_GB2312" w:cs="仿宋_GB2312"/>
          <w:i w:val="0"/>
          <w:iCs w:val="0"/>
          <w:caps w:val="0"/>
          <w:color w:val="auto"/>
          <w:spacing w:val="0"/>
          <w:sz w:val="32"/>
          <w:szCs w:val="32"/>
          <w:highlight w:val="none"/>
          <w:lang w:val="en-US" w:eastAsia="zh-CN"/>
        </w:rPr>
        <w:t>一</w:t>
      </w:r>
      <w:r>
        <w:rPr>
          <w:rStyle w:val="15"/>
          <w:rFonts w:hint="eastAsia" w:ascii="仿宋_GB2312" w:hAnsi="仿宋_GB2312" w:eastAsia="仿宋_GB2312" w:cs="仿宋_GB2312"/>
          <w:i w:val="0"/>
          <w:iCs w:val="0"/>
          <w:caps w:val="0"/>
          <w:color w:val="auto"/>
          <w:spacing w:val="0"/>
          <w:sz w:val="32"/>
          <w:szCs w:val="32"/>
          <w:highlight w:val="none"/>
        </w:rPr>
        <w:t>条</w:t>
      </w:r>
      <w:r>
        <w:rPr>
          <w:rFonts w:hint="eastAsia" w:ascii="仿宋_GB2312" w:hAnsi="仿宋_GB2312" w:eastAsia="仿宋_GB2312" w:cs="仿宋_GB2312"/>
          <w:i w:val="0"/>
          <w:iCs w:val="0"/>
          <w:caps w:val="0"/>
          <w:color w:val="auto"/>
          <w:spacing w:val="0"/>
          <w:sz w:val="32"/>
          <w:szCs w:val="32"/>
          <w:highlight w:val="none"/>
          <w:lang w:val="en-US" w:eastAsia="zh-CN"/>
        </w:rPr>
        <w:t xml:space="preserve"> </w:t>
      </w:r>
      <w:r>
        <w:rPr>
          <w:rFonts w:hint="eastAsia" w:ascii="仿宋_GB2312" w:hAnsi="仿宋_GB2312" w:eastAsia="仿宋_GB2312" w:cs="仿宋_GB2312"/>
          <w:b w:val="0"/>
          <w:bCs w:val="0"/>
          <w:i w:val="0"/>
          <w:iCs w:val="0"/>
          <w:caps w:val="0"/>
          <w:color w:val="auto"/>
          <w:spacing w:val="8"/>
          <w:sz w:val="32"/>
          <w:szCs w:val="32"/>
          <w:highlight w:val="none"/>
          <w:shd w:val="clear" w:color="auto" w:fill="FFFFFF"/>
        </w:rPr>
        <w:t>记分周期为十二个月，满分为12分。记分周期自</w:t>
      </w:r>
      <w:r>
        <w:rPr>
          <w:rStyle w:val="15"/>
          <w:rFonts w:hint="eastAsia" w:ascii="仿宋_GB2312" w:hAnsi="仿宋_GB2312" w:eastAsia="仿宋_GB2312" w:cs="仿宋_GB2312"/>
          <w:b w:val="0"/>
          <w:bCs w:val="0"/>
          <w:i w:val="0"/>
          <w:iCs w:val="0"/>
          <w:caps w:val="0"/>
          <w:color w:val="auto"/>
          <w:spacing w:val="0"/>
          <w:sz w:val="32"/>
          <w:szCs w:val="32"/>
          <w:highlight w:val="none"/>
          <w:lang w:val="en-US" w:eastAsia="zh-CN"/>
        </w:rPr>
        <w:t>施工承包人与发包人签订合同</w:t>
      </w:r>
      <w:r>
        <w:rPr>
          <w:rFonts w:hint="eastAsia" w:ascii="仿宋_GB2312" w:hAnsi="仿宋_GB2312" w:eastAsia="仿宋_GB2312" w:cs="仿宋_GB2312"/>
          <w:b w:val="0"/>
          <w:bCs w:val="0"/>
          <w:i w:val="0"/>
          <w:iCs w:val="0"/>
          <w:caps w:val="0"/>
          <w:color w:val="auto"/>
          <w:spacing w:val="0"/>
          <w:sz w:val="32"/>
          <w:szCs w:val="32"/>
          <w:highlight w:val="none"/>
        </w:rPr>
        <w:t>之日起计算。</w:t>
      </w:r>
    </w:p>
    <w:p w14:paraId="2E0CFA4A">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b w:val="0"/>
          <w:bCs w:val="0"/>
          <w:i w:val="0"/>
          <w:iCs w:val="0"/>
          <w:caps w:val="0"/>
          <w:color w:val="auto"/>
          <w:spacing w:val="0"/>
          <w:sz w:val="32"/>
          <w:szCs w:val="32"/>
          <w:highlight w:val="none"/>
        </w:rPr>
      </w:pPr>
      <w:r>
        <w:rPr>
          <w:rFonts w:hint="eastAsia" w:ascii="仿宋_GB2312" w:hAnsi="仿宋_GB2312" w:eastAsia="仿宋_GB2312" w:cs="仿宋_GB2312"/>
          <w:b w:val="0"/>
          <w:bCs w:val="0"/>
          <w:i w:val="0"/>
          <w:iCs w:val="0"/>
          <w:caps w:val="0"/>
          <w:color w:val="auto"/>
          <w:spacing w:val="0"/>
          <w:sz w:val="32"/>
          <w:szCs w:val="32"/>
          <w:highlight w:val="none"/>
          <w:lang w:val="en-US" w:eastAsia="zh-CN"/>
        </w:rPr>
        <w:t>违约</w:t>
      </w:r>
      <w:r>
        <w:rPr>
          <w:rFonts w:hint="eastAsia" w:ascii="仿宋_GB2312" w:hAnsi="仿宋_GB2312" w:eastAsia="仿宋_GB2312" w:cs="仿宋_GB2312"/>
          <w:b w:val="0"/>
          <w:bCs w:val="0"/>
          <w:i w:val="0"/>
          <w:iCs w:val="0"/>
          <w:caps w:val="0"/>
          <w:color w:val="auto"/>
          <w:spacing w:val="0"/>
          <w:sz w:val="32"/>
          <w:szCs w:val="32"/>
          <w:highlight w:val="none"/>
        </w:rPr>
        <w:t>记分的警示分数为一个记分周期内累计</w:t>
      </w:r>
      <w:r>
        <w:rPr>
          <w:rFonts w:hint="eastAsia" w:ascii="仿宋_GB2312" w:hAnsi="仿宋_GB2312" w:eastAsia="仿宋_GB2312" w:cs="仿宋_GB2312"/>
          <w:b w:val="0"/>
          <w:bCs w:val="0"/>
          <w:i w:val="0"/>
          <w:iCs w:val="0"/>
          <w:caps w:val="0"/>
          <w:color w:val="auto"/>
          <w:spacing w:val="0"/>
          <w:sz w:val="32"/>
          <w:szCs w:val="32"/>
          <w:highlight w:val="none"/>
          <w:lang w:val="en-US" w:eastAsia="zh-CN"/>
        </w:rPr>
        <w:t>违约</w:t>
      </w:r>
      <w:r>
        <w:rPr>
          <w:rFonts w:hint="eastAsia" w:ascii="仿宋_GB2312" w:hAnsi="仿宋_GB2312" w:eastAsia="仿宋_GB2312" w:cs="仿宋_GB2312"/>
          <w:b w:val="0"/>
          <w:bCs w:val="0"/>
          <w:i w:val="0"/>
          <w:iCs w:val="0"/>
          <w:caps w:val="0"/>
          <w:color w:val="auto"/>
          <w:spacing w:val="0"/>
          <w:sz w:val="32"/>
          <w:szCs w:val="32"/>
          <w:highlight w:val="none"/>
        </w:rPr>
        <w:t>记分</w:t>
      </w:r>
      <w:r>
        <w:rPr>
          <w:rFonts w:hint="eastAsia" w:ascii="仿宋_GB2312" w:hAnsi="仿宋_GB2312" w:eastAsia="仿宋_GB2312" w:cs="仿宋_GB2312"/>
          <w:b w:val="0"/>
          <w:bCs w:val="0"/>
          <w:i w:val="0"/>
          <w:iCs w:val="0"/>
          <w:caps w:val="0"/>
          <w:color w:val="auto"/>
          <w:spacing w:val="0"/>
          <w:sz w:val="32"/>
          <w:szCs w:val="32"/>
          <w:highlight w:val="none"/>
          <w:lang w:val="en-US" w:eastAsia="zh-CN"/>
        </w:rPr>
        <w:t>6</w:t>
      </w:r>
      <w:r>
        <w:rPr>
          <w:rFonts w:hint="eastAsia" w:ascii="仿宋_GB2312" w:hAnsi="仿宋_GB2312" w:eastAsia="仿宋_GB2312" w:cs="仿宋_GB2312"/>
          <w:b w:val="0"/>
          <w:bCs w:val="0"/>
          <w:i w:val="0"/>
          <w:iCs w:val="0"/>
          <w:caps w:val="0"/>
          <w:color w:val="auto"/>
          <w:spacing w:val="0"/>
          <w:sz w:val="32"/>
          <w:szCs w:val="32"/>
          <w:highlight w:val="none"/>
        </w:rPr>
        <w:t>分。</w:t>
      </w:r>
      <w:r>
        <w:rPr>
          <w:rFonts w:hint="eastAsia" w:ascii="仿宋_GB2312" w:hAnsi="仿宋_GB2312" w:eastAsia="仿宋_GB2312" w:cs="仿宋_GB2312"/>
          <w:b w:val="0"/>
          <w:bCs w:val="0"/>
          <w:i w:val="0"/>
          <w:iCs w:val="0"/>
          <w:caps w:val="0"/>
          <w:color w:val="auto"/>
          <w:spacing w:val="0"/>
          <w:sz w:val="32"/>
          <w:szCs w:val="32"/>
          <w:highlight w:val="none"/>
          <w:lang w:val="en-US" w:eastAsia="zh-CN"/>
        </w:rPr>
        <w:t>违约</w:t>
      </w:r>
      <w:r>
        <w:rPr>
          <w:rFonts w:hint="eastAsia" w:ascii="仿宋_GB2312" w:hAnsi="仿宋_GB2312" w:eastAsia="仿宋_GB2312" w:cs="仿宋_GB2312"/>
          <w:b w:val="0"/>
          <w:bCs w:val="0"/>
          <w:i w:val="0"/>
          <w:iCs w:val="0"/>
          <w:caps w:val="0"/>
          <w:color w:val="auto"/>
          <w:spacing w:val="0"/>
          <w:sz w:val="32"/>
          <w:szCs w:val="32"/>
          <w:highlight w:val="none"/>
        </w:rPr>
        <w:t>记分的限制分数为一个记分周期内</w:t>
      </w:r>
      <w:r>
        <w:rPr>
          <w:rFonts w:hint="eastAsia" w:ascii="仿宋_GB2312" w:hAnsi="仿宋_GB2312" w:eastAsia="仿宋_GB2312" w:cs="仿宋_GB2312"/>
          <w:b w:val="0"/>
          <w:bCs w:val="0"/>
          <w:i w:val="0"/>
          <w:iCs w:val="0"/>
          <w:caps w:val="0"/>
          <w:color w:val="auto"/>
          <w:spacing w:val="0"/>
          <w:sz w:val="32"/>
          <w:szCs w:val="32"/>
          <w:highlight w:val="none"/>
          <w:lang w:val="en-US" w:eastAsia="zh-CN"/>
        </w:rPr>
        <w:t>违约</w:t>
      </w:r>
      <w:r>
        <w:rPr>
          <w:rFonts w:hint="eastAsia" w:ascii="仿宋_GB2312" w:hAnsi="仿宋_GB2312" w:eastAsia="仿宋_GB2312" w:cs="仿宋_GB2312"/>
          <w:b w:val="0"/>
          <w:bCs w:val="0"/>
          <w:i w:val="0"/>
          <w:iCs w:val="0"/>
          <w:caps w:val="0"/>
          <w:color w:val="auto"/>
          <w:spacing w:val="0"/>
          <w:sz w:val="32"/>
          <w:szCs w:val="32"/>
          <w:highlight w:val="none"/>
        </w:rPr>
        <w:t>记分直接达到</w:t>
      </w:r>
      <w:r>
        <w:rPr>
          <w:rFonts w:hint="eastAsia" w:ascii="仿宋_GB2312" w:hAnsi="仿宋_GB2312" w:eastAsia="仿宋_GB2312" w:cs="仿宋_GB2312"/>
          <w:b w:val="0"/>
          <w:bCs w:val="0"/>
          <w:i w:val="0"/>
          <w:iCs w:val="0"/>
          <w:caps w:val="0"/>
          <w:color w:val="auto"/>
          <w:spacing w:val="0"/>
          <w:sz w:val="32"/>
          <w:szCs w:val="32"/>
          <w:highlight w:val="none"/>
          <w:lang w:val="en-US" w:eastAsia="zh-CN"/>
        </w:rPr>
        <w:t>或超过12分</w:t>
      </w:r>
      <w:r>
        <w:rPr>
          <w:rFonts w:hint="eastAsia" w:ascii="仿宋_GB2312" w:hAnsi="仿宋_GB2312" w:eastAsia="仿宋_GB2312" w:cs="仿宋_GB2312"/>
          <w:b w:val="0"/>
          <w:bCs w:val="0"/>
          <w:i w:val="0"/>
          <w:iCs w:val="0"/>
          <w:caps w:val="0"/>
          <w:color w:val="auto"/>
          <w:spacing w:val="0"/>
          <w:sz w:val="32"/>
          <w:szCs w:val="32"/>
          <w:highlight w:val="none"/>
        </w:rPr>
        <w:t>或者实时累计达到</w:t>
      </w:r>
      <w:r>
        <w:rPr>
          <w:rFonts w:hint="eastAsia" w:ascii="仿宋_GB2312" w:hAnsi="仿宋_GB2312" w:eastAsia="仿宋_GB2312" w:cs="仿宋_GB2312"/>
          <w:b w:val="0"/>
          <w:bCs w:val="0"/>
          <w:i w:val="0"/>
          <w:iCs w:val="0"/>
          <w:caps w:val="0"/>
          <w:color w:val="auto"/>
          <w:spacing w:val="0"/>
          <w:sz w:val="32"/>
          <w:szCs w:val="32"/>
          <w:highlight w:val="none"/>
          <w:lang w:val="en-US" w:eastAsia="zh-CN"/>
        </w:rPr>
        <w:t>或超过12分即被列入</w:t>
      </w:r>
      <w:r>
        <w:rPr>
          <w:rFonts w:hint="eastAsia" w:ascii="仿宋_GB2312" w:hAnsi="仿宋_GB2312" w:eastAsia="仿宋_GB2312" w:cs="仿宋_GB2312"/>
          <w:b w:val="0"/>
          <w:bCs w:val="0"/>
          <w:i w:val="0"/>
          <w:iCs w:val="0"/>
          <w:caps w:val="0"/>
          <w:color w:val="auto"/>
          <w:spacing w:val="0"/>
          <w:sz w:val="32"/>
          <w:szCs w:val="32"/>
          <w:highlight w:val="none"/>
        </w:rPr>
        <w:t>“黑名单”</w:t>
      </w:r>
      <w:r>
        <w:rPr>
          <w:rFonts w:hint="eastAsia" w:ascii="仿宋_GB2312" w:hAnsi="仿宋_GB2312" w:eastAsia="仿宋_GB2312" w:cs="仿宋_GB2312"/>
          <w:b w:val="0"/>
          <w:bCs w:val="0"/>
          <w:i w:val="0"/>
          <w:iCs w:val="0"/>
          <w:caps w:val="0"/>
          <w:color w:val="auto"/>
          <w:spacing w:val="0"/>
          <w:sz w:val="32"/>
          <w:szCs w:val="32"/>
          <w:highlight w:val="none"/>
          <w:lang w:val="en-US" w:eastAsia="zh-CN"/>
        </w:rPr>
        <w:t>，承包人在一个记分周期内达到或超过12分，发包人有权要求承包人退出，由发包人重新招标</w:t>
      </w:r>
      <w:r>
        <w:rPr>
          <w:rFonts w:hint="eastAsia" w:ascii="仿宋_GB2312" w:hAnsi="仿宋_GB2312" w:eastAsia="仿宋_GB2312" w:cs="仿宋_GB2312"/>
          <w:b w:val="0"/>
          <w:bCs w:val="0"/>
          <w:i w:val="0"/>
          <w:iCs w:val="0"/>
          <w:caps w:val="0"/>
          <w:color w:val="auto"/>
          <w:spacing w:val="0"/>
          <w:sz w:val="32"/>
          <w:szCs w:val="32"/>
          <w:highlight w:val="none"/>
        </w:rPr>
        <w:t>。</w:t>
      </w:r>
    </w:p>
    <w:p w14:paraId="38CD1B77">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b w:val="0"/>
          <w:bCs w:val="0"/>
          <w:i w:val="0"/>
          <w:iCs w:val="0"/>
          <w:caps w:val="0"/>
          <w:color w:val="auto"/>
          <w:spacing w:val="0"/>
          <w:sz w:val="32"/>
          <w:szCs w:val="32"/>
          <w:highlight w:val="none"/>
        </w:rPr>
      </w:pPr>
      <w:r>
        <w:rPr>
          <w:rFonts w:hint="eastAsia" w:ascii="仿宋_GB2312" w:hAnsi="仿宋_GB2312" w:eastAsia="仿宋_GB2312" w:cs="仿宋_GB2312"/>
          <w:b w:val="0"/>
          <w:bCs w:val="0"/>
          <w:i w:val="0"/>
          <w:iCs w:val="0"/>
          <w:caps w:val="0"/>
          <w:color w:val="auto"/>
          <w:spacing w:val="0"/>
          <w:sz w:val="32"/>
          <w:szCs w:val="32"/>
          <w:highlight w:val="none"/>
        </w:rPr>
        <w:t>列入</w:t>
      </w:r>
      <w:r>
        <w:rPr>
          <w:rFonts w:hint="eastAsia" w:ascii="仿宋_GB2312" w:hAnsi="仿宋_GB2312" w:eastAsia="仿宋_GB2312" w:cs="仿宋_GB2312"/>
          <w:b w:val="0"/>
          <w:bCs w:val="0"/>
          <w:i w:val="0"/>
          <w:iCs w:val="0"/>
          <w:caps w:val="0"/>
          <w:color w:val="auto"/>
          <w:spacing w:val="0"/>
          <w:sz w:val="32"/>
          <w:szCs w:val="32"/>
          <w:highlight w:val="none"/>
          <w:lang w:val="en-US" w:eastAsia="zh-CN"/>
        </w:rPr>
        <w:t>本协议</w:t>
      </w:r>
      <w:r>
        <w:rPr>
          <w:rFonts w:hint="eastAsia" w:ascii="仿宋_GB2312" w:hAnsi="仿宋_GB2312" w:eastAsia="仿宋_GB2312" w:cs="仿宋_GB2312"/>
          <w:b w:val="0"/>
          <w:bCs w:val="0"/>
          <w:i w:val="0"/>
          <w:iCs w:val="0"/>
          <w:caps w:val="0"/>
          <w:color w:val="auto"/>
          <w:spacing w:val="0"/>
          <w:sz w:val="32"/>
          <w:szCs w:val="32"/>
          <w:highlight w:val="none"/>
        </w:rPr>
        <w:t>规定的</w:t>
      </w:r>
      <w:r>
        <w:rPr>
          <w:rStyle w:val="15"/>
          <w:rFonts w:hint="eastAsia" w:ascii="仿宋_GB2312" w:hAnsi="仿宋_GB2312" w:eastAsia="仿宋_GB2312" w:cs="仿宋_GB2312"/>
          <w:b w:val="0"/>
          <w:bCs w:val="0"/>
          <w:i w:val="0"/>
          <w:iCs w:val="0"/>
          <w:caps w:val="0"/>
          <w:color w:val="auto"/>
          <w:spacing w:val="0"/>
          <w:sz w:val="32"/>
          <w:szCs w:val="32"/>
          <w:highlight w:val="none"/>
          <w:lang w:val="en-US" w:eastAsia="zh-CN"/>
        </w:rPr>
        <w:t>违约</w:t>
      </w:r>
      <w:r>
        <w:rPr>
          <w:rFonts w:hint="eastAsia" w:ascii="仿宋_GB2312" w:hAnsi="仿宋_GB2312" w:eastAsia="仿宋_GB2312" w:cs="仿宋_GB2312"/>
          <w:b w:val="0"/>
          <w:bCs w:val="0"/>
          <w:i w:val="0"/>
          <w:iCs w:val="0"/>
          <w:caps w:val="0"/>
          <w:color w:val="auto"/>
          <w:spacing w:val="0"/>
          <w:sz w:val="32"/>
          <w:szCs w:val="32"/>
          <w:highlight w:val="none"/>
        </w:rPr>
        <w:t>“黑名单”的</w:t>
      </w:r>
      <w:r>
        <w:rPr>
          <w:rStyle w:val="15"/>
          <w:rFonts w:hint="eastAsia" w:ascii="仿宋_GB2312" w:hAnsi="仿宋_GB2312" w:eastAsia="仿宋_GB2312" w:cs="仿宋_GB2312"/>
          <w:b w:val="0"/>
          <w:bCs w:val="0"/>
          <w:i w:val="0"/>
          <w:iCs w:val="0"/>
          <w:caps w:val="0"/>
          <w:color w:val="auto"/>
          <w:spacing w:val="0"/>
          <w:sz w:val="32"/>
          <w:szCs w:val="32"/>
          <w:highlight w:val="none"/>
          <w:lang w:val="en-US" w:eastAsia="zh-CN"/>
        </w:rPr>
        <w:t>施工承包人</w:t>
      </w:r>
      <w:r>
        <w:rPr>
          <w:rFonts w:hint="eastAsia" w:ascii="仿宋_GB2312" w:hAnsi="仿宋_GB2312" w:eastAsia="仿宋_GB2312" w:cs="仿宋_GB2312"/>
          <w:b w:val="0"/>
          <w:bCs w:val="0"/>
          <w:i w:val="0"/>
          <w:iCs w:val="0"/>
          <w:caps w:val="0"/>
          <w:color w:val="auto"/>
          <w:spacing w:val="0"/>
          <w:sz w:val="32"/>
          <w:szCs w:val="32"/>
          <w:highlight w:val="none"/>
        </w:rPr>
        <w:t>，在</w:t>
      </w:r>
      <w:r>
        <w:rPr>
          <w:rFonts w:hint="eastAsia" w:ascii="仿宋_GB2312" w:hAnsi="仿宋_GB2312" w:eastAsia="仿宋_GB2312" w:cs="仿宋_GB2312"/>
          <w:b w:val="0"/>
          <w:bCs w:val="0"/>
          <w:i w:val="0"/>
          <w:iCs w:val="0"/>
          <w:caps w:val="0"/>
          <w:color w:val="auto"/>
          <w:spacing w:val="0"/>
          <w:sz w:val="32"/>
          <w:szCs w:val="32"/>
          <w:highlight w:val="none"/>
          <w:lang w:val="en-US" w:eastAsia="zh-CN"/>
        </w:rPr>
        <w:t>退出（即解除合同）</w:t>
      </w:r>
      <w:r>
        <w:rPr>
          <w:rFonts w:hint="eastAsia" w:ascii="仿宋_GB2312" w:hAnsi="仿宋_GB2312" w:eastAsia="仿宋_GB2312" w:cs="仿宋_GB2312"/>
          <w:b w:val="0"/>
          <w:bCs w:val="0"/>
          <w:i w:val="0"/>
          <w:iCs w:val="0"/>
          <w:caps w:val="0"/>
          <w:color w:val="auto"/>
          <w:spacing w:val="0"/>
          <w:sz w:val="32"/>
          <w:szCs w:val="32"/>
          <w:highlight w:val="none"/>
        </w:rPr>
        <w:t>期间不再实施</w:t>
      </w:r>
      <w:r>
        <w:rPr>
          <w:rFonts w:hint="eastAsia" w:ascii="仿宋_GB2312" w:hAnsi="仿宋_GB2312" w:eastAsia="仿宋_GB2312" w:cs="仿宋_GB2312"/>
          <w:b w:val="0"/>
          <w:bCs w:val="0"/>
          <w:i w:val="0"/>
          <w:iCs w:val="0"/>
          <w:caps w:val="0"/>
          <w:color w:val="auto"/>
          <w:spacing w:val="0"/>
          <w:sz w:val="32"/>
          <w:szCs w:val="32"/>
          <w:highlight w:val="none"/>
          <w:lang w:val="en-US" w:eastAsia="zh-CN"/>
        </w:rPr>
        <w:t>违约</w:t>
      </w:r>
      <w:r>
        <w:rPr>
          <w:rFonts w:hint="eastAsia" w:ascii="仿宋_GB2312" w:hAnsi="仿宋_GB2312" w:eastAsia="仿宋_GB2312" w:cs="仿宋_GB2312"/>
          <w:b w:val="0"/>
          <w:bCs w:val="0"/>
          <w:i w:val="0"/>
          <w:iCs w:val="0"/>
          <w:caps w:val="0"/>
          <w:color w:val="auto"/>
          <w:spacing w:val="0"/>
          <w:sz w:val="32"/>
          <w:szCs w:val="32"/>
          <w:highlight w:val="none"/>
        </w:rPr>
        <w:t>记分</w:t>
      </w:r>
      <w:r>
        <w:rPr>
          <w:rFonts w:hint="eastAsia" w:ascii="仿宋_GB2312" w:hAnsi="仿宋_GB2312" w:eastAsia="仿宋_GB2312" w:cs="仿宋_GB2312"/>
          <w:b w:val="0"/>
          <w:bCs w:val="0"/>
          <w:i w:val="0"/>
          <w:iCs w:val="0"/>
          <w:caps w:val="0"/>
          <w:color w:val="auto"/>
          <w:spacing w:val="0"/>
          <w:sz w:val="32"/>
          <w:szCs w:val="32"/>
          <w:highlight w:val="none"/>
          <w:lang w:eastAsia="zh-CN"/>
        </w:rPr>
        <w:t>，</w:t>
      </w:r>
      <w:r>
        <w:rPr>
          <w:rFonts w:hint="eastAsia" w:ascii="仿宋_GB2312" w:hAnsi="仿宋_GB2312" w:eastAsia="仿宋_GB2312" w:cs="仿宋_GB2312"/>
          <w:b w:val="0"/>
          <w:bCs w:val="0"/>
          <w:i w:val="0"/>
          <w:iCs w:val="0"/>
          <w:caps w:val="0"/>
          <w:color w:val="auto"/>
          <w:spacing w:val="0"/>
          <w:sz w:val="32"/>
          <w:szCs w:val="32"/>
          <w:highlight w:val="none"/>
          <w:lang w:val="en-US" w:eastAsia="zh-CN"/>
        </w:rPr>
        <w:t>对列入</w:t>
      </w:r>
      <w:r>
        <w:rPr>
          <w:rStyle w:val="15"/>
          <w:rFonts w:hint="eastAsia" w:ascii="仿宋_GB2312" w:hAnsi="仿宋_GB2312" w:eastAsia="仿宋_GB2312" w:cs="仿宋_GB2312"/>
          <w:b w:val="0"/>
          <w:bCs w:val="0"/>
          <w:i w:val="0"/>
          <w:iCs w:val="0"/>
          <w:caps w:val="0"/>
          <w:color w:val="auto"/>
          <w:spacing w:val="0"/>
          <w:sz w:val="32"/>
          <w:szCs w:val="32"/>
          <w:highlight w:val="none"/>
          <w:lang w:val="en-US" w:eastAsia="zh-CN"/>
        </w:rPr>
        <w:t>违约</w:t>
      </w:r>
      <w:r>
        <w:rPr>
          <w:rFonts w:hint="eastAsia" w:ascii="仿宋_GB2312" w:hAnsi="仿宋_GB2312" w:eastAsia="仿宋_GB2312" w:cs="仿宋_GB2312"/>
          <w:b w:val="0"/>
          <w:bCs w:val="0"/>
          <w:i w:val="0"/>
          <w:iCs w:val="0"/>
          <w:caps w:val="0"/>
          <w:color w:val="auto"/>
          <w:spacing w:val="0"/>
          <w:sz w:val="32"/>
          <w:szCs w:val="32"/>
          <w:highlight w:val="none"/>
        </w:rPr>
        <w:t>“黑名单”的</w:t>
      </w:r>
      <w:r>
        <w:rPr>
          <w:rStyle w:val="15"/>
          <w:rFonts w:hint="eastAsia" w:ascii="仿宋_GB2312" w:hAnsi="仿宋_GB2312" w:eastAsia="仿宋_GB2312" w:cs="仿宋_GB2312"/>
          <w:b w:val="0"/>
          <w:bCs w:val="0"/>
          <w:i w:val="0"/>
          <w:iCs w:val="0"/>
          <w:caps w:val="0"/>
          <w:color w:val="auto"/>
          <w:spacing w:val="0"/>
          <w:sz w:val="32"/>
          <w:szCs w:val="32"/>
          <w:highlight w:val="none"/>
          <w:lang w:val="en-US" w:eastAsia="zh-CN"/>
        </w:rPr>
        <w:t>施工承包人，违约情况符合《海南省建筑市场信用管理办法》中“建筑施工企业信用评价标准”的，发包人</w:t>
      </w:r>
      <w:r>
        <w:rPr>
          <w:rFonts w:hint="eastAsia" w:ascii="仿宋_GB2312" w:hAnsi="仿宋_GB2312" w:eastAsia="仿宋_GB2312" w:cs="仿宋_GB2312"/>
          <w:b w:val="0"/>
          <w:bCs w:val="0"/>
          <w:i w:val="0"/>
          <w:iCs w:val="0"/>
          <w:caps w:val="0"/>
          <w:color w:val="auto"/>
          <w:spacing w:val="0"/>
          <w:sz w:val="32"/>
          <w:szCs w:val="32"/>
          <w:highlight w:val="none"/>
          <w:lang w:val="en-US" w:eastAsia="zh-CN"/>
        </w:rPr>
        <w:t>有权</w:t>
      </w:r>
      <w:r>
        <w:rPr>
          <w:rStyle w:val="15"/>
          <w:rFonts w:hint="eastAsia" w:ascii="仿宋_GB2312" w:hAnsi="仿宋_GB2312" w:eastAsia="仿宋_GB2312" w:cs="仿宋_GB2312"/>
          <w:b w:val="0"/>
          <w:bCs w:val="0"/>
          <w:i w:val="0"/>
          <w:iCs w:val="0"/>
          <w:caps w:val="0"/>
          <w:color w:val="auto"/>
          <w:spacing w:val="0"/>
          <w:sz w:val="32"/>
          <w:szCs w:val="32"/>
          <w:highlight w:val="none"/>
          <w:lang w:val="en-US" w:eastAsia="zh-CN"/>
        </w:rPr>
        <w:t>上报主管部门进行诚信扣分</w:t>
      </w:r>
      <w:r>
        <w:rPr>
          <w:rFonts w:hint="eastAsia" w:ascii="仿宋_GB2312" w:hAnsi="仿宋_GB2312" w:eastAsia="仿宋_GB2312" w:cs="仿宋_GB2312"/>
          <w:b w:val="0"/>
          <w:bCs w:val="0"/>
          <w:i w:val="0"/>
          <w:iCs w:val="0"/>
          <w:caps w:val="0"/>
          <w:color w:val="auto"/>
          <w:spacing w:val="0"/>
          <w:sz w:val="32"/>
          <w:szCs w:val="32"/>
          <w:highlight w:val="none"/>
        </w:rPr>
        <w:t>。</w:t>
      </w:r>
    </w:p>
    <w:p w14:paraId="38B097EF">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40"/>
        <w:jc w:val="both"/>
        <w:textAlignment w:val="auto"/>
        <w:rPr>
          <w:rFonts w:hint="eastAsia" w:ascii="仿宋_GB2312" w:hAnsi="仿宋_GB2312" w:eastAsia="仿宋_GB2312" w:cs="仿宋_GB2312"/>
          <w:i w:val="0"/>
          <w:iCs w:val="0"/>
          <w:caps w:val="0"/>
          <w:color w:val="auto"/>
          <w:spacing w:val="0"/>
          <w:sz w:val="32"/>
          <w:szCs w:val="32"/>
          <w:highlight w:val="none"/>
          <w:lang w:eastAsia="zh-CN"/>
        </w:rPr>
      </w:pPr>
      <w:r>
        <w:rPr>
          <w:rStyle w:val="15"/>
          <w:rFonts w:hint="eastAsia" w:ascii="仿宋_GB2312" w:hAnsi="仿宋_GB2312" w:eastAsia="仿宋_GB2312" w:cs="仿宋_GB2312"/>
          <w:i w:val="0"/>
          <w:iCs w:val="0"/>
          <w:caps w:val="0"/>
          <w:color w:val="auto"/>
          <w:spacing w:val="0"/>
          <w:sz w:val="32"/>
          <w:szCs w:val="32"/>
          <w:highlight w:val="none"/>
        </w:rPr>
        <w:t>第</w:t>
      </w:r>
      <w:r>
        <w:rPr>
          <w:rStyle w:val="15"/>
          <w:rFonts w:hint="eastAsia" w:ascii="仿宋_GB2312" w:hAnsi="仿宋_GB2312" w:eastAsia="仿宋_GB2312" w:cs="仿宋_GB2312"/>
          <w:i w:val="0"/>
          <w:iCs w:val="0"/>
          <w:caps w:val="0"/>
          <w:color w:val="auto"/>
          <w:spacing w:val="0"/>
          <w:sz w:val="32"/>
          <w:szCs w:val="32"/>
          <w:highlight w:val="none"/>
          <w:lang w:val="en-US" w:eastAsia="zh-CN"/>
        </w:rPr>
        <w:t>二</w:t>
      </w:r>
      <w:r>
        <w:rPr>
          <w:rStyle w:val="15"/>
          <w:rFonts w:hint="eastAsia" w:ascii="仿宋_GB2312" w:hAnsi="仿宋_GB2312" w:eastAsia="仿宋_GB2312" w:cs="仿宋_GB2312"/>
          <w:i w:val="0"/>
          <w:iCs w:val="0"/>
          <w:caps w:val="0"/>
          <w:color w:val="auto"/>
          <w:spacing w:val="0"/>
          <w:sz w:val="32"/>
          <w:szCs w:val="32"/>
          <w:highlight w:val="none"/>
        </w:rPr>
        <w:t>条</w:t>
      </w:r>
      <w:r>
        <w:rPr>
          <w:rStyle w:val="15"/>
          <w:rFonts w:hint="eastAsia" w:ascii="仿宋_GB2312" w:hAnsi="仿宋_GB2312" w:eastAsia="仿宋_GB2312" w:cs="仿宋_GB2312"/>
          <w:i w:val="0"/>
          <w:iCs w:val="0"/>
          <w:caps w:val="0"/>
          <w:color w:val="auto"/>
          <w:spacing w:val="0"/>
          <w:sz w:val="32"/>
          <w:szCs w:val="32"/>
          <w:highlight w:val="none"/>
          <w:lang w:val="en-US" w:eastAsia="zh-CN"/>
        </w:rPr>
        <w:t xml:space="preserve"> </w:t>
      </w:r>
      <w:r>
        <w:rPr>
          <w:rFonts w:hint="eastAsia" w:ascii="仿宋_GB2312" w:hAnsi="仿宋_GB2312" w:eastAsia="仿宋_GB2312" w:cs="仿宋_GB2312"/>
          <w:i w:val="0"/>
          <w:iCs w:val="0"/>
          <w:caps w:val="0"/>
          <w:color w:val="auto"/>
          <w:spacing w:val="8"/>
          <w:sz w:val="32"/>
          <w:szCs w:val="32"/>
          <w:highlight w:val="none"/>
          <w:shd w:val="clear" w:color="auto" w:fill="FFFFFF"/>
        </w:rPr>
        <w:t>根据违法行为的严重程度，一次记分的分值为12分、9分、6分、3分、1分</w:t>
      </w:r>
      <w:r>
        <w:rPr>
          <w:rFonts w:hint="eastAsia" w:ascii="仿宋_GB2312" w:hAnsi="仿宋_GB2312" w:eastAsia="仿宋_GB2312" w:cs="仿宋_GB2312"/>
          <w:i w:val="0"/>
          <w:iCs w:val="0"/>
          <w:caps w:val="0"/>
          <w:color w:val="auto"/>
          <w:spacing w:val="8"/>
          <w:sz w:val="32"/>
          <w:szCs w:val="32"/>
          <w:highlight w:val="none"/>
          <w:shd w:val="clear" w:color="auto" w:fill="FFFFFF"/>
          <w:lang w:eastAsia="zh-CN"/>
        </w:rPr>
        <w:t>。</w:t>
      </w:r>
    </w:p>
    <w:p w14:paraId="1B15C654">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40"/>
        <w:jc w:val="both"/>
        <w:textAlignment w:val="auto"/>
        <w:rPr>
          <w:rFonts w:hint="eastAsia" w:ascii="仿宋_GB2312" w:hAnsi="仿宋_GB2312" w:eastAsia="仿宋_GB2312" w:cs="仿宋_GB2312"/>
          <w:i w:val="0"/>
          <w:iCs w:val="0"/>
          <w:caps w:val="0"/>
          <w:color w:val="auto"/>
          <w:spacing w:val="0"/>
          <w:sz w:val="32"/>
          <w:szCs w:val="32"/>
          <w:highlight w:val="none"/>
          <w:lang w:eastAsia="zh-CN"/>
        </w:rPr>
      </w:pPr>
      <w:r>
        <w:rPr>
          <w:rStyle w:val="15"/>
          <w:rFonts w:hint="eastAsia" w:ascii="仿宋_GB2312" w:hAnsi="仿宋_GB2312" w:eastAsia="仿宋_GB2312" w:cs="仿宋_GB2312"/>
          <w:i w:val="0"/>
          <w:iCs w:val="0"/>
          <w:caps w:val="0"/>
          <w:color w:val="auto"/>
          <w:spacing w:val="0"/>
          <w:sz w:val="32"/>
          <w:szCs w:val="32"/>
          <w:highlight w:val="none"/>
        </w:rPr>
        <w:t>第</w:t>
      </w:r>
      <w:r>
        <w:rPr>
          <w:rStyle w:val="15"/>
          <w:rFonts w:hint="eastAsia" w:ascii="仿宋_GB2312" w:hAnsi="仿宋_GB2312" w:eastAsia="仿宋_GB2312" w:cs="仿宋_GB2312"/>
          <w:i w:val="0"/>
          <w:iCs w:val="0"/>
          <w:caps w:val="0"/>
          <w:color w:val="auto"/>
          <w:spacing w:val="0"/>
          <w:sz w:val="32"/>
          <w:szCs w:val="32"/>
          <w:highlight w:val="none"/>
          <w:lang w:val="en-US" w:eastAsia="zh-CN"/>
        </w:rPr>
        <w:t>三</w:t>
      </w:r>
      <w:r>
        <w:rPr>
          <w:rStyle w:val="15"/>
          <w:rFonts w:hint="eastAsia" w:ascii="仿宋_GB2312" w:hAnsi="仿宋_GB2312" w:eastAsia="仿宋_GB2312" w:cs="仿宋_GB2312"/>
          <w:i w:val="0"/>
          <w:iCs w:val="0"/>
          <w:caps w:val="0"/>
          <w:color w:val="auto"/>
          <w:spacing w:val="0"/>
          <w:sz w:val="32"/>
          <w:szCs w:val="32"/>
          <w:highlight w:val="none"/>
        </w:rPr>
        <w:t>条</w:t>
      </w:r>
      <w:r>
        <w:rPr>
          <w:rFonts w:hint="eastAsia" w:ascii="仿宋_GB2312" w:hAnsi="仿宋_GB2312" w:eastAsia="仿宋_GB2312" w:cs="仿宋_GB2312"/>
          <w:i w:val="0"/>
          <w:iCs w:val="0"/>
          <w:caps w:val="0"/>
          <w:color w:val="auto"/>
          <w:spacing w:val="0"/>
          <w:sz w:val="32"/>
          <w:szCs w:val="32"/>
          <w:highlight w:val="none"/>
          <w:lang w:val="en-US" w:eastAsia="zh-CN"/>
        </w:rPr>
        <w:t xml:space="preserve"> </w:t>
      </w:r>
      <w:r>
        <w:rPr>
          <w:rStyle w:val="15"/>
          <w:rFonts w:hint="eastAsia" w:ascii="仿宋_GB2312" w:hAnsi="仿宋_GB2312" w:eastAsia="仿宋_GB2312" w:cs="仿宋_GB2312"/>
          <w:b w:val="0"/>
          <w:bCs/>
          <w:i w:val="0"/>
          <w:iCs w:val="0"/>
          <w:caps w:val="0"/>
          <w:color w:val="auto"/>
          <w:spacing w:val="0"/>
          <w:sz w:val="32"/>
          <w:szCs w:val="32"/>
          <w:highlight w:val="none"/>
          <w:lang w:val="en-US" w:eastAsia="zh-CN"/>
        </w:rPr>
        <w:t>施工承包人</w:t>
      </w:r>
      <w:r>
        <w:rPr>
          <w:rFonts w:hint="eastAsia" w:ascii="仿宋_GB2312" w:hAnsi="仿宋_GB2312" w:eastAsia="仿宋_GB2312" w:cs="仿宋_GB2312"/>
          <w:i w:val="0"/>
          <w:iCs w:val="0"/>
          <w:caps w:val="0"/>
          <w:color w:val="auto"/>
          <w:spacing w:val="0"/>
          <w:sz w:val="32"/>
          <w:szCs w:val="32"/>
          <w:highlight w:val="none"/>
        </w:rPr>
        <w:t>有下列情形之一的，</w:t>
      </w:r>
      <w:r>
        <w:rPr>
          <w:rFonts w:hint="eastAsia" w:ascii="仿宋_GB2312" w:hAnsi="仿宋_GB2312" w:eastAsia="仿宋_GB2312" w:cs="仿宋_GB2312"/>
          <w:i w:val="0"/>
          <w:iCs w:val="0"/>
          <w:caps w:val="0"/>
          <w:color w:val="auto"/>
          <w:spacing w:val="8"/>
          <w:sz w:val="32"/>
          <w:szCs w:val="32"/>
          <w:highlight w:val="none"/>
          <w:shd w:val="clear" w:color="auto" w:fill="FFFFFF"/>
        </w:rPr>
        <w:t>一次记12分</w:t>
      </w:r>
      <w:r>
        <w:rPr>
          <w:rFonts w:hint="eastAsia" w:ascii="仿宋_GB2312" w:hAnsi="仿宋_GB2312" w:eastAsia="仿宋_GB2312" w:cs="仿宋_GB2312"/>
          <w:i w:val="0"/>
          <w:iCs w:val="0"/>
          <w:caps w:val="0"/>
          <w:color w:val="auto"/>
          <w:spacing w:val="0"/>
          <w:sz w:val="32"/>
          <w:szCs w:val="32"/>
          <w:highlight w:val="none"/>
          <w:lang w:eastAsia="zh-CN"/>
        </w:rPr>
        <w:t>。</w:t>
      </w:r>
    </w:p>
    <w:p w14:paraId="4EB78286">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540" w:leftChars="0" w:right="0" w:rightChars="0"/>
        <w:jc w:val="both"/>
        <w:textAlignment w:val="auto"/>
        <w:rPr>
          <w:rFonts w:hint="eastAsia" w:ascii="仿宋_GB2312" w:hAnsi="仿宋_GB2312" w:eastAsia="仿宋_GB2312" w:cs="仿宋_GB2312"/>
          <w:b w:val="0"/>
          <w:bCs w:val="0"/>
          <w:i w:val="0"/>
          <w:iCs w:val="0"/>
          <w:caps w:val="0"/>
          <w:color w:val="auto"/>
          <w:spacing w:val="0"/>
          <w:sz w:val="32"/>
          <w:szCs w:val="32"/>
          <w:highlight w:val="none"/>
          <w:lang w:eastAsia="zh-CN"/>
        </w:rPr>
      </w:pPr>
      <w:r>
        <w:rPr>
          <w:rFonts w:hint="eastAsia" w:ascii="仿宋_GB2312" w:hAnsi="仿宋_GB2312" w:eastAsia="仿宋_GB2312" w:cs="仿宋_GB2312"/>
          <w:b w:val="0"/>
          <w:bCs w:val="0"/>
          <w:color w:val="auto"/>
          <w:kern w:val="2"/>
          <w:sz w:val="32"/>
          <w:szCs w:val="32"/>
          <w:highlight w:val="none"/>
          <w:u w:val="none"/>
          <w:lang w:val="en-US" w:eastAsia="zh-CN" w:bidi="ar-SA"/>
        </w:rPr>
        <w:t>一、安全生产</w:t>
      </w:r>
    </w:p>
    <w:p w14:paraId="626E8595">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540" w:leftChars="0" w:right="0" w:rightChars="0"/>
        <w:jc w:val="both"/>
        <w:textAlignment w:val="auto"/>
        <w:rPr>
          <w:rFonts w:hint="eastAsia" w:ascii="仿宋_GB2312" w:hAnsi="仿宋_GB2312" w:eastAsia="仿宋_GB2312" w:cs="仿宋_GB2312"/>
          <w:i w:val="0"/>
          <w:iCs w:val="0"/>
          <w:caps w:val="0"/>
          <w:color w:val="auto"/>
          <w:spacing w:val="0"/>
          <w:sz w:val="32"/>
          <w:szCs w:val="32"/>
          <w:highlight w:val="none"/>
          <w:lang w:eastAsia="zh-CN"/>
        </w:rPr>
      </w:pP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lang w:val="en-US" w:eastAsia="zh-CN"/>
        </w:rPr>
        <w:t>一</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rPr>
        <w:t>发生特别重大事故</w:t>
      </w:r>
      <w:r>
        <w:rPr>
          <w:rFonts w:hint="eastAsia" w:ascii="仿宋_GB2312" w:hAnsi="仿宋_GB2312" w:eastAsia="仿宋_GB2312" w:cs="仿宋_GB2312"/>
          <w:i w:val="0"/>
          <w:iCs w:val="0"/>
          <w:caps w:val="0"/>
          <w:color w:val="auto"/>
          <w:spacing w:val="0"/>
          <w:sz w:val="32"/>
          <w:szCs w:val="32"/>
          <w:highlight w:val="none"/>
          <w:lang w:eastAsia="zh-CN"/>
        </w:rPr>
        <w:t>；</w:t>
      </w:r>
    </w:p>
    <w:p w14:paraId="362B3162">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540" w:leftChars="0" w:right="0" w:rightChars="0"/>
        <w:jc w:val="both"/>
        <w:textAlignment w:val="auto"/>
        <w:rPr>
          <w:rFonts w:hint="eastAsia" w:ascii="仿宋_GB2312" w:hAnsi="仿宋_GB2312" w:eastAsia="仿宋_GB2312" w:cs="仿宋_GB2312"/>
          <w:i w:val="0"/>
          <w:iCs w:val="0"/>
          <w:caps w:val="0"/>
          <w:color w:val="auto"/>
          <w:spacing w:val="0"/>
          <w:sz w:val="32"/>
          <w:szCs w:val="32"/>
          <w:highlight w:val="none"/>
          <w:lang w:eastAsia="zh-CN"/>
        </w:rPr>
      </w:pP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lang w:val="en-US" w:eastAsia="zh-CN"/>
        </w:rPr>
        <w:t>二</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rPr>
        <w:t>发生重大事故</w:t>
      </w:r>
      <w:r>
        <w:rPr>
          <w:rFonts w:hint="eastAsia" w:ascii="仿宋_GB2312" w:hAnsi="仿宋_GB2312" w:eastAsia="仿宋_GB2312" w:cs="仿宋_GB2312"/>
          <w:i w:val="0"/>
          <w:iCs w:val="0"/>
          <w:caps w:val="0"/>
          <w:color w:val="auto"/>
          <w:spacing w:val="0"/>
          <w:sz w:val="32"/>
          <w:szCs w:val="32"/>
          <w:highlight w:val="none"/>
          <w:lang w:eastAsia="zh-CN"/>
        </w:rPr>
        <w:t>。</w:t>
      </w:r>
    </w:p>
    <w:p w14:paraId="5D7132E6">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540" w:leftChars="0" w:right="0" w:rightChars="0"/>
        <w:jc w:val="both"/>
        <w:textAlignment w:val="auto"/>
        <w:rPr>
          <w:rFonts w:hint="eastAsia" w:ascii="仿宋_GB2312" w:hAnsi="仿宋_GB2312" w:eastAsia="仿宋_GB2312" w:cs="仿宋_GB2312"/>
          <w:i w:val="0"/>
          <w:iCs w:val="0"/>
          <w:caps w:val="0"/>
          <w:color w:val="auto"/>
          <w:spacing w:val="0"/>
          <w:sz w:val="32"/>
          <w:szCs w:val="32"/>
          <w:highlight w:val="none"/>
          <w:lang w:val="en-US" w:eastAsia="zh-CN"/>
        </w:rPr>
      </w:pPr>
      <w:r>
        <w:rPr>
          <w:rFonts w:hint="eastAsia" w:ascii="仿宋_GB2312" w:hAnsi="仿宋_GB2312" w:eastAsia="仿宋_GB2312" w:cs="仿宋_GB2312"/>
          <w:i w:val="0"/>
          <w:iCs w:val="0"/>
          <w:caps w:val="0"/>
          <w:color w:val="auto"/>
          <w:spacing w:val="0"/>
          <w:sz w:val="32"/>
          <w:szCs w:val="32"/>
          <w:highlight w:val="none"/>
          <w:lang w:val="en-US" w:eastAsia="zh-CN"/>
        </w:rPr>
        <w:t>二、招投标</w:t>
      </w:r>
    </w:p>
    <w:p w14:paraId="471D6737">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540" w:leftChars="0" w:right="0" w:rightChars="0"/>
        <w:jc w:val="both"/>
        <w:textAlignment w:val="auto"/>
        <w:rPr>
          <w:rFonts w:hint="eastAsia" w:ascii="仿宋_GB2312" w:hAnsi="仿宋_GB2312" w:eastAsia="仿宋_GB2312" w:cs="仿宋_GB2312"/>
          <w:i w:val="0"/>
          <w:iCs w:val="0"/>
          <w:caps w:val="0"/>
          <w:color w:val="auto"/>
          <w:spacing w:val="0"/>
          <w:sz w:val="32"/>
          <w:szCs w:val="32"/>
          <w:highlight w:val="none"/>
          <w:lang w:eastAsia="zh-CN"/>
        </w:rPr>
      </w:pPr>
      <w:r>
        <w:rPr>
          <w:rFonts w:hint="eastAsia" w:ascii="仿宋_GB2312" w:hAnsi="仿宋_GB2312" w:eastAsia="仿宋_GB2312" w:cs="仿宋_GB2312"/>
          <w:i w:val="0"/>
          <w:iCs w:val="0"/>
          <w:caps w:val="0"/>
          <w:color w:val="auto"/>
          <w:spacing w:val="0"/>
          <w:sz w:val="32"/>
          <w:szCs w:val="32"/>
          <w:highlight w:val="none"/>
          <w:lang w:val="en-US" w:eastAsia="zh-CN"/>
        </w:rPr>
        <w:t>招标过程存在违规操作被主管部门列入黑名单</w:t>
      </w:r>
      <w:r>
        <w:rPr>
          <w:rFonts w:hint="eastAsia" w:ascii="仿宋_GB2312" w:hAnsi="仿宋_GB2312" w:eastAsia="仿宋_GB2312" w:cs="仿宋_GB2312"/>
          <w:i w:val="0"/>
          <w:iCs w:val="0"/>
          <w:caps w:val="0"/>
          <w:color w:val="auto"/>
          <w:spacing w:val="0"/>
          <w:sz w:val="32"/>
          <w:szCs w:val="32"/>
          <w:highlight w:val="none"/>
          <w:lang w:eastAsia="zh-CN"/>
        </w:rPr>
        <w:t>。</w:t>
      </w:r>
    </w:p>
    <w:p w14:paraId="723BC8A9">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40"/>
        <w:jc w:val="both"/>
        <w:textAlignment w:val="auto"/>
        <w:rPr>
          <w:rFonts w:hint="eastAsia" w:ascii="仿宋_GB2312" w:hAnsi="仿宋_GB2312" w:eastAsia="仿宋_GB2312" w:cs="仿宋_GB2312"/>
          <w:i w:val="0"/>
          <w:iCs w:val="0"/>
          <w:caps w:val="0"/>
          <w:color w:val="auto"/>
          <w:spacing w:val="0"/>
          <w:sz w:val="32"/>
          <w:szCs w:val="32"/>
          <w:highlight w:val="none"/>
          <w:lang w:eastAsia="zh-CN"/>
        </w:rPr>
      </w:pPr>
      <w:r>
        <w:rPr>
          <w:rStyle w:val="15"/>
          <w:rFonts w:hint="eastAsia" w:ascii="仿宋_GB2312" w:hAnsi="仿宋_GB2312" w:eastAsia="仿宋_GB2312" w:cs="仿宋_GB2312"/>
          <w:i w:val="0"/>
          <w:iCs w:val="0"/>
          <w:caps w:val="0"/>
          <w:color w:val="auto"/>
          <w:spacing w:val="0"/>
          <w:sz w:val="32"/>
          <w:szCs w:val="32"/>
          <w:highlight w:val="none"/>
        </w:rPr>
        <w:t>第</w:t>
      </w:r>
      <w:r>
        <w:rPr>
          <w:rStyle w:val="15"/>
          <w:rFonts w:hint="eastAsia" w:ascii="仿宋_GB2312" w:hAnsi="仿宋_GB2312" w:eastAsia="仿宋_GB2312" w:cs="仿宋_GB2312"/>
          <w:i w:val="0"/>
          <w:iCs w:val="0"/>
          <w:caps w:val="0"/>
          <w:color w:val="auto"/>
          <w:spacing w:val="0"/>
          <w:sz w:val="32"/>
          <w:szCs w:val="32"/>
          <w:highlight w:val="none"/>
          <w:lang w:val="en-US" w:eastAsia="zh-CN"/>
        </w:rPr>
        <w:t>四</w:t>
      </w:r>
      <w:r>
        <w:rPr>
          <w:rStyle w:val="15"/>
          <w:rFonts w:hint="eastAsia" w:ascii="仿宋_GB2312" w:hAnsi="仿宋_GB2312" w:eastAsia="仿宋_GB2312" w:cs="仿宋_GB2312"/>
          <w:i w:val="0"/>
          <w:iCs w:val="0"/>
          <w:caps w:val="0"/>
          <w:color w:val="auto"/>
          <w:spacing w:val="0"/>
          <w:sz w:val="32"/>
          <w:szCs w:val="32"/>
          <w:highlight w:val="none"/>
        </w:rPr>
        <w:t>条</w:t>
      </w:r>
      <w:r>
        <w:rPr>
          <w:rFonts w:hint="eastAsia" w:ascii="仿宋_GB2312" w:hAnsi="仿宋_GB2312" w:eastAsia="仿宋_GB2312" w:cs="仿宋_GB2312"/>
          <w:i w:val="0"/>
          <w:iCs w:val="0"/>
          <w:caps w:val="0"/>
          <w:color w:val="auto"/>
          <w:spacing w:val="0"/>
          <w:sz w:val="32"/>
          <w:szCs w:val="32"/>
          <w:highlight w:val="none"/>
          <w:lang w:val="en-US" w:eastAsia="zh-CN"/>
        </w:rPr>
        <w:t xml:space="preserve"> </w:t>
      </w:r>
      <w:r>
        <w:rPr>
          <w:rStyle w:val="15"/>
          <w:rFonts w:hint="eastAsia" w:ascii="仿宋_GB2312" w:hAnsi="仿宋_GB2312" w:eastAsia="仿宋_GB2312" w:cs="仿宋_GB2312"/>
          <w:b w:val="0"/>
          <w:bCs/>
          <w:i w:val="0"/>
          <w:iCs w:val="0"/>
          <w:caps w:val="0"/>
          <w:color w:val="auto"/>
          <w:spacing w:val="0"/>
          <w:sz w:val="32"/>
          <w:szCs w:val="32"/>
          <w:highlight w:val="none"/>
          <w:lang w:val="en-US" w:eastAsia="zh-CN"/>
        </w:rPr>
        <w:t>施工承包人</w:t>
      </w:r>
      <w:r>
        <w:rPr>
          <w:rFonts w:hint="eastAsia" w:ascii="仿宋_GB2312" w:hAnsi="仿宋_GB2312" w:eastAsia="仿宋_GB2312" w:cs="仿宋_GB2312"/>
          <w:i w:val="0"/>
          <w:iCs w:val="0"/>
          <w:caps w:val="0"/>
          <w:color w:val="auto"/>
          <w:spacing w:val="0"/>
          <w:sz w:val="32"/>
          <w:szCs w:val="32"/>
          <w:highlight w:val="none"/>
        </w:rPr>
        <w:t>有下列情形之一的，</w:t>
      </w:r>
      <w:r>
        <w:rPr>
          <w:rFonts w:hint="eastAsia" w:ascii="仿宋_GB2312" w:hAnsi="仿宋_GB2312" w:eastAsia="仿宋_GB2312" w:cs="仿宋_GB2312"/>
          <w:i w:val="0"/>
          <w:iCs w:val="0"/>
          <w:caps w:val="0"/>
          <w:color w:val="auto"/>
          <w:spacing w:val="8"/>
          <w:sz w:val="32"/>
          <w:szCs w:val="32"/>
          <w:highlight w:val="none"/>
          <w:shd w:val="clear" w:color="auto" w:fill="FFFFFF"/>
        </w:rPr>
        <w:t>一次记</w:t>
      </w:r>
      <w:r>
        <w:rPr>
          <w:rFonts w:hint="eastAsia" w:ascii="仿宋_GB2312" w:hAnsi="仿宋_GB2312" w:eastAsia="仿宋_GB2312" w:cs="仿宋_GB2312"/>
          <w:i w:val="0"/>
          <w:iCs w:val="0"/>
          <w:caps w:val="0"/>
          <w:color w:val="auto"/>
          <w:spacing w:val="8"/>
          <w:sz w:val="32"/>
          <w:szCs w:val="32"/>
          <w:highlight w:val="none"/>
          <w:shd w:val="clear" w:color="auto" w:fill="FFFFFF"/>
          <w:lang w:val="en-US" w:eastAsia="zh-CN"/>
        </w:rPr>
        <w:t>9</w:t>
      </w:r>
      <w:r>
        <w:rPr>
          <w:rFonts w:hint="eastAsia" w:ascii="仿宋_GB2312" w:hAnsi="仿宋_GB2312" w:eastAsia="仿宋_GB2312" w:cs="仿宋_GB2312"/>
          <w:i w:val="0"/>
          <w:iCs w:val="0"/>
          <w:caps w:val="0"/>
          <w:color w:val="auto"/>
          <w:spacing w:val="8"/>
          <w:sz w:val="32"/>
          <w:szCs w:val="32"/>
          <w:highlight w:val="none"/>
          <w:shd w:val="clear" w:color="auto" w:fill="FFFFFF"/>
        </w:rPr>
        <w:t>分</w:t>
      </w:r>
      <w:r>
        <w:rPr>
          <w:rFonts w:hint="eastAsia" w:ascii="仿宋_GB2312" w:hAnsi="仿宋_GB2312" w:eastAsia="仿宋_GB2312" w:cs="仿宋_GB2312"/>
          <w:i w:val="0"/>
          <w:iCs w:val="0"/>
          <w:caps w:val="0"/>
          <w:color w:val="auto"/>
          <w:spacing w:val="8"/>
          <w:sz w:val="32"/>
          <w:szCs w:val="32"/>
          <w:highlight w:val="none"/>
          <w:shd w:val="clear" w:color="auto" w:fill="FFFFFF"/>
          <w:lang w:eastAsia="zh-CN"/>
        </w:rPr>
        <w:t>。</w:t>
      </w:r>
    </w:p>
    <w:p w14:paraId="72851293">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540" w:leftChars="0" w:right="0" w:rightChars="0"/>
        <w:jc w:val="both"/>
        <w:textAlignment w:val="auto"/>
        <w:rPr>
          <w:rFonts w:hint="eastAsia" w:ascii="仿宋_GB2312" w:hAnsi="仿宋_GB2312" w:eastAsia="仿宋_GB2312" w:cs="仿宋_GB2312"/>
          <w:i w:val="0"/>
          <w:iCs w:val="0"/>
          <w:caps w:val="0"/>
          <w:color w:val="auto"/>
          <w:spacing w:val="0"/>
          <w:sz w:val="32"/>
          <w:szCs w:val="32"/>
          <w:highlight w:val="none"/>
          <w:lang w:eastAsia="zh-CN"/>
        </w:rPr>
      </w:pPr>
      <w:r>
        <w:rPr>
          <w:rFonts w:hint="eastAsia" w:ascii="仿宋_GB2312" w:hAnsi="仿宋_GB2312" w:eastAsia="仿宋_GB2312" w:cs="仿宋_GB2312"/>
          <w:b w:val="0"/>
          <w:bCs w:val="0"/>
          <w:color w:val="auto"/>
          <w:kern w:val="2"/>
          <w:sz w:val="32"/>
          <w:szCs w:val="32"/>
          <w:highlight w:val="none"/>
          <w:u w:val="none"/>
          <w:lang w:val="en-US" w:eastAsia="zh-CN" w:bidi="ar-SA"/>
        </w:rPr>
        <w:t>一、安全生产</w:t>
      </w:r>
    </w:p>
    <w:p w14:paraId="04A393B2">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960" w:firstLineChars="300"/>
        <w:jc w:val="both"/>
        <w:textAlignment w:val="auto"/>
        <w:rPr>
          <w:rFonts w:hint="eastAsia" w:ascii="仿宋_GB2312" w:hAnsi="仿宋_GB2312" w:eastAsia="仿宋_GB2312" w:cs="仿宋_GB2312"/>
          <w:i w:val="0"/>
          <w:iCs w:val="0"/>
          <w:caps w:val="0"/>
          <w:color w:val="auto"/>
          <w:spacing w:val="0"/>
          <w:sz w:val="32"/>
          <w:szCs w:val="32"/>
          <w:highlight w:val="none"/>
          <w:lang w:eastAsia="zh-CN"/>
        </w:rPr>
      </w:pPr>
      <w:r>
        <w:rPr>
          <w:rFonts w:hint="eastAsia" w:ascii="仿宋_GB2312" w:hAnsi="仿宋_GB2312" w:eastAsia="仿宋_GB2312" w:cs="仿宋_GB2312"/>
          <w:i w:val="0"/>
          <w:iCs w:val="0"/>
          <w:caps w:val="0"/>
          <w:color w:val="auto"/>
          <w:spacing w:val="0"/>
          <w:sz w:val="32"/>
          <w:szCs w:val="32"/>
          <w:highlight w:val="none"/>
        </w:rPr>
        <w:t>发生</w:t>
      </w:r>
      <w:r>
        <w:rPr>
          <w:rFonts w:hint="eastAsia" w:ascii="仿宋_GB2312" w:hAnsi="仿宋_GB2312" w:eastAsia="仿宋_GB2312" w:cs="仿宋_GB2312"/>
          <w:i w:val="0"/>
          <w:iCs w:val="0"/>
          <w:caps w:val="0"/>
          <w:color w:val="auto"/>
          <w:spacing w:val="0"/>
          <w:sz w:val="32"/>
          <w:szCs w:val="32"/>
          <w:highlight w:val="none"/>
          <w:lang w:val="en-US" w:eastAsia="zh-CN"/>
        </w:rPr>
        <w:t>较</w:t>
      </w:r>
      <w:r>
        <w:rPr>
          <w:rFonts w:hint="eastAsia" w:ascii="仿宋_GB2312" w:hAnsi="仿宋_GB2312" w:eastAsia="仿宋_GB2312" w:cs="仿宋_GB2312"/>
          <w:i w:val="0"/>
          <w:iCs w:val="0"/>
          <w:caps w:val="0"/>
          <w:color w:val="auto"/>
          <w:spacing w:val="0"/>
          <w:sz w:val="32"/>
          <w:szCs w:val="32"/>
          <w:highlight w:val="none"/>
        </w:rPr>
        <w:t>大事故</w:t>
      </w:r>
      <w:r>
        <w:rPr>
          <w:rFonts w:hint="eastAsia" w:ascii="仿宋_GB2312" w:hAnsi="仿宋_GB2312" w:eastAsia="仿宋_GB2312" w:cs="仿宋_GB2312"/>
          <w:i w:val="0"/>
          <w:iCs w:val="0"/>
          <w:caps w:val="0"/>
          <w:color w:val="auto"/>
          <w:spacing w:val="0"/>
          <w:sz w:val="32"/>
          <w:szCs w:val="32"/>
          <w:highlight w:val="none"/>
          <w:lang w:eastAsia="zh-CN"/>
        </w:rPr>
        <w:t>。</w:t>
      </w:r>
    </w:p>
    <w:p w14:paraId="1BF5A8C3">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lang w:val="en-US" w:eastAsia="zh-CN"/>
        </w:rPr>
      </w:pPr>
      <w:r>
        <w:rPr>
          <w:rFonts w:hint="eastAsia" w:ascii="仿宋_GB2312" w:hAnsi="仿宋_GB2312" w:eastAsia="仿宋_GB2312" w:cs="仿宋_GB2312"/>
          <w:i w:val="0"/>
          <w:iCs w:val="0"/>
          <w:caps w:val="0"/>
          <w:color w:val="auto"/>
          <w:spacing w:val="0"/>
          <w:sz w:val="32"/>
          <w:szCs w:val="32"/>
          <w:highlight w:val="none"/>
          <w:lang w:val="en-US" w:eastAsia="zh-CN"/>
        </w:rPr>
        <w:t>二、工程质量</w:t>
      </w:r>
    </w:p>
    <w:p w14:paraId="28FC1931">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lang w:eastAsia="zh-CN"/>
        </w:rPr>
      </w:pPr>
      <w:r>
        <w:rPr>
          <w:rFonts w:hint="eastAsia" w:ascii="仿宋_GB2312" w:hAnsi="仿宋_GB2312" w:eastAsia="仿宋_GB2312" w:cs="仿宋_GB2312"/>
          <w:i w:val="0"/>
          <w:iCs w:val="0"/>
          <w:caps w:val="0"/>
          <w:color w:val="auto"/>
          <w:spacing w:val="0"/>
          <w:sz w:val="32"/>
          <w:szCs w:val="32"/>
          <w:highlight w:val="none"/>
          <w:lang w:val="en-US" w:eastAsia="zh-CN"/>
        </w:rPr>
        <w:t>工程材料检查不符合合同约定，单宗或批次材料价值在200万元以上。</w:t>
      </w:r>
    </w:p>
    <w:p w14:paraId="2EF6BFD2">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540" w:leftChars="0" w:right="0" w:rightChars="0"/>
        <w:jc w:val="both"/>
        <w:textAlignment w:val="auto"/>
        <w:rPr>
          <w:rFonts w:hint="eastAsia" w:ascii="仿宋_GB2312" w:hAnsi="仿宋_GB2312" w:eastAsia="仿宋_GB2312" w:cs="仿宋_GB2312"/>
          <w:i w:val="0"/>
          <w:iCs w:val="0"/>
          <w:caps w:val="0"/>
          <w:color w:val="auto"/>
          <w:spacing w:val="0"/>
          <w:sz w:val="32"/>
          <w:szCs w:val="32"/>
          <w:highlight w:val="none"/>
          <w:lang w:val="en-US" w:eastAsia="zh-CN"/>
        </w:rPr>
      </w:pPr>
      <w:r>
        <w:rPr>
          <w:rFonts w:hint="eastAsia" w:ascii="仿宋_GB2312" w:hAnsi="仿宋_GB2312" w:eastAsia="仿宋_GB2312" w:cs="仿宋_GB2312"/>
          <w:i w:val="0"/>
          <w:iCs w:val="0"/>
          <w:caps w:val="0"/>
          <w:color w:val="auto"/>
          <w:spacing w:val="0"/>
          <w:sz w:val="32"/>
          <w:szCs w:val="32"/>
          <w:highlight w:val="none"/>
          <w:lang w:val="en-US" w:eastAsia="zh-CN"/>
        </w:rPr>
        <w:t>三、现场隐患</w:t>
      </w:r>
    </w:p>
    <w:p w14:paraId="51F97B5F">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val="en-US" w:eastAsia="zh-CN"/>
        </w:rPr>
        <w:t>承包人在政府行政主管部门组织的质量安全环保检查中，被发现存在严重的质量安全环保隐患，造成严重社会影响或累计被通报、被曝光2次及以上。</w:t>
      </w:r>
    </w:p>
    <w:p w14:paraId="4C2AD368">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630" w:leftChars="0" w:right="0" w:rightChars="0"/>
        <w:jc w:val="both"/>
        <w:textAlignment w:val="auto"/>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lang w:val="en-US" w:eastAsia="zh-CN"/>
        </w:rPr>
        <w:t>四、</w:t>
      </w:r>
      <w:r>
        <w:rPr>
          <w:rFonts w:hint="eastAsia" w:ascii="仿宋_GB2312" w:hAnsi="仿宋_GB2312" w:eastAsia="仿宋_GB2312" w:cs="仿宋_GB2312"/>
          <w:color w:val="auto"/>
          <w:kern w:val="0"/>
          <w:sz w:val="32"/>
          <w:szCs w:val="32"/>
          <w:highlight w:val="none"/>
          <w:u w:val="none"/>
        </w:rPr>
        <w:t>工程分转包</w:t>
      </w:r>
    </w:p>
    <w:p w14:paraId="7F1B67D6">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200" w:right="0" w:rightChars="0"/>
        <w:jc w:val="both"/>
        <w:textAlignment w:val="auto"/>
        <w:rPr>
          <w:rFonts w:hint="eastAsia" w:ascii="仿宋_GB2312" w:hAnsi="仿宋_GB2312" w:eastAsia="仿宋_GB2312" w:cs="仿宋_GB2312"/>
          <w:i w:val="0"/>
          <w:iCs w:val="0"/>
          <w:caps w:val="0"/>
          <w:color w:val="auto"/>
          <w:spacing w:val="0"/>
          <w:sz w:val="32"/>
          <w:szCs w:val="32"/>
          <w:highlight w:val="none"/>
          <w:u w:val="none"/>
          <w:lang w:eastAsia="zh-CN"/>
        </w:rPr>
      </w:pPr>
      <w:r>
        <w:rPr>
          <w:rFonts w:hint="eastAsia" w:ascii="仿宋_GB2312" w:hAnsi="仿宋_GB2312" w:eastAsia="仿宋_GB2312" w:cs="仿宋_GB2312"/>
          <w:color w:val="auto"/>
          <w:kern w:val="0"/>
          <w:sz w:val="32"/>
          <w:szCs w:val="32"/>
          <w:highlight w:val="none"/>
          <w:u w:val="none"/>
        </w:rPr>
        <w:t>承包人擅自分包或者转包工程</w:t>
      </w:r>
      <w:r>
        <w:rPr>
          <w:rFonts w:hint="eastAsia" w:ascii="仿宋_GB2312" w:hAnsi="仿宋_GB2312" w:eastAsia="仿宋_GB2312" w:cs="仿宋_GB2312"/>
          <w:color w:val="auto"/>
          <w:kern w:val="0"/>
          <w:sz w:val="32"/>
          <w:szCs w:val="32"/>
          <w:highlight w:val="none"/>
          <w:u w:val="none"/>
          <w:lang w:eastAsia="zh-CN"/>
        </w:rPr>
        <w:t>。</w:t>
      </w:r>
    </w:p>
    <w:p w14:paraId="1481C5B6">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40"/>
        <w:jc w:val="both"/>
        <w:textAlignment w:val="auto"/>
        <w:rPr>
          <w:rFonts w:hint="eastAsia" w:ascii="仿宋_GB2312" w:hAnsi="仿宋_GB2312" w:eastAsia="仿宋_GB2312" w:cs="仿宋_GB2312"/>
          <w:i w:val="0"/>
          <w:iCs w:val="0"/>
          <w:caps w:val="0"/>
          <w:color w:val="auto"/>
          <w:spacing w:val="0"/>
          <w:sz w:val="32"/>
          <w:szCs w:val="32"/>
          <w:highlight w:val="none"/>
          <w:lang w:eastAsia="zh-CN"/>
        </w:rPr>
      </w:pPr>
      <w:r>
        <w:rPr>
          <w:rStyle w:val="15"/>
          <w:rFonts w:hint="eastAsia" w:ascii="仿宋_GB2312" w:hAnsi="仿宋_GB2312" w:eastAsia="仿宋_GB2312" w:cs="仿宋_GB2312"/>
          <w:i w:val="0"/>
          <w:iCs w:val="0"/>
          <w:caps w:val="0"/>
          <w:color w:val="auto"/>
          <w:spacing w:val="0"/>
          <w:sz w:val="32"/>
          <w:szCs w:val="32"/>
          <w:highlight w:val="none"/>
        </w:rPr>
        <w:t>第</w:t>
      </w:r>
      <w:r>
        <w:rPr>
          <w:rStyle w:val="15"/>
          <w:rFonts w:hint="eastAsia" w:ascii="仿宋_GB2312" w:hAnsi="仿宋_GB2312" w:eastAsia="仿宋_GB2312" w:cs="仿宋_GB2312"/>
          <w:i w:val="0"/>
          <w:iCs w:val="0"/>
          <w:caps w:val="0"/>
          <w:color w:val="auto"/>
          <w:spacing w:val="0"/>
          <w:sz w:val="32"/>
          <w:szCs w:val="32"/>
          <w:highlight w:val="none"/>
          <w:lang w:val="en-US" w:eastAsia="zh-CN"/>
        </w:rPr>
        <w:t>五</w:t>
      </w:r>
      <w:r>
        <w:rPr>
          <w:rStyle w:val="15"/>
          <w:rFonts w:hint="eastAsia" w:ascii="仿宋_GB2312" w:hAnsi="仿宋_GB2312" w:eastAsia="仿宋_GB2312" w:cs="仿宋_GB2312"/>
          <w:i w:val="0"/>
          <w:iCs w:val="0"/>
          <w:caps w:val="0"/>
          <w:color w:val="auto"/>
          <w:spacing w:val="0"/>
          <w:sz w:val="32"/>
          <w:szCs w:val="32"/>
          <w:highlight w:val="none"/>
        </w:rPr>
        <w:t>条</w:t>
      </w:r>
      <w:r>
        <w:rPr>
          <w:rFonts w:hint="eastAsia" w:ascii="仿宋_GB2312" w:hAnsi="仿宋_GB2312" w:eastAsia="仿宋_GB2312" w:cs="仿宋_GB2312"/>
          <w:i w:val="0"/>
          <w:iCs w:val="0"/>
          <w:caps w:val="0"/>
          <w:color w:val="auto"/>
          <w:spacing w:val="0"/>
          <w:sz w:val="32"/>
          <w:szCs w:val="32"/>
          <w:highlight w:val="none"/>
          <w:lang w:val="en-US" w:eastAsia="zh-CN"/>
        </w:rPr>
        <w:t xml:space="preserve"> </w:t>
      </w:r>
      <w:r>
        <w:rPr>
          <w:rStyle w:val="15"/>
          <w:rFonts w:hint="eastAsia" w:ascii="仿宋_GB2312" w:hAnsi="仿宋_GB2312" w:eastAsia="仿宋_GB2312" w:cs="仿宋_GB2312"/>
          <w:b w:val="0"/>
          <w:bCs/>
          <w:i w:val="0"/>
          <w:iCs w:val="0"/>
          <w:caps w:val="0"/>
          <w:color w:val="auto"/>
          <w:spacing w:val="0"/>
          <w:sz w:val="32"/>
          <w:szCs w:val="32"/>
          <w:highlight w:val="none"/>
          <w:lang w:val="en-US" w:eastAsia="zh-CN"/>
        </w:rPr>
        <w:t>施工承包人</w:t>
      </w:r>
      <w:r>
        <w:rPr>
          <w:rFonts w:hint="eastAsia" w:ascii="仿宋_GB2312" w:hAnsi="仿宋_GB2312" w:eastAsia="仿宋_GB2312" w:cs="仿宋_GB2312"/>
          <w:b w:val="0"/>
          <w:bCs/>
          <w:i w:val="0"/>
          <w:iCs w:val="0"/>
          <w:caps w:val="0"/>
          <w:color w:val="auto"/>
          <w:spacing w:val="0"/>
          <w:sz w:val="32"/>
          <w:szCs w:val="32"/>
          <w:highlight w:val="none"/>
        </w:rPr>
        <w:t>有下</w:t>
      </w:r>
      <w:r>
        <w:rPr>
          <w:rFonts w:hint="eastAsia" w:ascii="仿宋_GB2312" w:hAnsi="仿宋_GB2312" w:eastAsia="仿宋_GB2312" w:cs="仿宋_GB2312"/>
          <w:i w:val="0"/>
          <w:iCs w:val="0"/>
          <w:caps w:val="0"/>
          <w:color w:val="auto"/>
          <w:spacing w:val="0"/>
          <w:sz w:val="32"/>
          <w:szCs w:val="32"/>
          <w:highlight w:val="none"/>
        </w:rPr>
        <w:t>列情形之一的，</w:t>
      </w:r>
      <w:r>
        <w:rPr>
          <w:rFonts w:hint="eastAsia" w:ascii="仿宋_GB2312" w:hAnsi="仿宋_GB2312" w:eastAsia="仿宋_GB2312" w:cs="仿宋_GB2312"/>
          <w:i w:val="0"/>
          <w:iCs w:val="0"/>
          <w:caps w:val="0"/>
          <w:color w:val="auto"/>
          <w:spacing w:val="8"/>
          <w:sz w:val="32"/>
          <w:szCs w:val="32"/>
          <w:highlight w:val="none"/>
          <w:shd w:val="clear" w:color="auto" w:fill="FFFFFF"/>
        </w:rPr>
        <w:t>一次记</w:t>
      </w:r>
      <w:r>
        <w:rPr>
          <w:rFonts w:hint="eastAsia" w:ascii="仿宋_GB2312" w:hAnsi="仿宋_GB2312" w:eastAsia="仿宋_GB2312" w:cs="仿宋_GB2312"/>
          <w:i w:val="0"/>
          <w:iCs w:val="0"/>
          <w:caps w:val="0"/>
          <w:color w:val="auto"/>
          <w:spacing w:val="8"/>
          <w:sz w:val="32"/>
          <w:szCs w:val="32"/>
          <w:highlight w:val="none"/>
          <w:shd w:val="clear" w:color="auto" w:fill="FFFFFF"/>
          <w:lang w:val="en-US" w:eastAsia="zh-CN"/>
        </w:rPr>
        <w:t>6</w:t>
      </w:r>
      <w:r>
        <w:rPr>
          <w:rFonts w:hint="eastAsia" w:ascii="仿宋_GB2312" w:hAnsi="仿宋_GB2312" w:eastAsia="仿宋_GB2312" w:cs="仿宋_GB2312"/>
          <w:i w:val="0"/>
          <w:iCs w:val="0"/>
          <w:caps w:val="0"/>
          <w:color w:val="auto"/>
          <w:spacing w:val="8"/>
          <w:sz w:val="32"/>
          <w:szCs w:val="32"/>
          <w:highlight w:val="none"/>
          <w:shd w:val="clear" w:color="auto" w:fill="FFFFFF"/>
        </w:rPr>
        <w:t>分</w:t>
      </w:r>
      <w:r>
        <w:rPr>
          <w:rFonts w:hint="eastAsia" w:ascii="仿宋_GB2312" w:hAnsi="仿宋_GB2312" w:eastAsia="仿宋_GB2312" w:cs="仿宋_GB2312"/>
          <w:i w:val="0"/>
          <w:iCs w:val="0"/>
          <w:caps w:val="0"/>
          <w:color w:val="auto"/>
          <w:spacing w:val="0"/>
          <w:sz w:val="32"/>
          <w:szCs w:val="32"/>
          <w:highlight w:val="none"/>
          <w:lang w:eastAsia="zh-CN"/>
        </w:rPr>
        <w:t>。</w:t>
      </w:r>
    </w:p>
    <w:p w14:paraId="455CBACA">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lang w:val="en-US" w:eastAsia="zh-CN"/>
        </w:rPr>
      </w:pPr>
      <w:r>
        <w:rPr>
          <w:rFonts w:hint="eastAsia" w:ascii="仿宋_GB2312" w:hAnsi="仿宋_GB2312" w:eastAsia="仿宋_GB2312" w:cs="仿宋_GB2312"/>
          <w:i w:val="0"/>
          <w:iCs w:val="0"/>
          <w:caps w:val="0"/>
          <w:color w:val="auto"/>
          <w:spacing w:val="0"/>
          <w:sz w:val="32"/>
          <w:szCs w:val="32"/>
          <w:highlight w:val="none"/>
          <w:lang w:val="en-US" w:eastAsia="zh-CN"/>
        </w:rPr>
        <w:t>一、安全生产</w:t>
      </w:r>
    </w:p>
    <w:p w14:paraId="5B74CA19">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lang w:eastAsia="zh-CN"/>
        </w:rPr>
      </w:pP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lang w:val="en-US" w:eastAsia="zh-CN"/>
        </w:rPr>
        <w:t>一</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rPr>
        <w:t>发生</w:t>
      </w:r>
      <w:r>
        <w:rPr>
          <w:rFonts w:hint="eastAsia" w:ascii="仿宋_GB2312" w:hAnsi="仿宋_GB2312" w:eastAsia="仿宋_GB2312" w:cs="仿宋_GB2312"/>
          <w:i w:val="0"/>
          <w:iCs w:val="0"/>
          <w:caps w:val="0"/>
          <w:color w:val="auto"/>
          <w:spacing w:val="0"/>
          <w:sz w:val="32"/>
          <w:szCs w:val="32"/>
          <w:highlight w:val="none"/>
          <w:lang w:val="en-US" w:eastAsia="zh-CN"/>
        </w:rPr>
        <w:t>一般</w:t>
      </w:r>
      <w:r>
        <w:rPr>
          <w:rFonts w:hint="eastAsia" w:ascii="仿宋_GB2312" w:hAnsi="仿宋_GB2312" w:eastAsia="仿宋_GB2312" w:cs="仿宋_GB2312"/>
          <w:i w:val="0"/>
          <w:iCs w:val="0"/>
          <w:caps w:val="0"/>
          <w:color w:val="auto"/>
          <w:spacing w:val="0"/>
          <w:sz w:val="32"/>
          <w:szCs w:val="32"/>
          <w:highlight w:val="none"/>
        </w:rPr>
        <w:t>事故</w:t>
      </w:r>
      <w:r>
        <w:rPr>
          <w:rFonts w:hint="eastAsia" w:ascii="仿宋_GB2312" w:hAnsi="仿宋_GB2312" w:eastAsia="仿宋_GB2312" w:cs="仿宋_GB2312"/>
          <w:i w:val="0"/>
          <w:iCs w:val="0"/>
          <w:caps w:val="0"/>
          <w:color w:val="auto"/>
          <w:spacing w:val="0"/>
          <w:sz w:val="32"/>
          <w:szCs w:val="32"/>
          <w:highlight w:val="none"/>
          <w:lang w:eastAsia="zh-CN"/>
        </w:rPr>
        <w:t>的；</w:t>
      </w:r>
    </w:p>
    <w:p w14:paraId="534642DD">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lang w:val="en-US" w:eastAsia="zh-CN"/>
        </w:rPr>
        <w:t>二</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color w:val="auto"/>
          <w:sz w:val="32"/>
          <w:szCs w:val="32"/>
          <w:highlight w:val="none"/>
          <w:u w:val="none"/>
          <w:lang w:val="en-US" w:eastAsia="zh-CN"/>
        </w:rPr>
        <w:t>存在国家现行《房屋市政工程生产安全重大事故隐患判定标准》规定范围内的安全重大事故隐患；</w:t>
      </w:r>
    </w:p>
    <w:p w14:paraId="68D40610">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color w:val="auto"/>
          <w:kern w:val="2"/>
          <w:sz w:val="32"/>
          <w:szCs w:val="32"/>
          <w:highlight w:val="none"/>
          <w:u w:val="none"/>
          <w:lang w:val="en-US" w:eastAsia="zh-CN" w:bidi="ar-SA"/>
        </w:rPr>
      </w:pP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lang w:val="en-US" w:eastAsia="zh-CN"/>
        </w:rPr>
        <w:t>三</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color w:val="auto"/>
          <w:kern w:val="2"/>
          <w:sz w:val="32"/>
          <w:szCs w:val="32"/>
          <w:highlight w:val="none"/>
          <w:u w:val="none"/>
          <w:lang w:val="en-US" w:eastAsia="zh-CN" w:bidi="ar-SA"/>
        </w:rPr>
        <w:t>涉及危大或超危大工程的项目，未编制危大工程专项方案或危大工程专项方案未进行审批、超危大工程未进行专家论证或现场未按已论证方案实施。</w:t>
      </w:r>
    </w:p>
    <w:p w14:paraId="0BD92A37">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lang w:val="en-US" w:eastAsia="zh-CN"/>
        </w:rPr>
      </w:pPr>
      <w:r>
        <w:rPr>
          <w:rFonts w:hint="eastAsia" w:ascii="仿宋_GB2312" w:hAnsi="仿宋_GB2312" w:eastAsia="仿宋_GB2312" w:cs="仿宋_GB2312"/>
          <w:i w:val="0"/>
          <w:iCs w:val="0"/>
          <w:caps w:val="0"/>
          <w:color w:val="auto"/>
          <w:spacing w:val="0"/>
          <w:sz w:val="32"/>
          <w:szCs w:val="32"/>
          <w:highlight w:val="none"/>
          <w:lang w:val="en-US" w:eastAsia="zh-CN"/>
        </w:rPr>
        <w:t>二、工程质量</w:t>
      </w:r>
    </w:p>
    <w:p w14:paraId="1EBCD7A2">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color w:val="auto"/>
          <w:sz w:val="32"/>
          <w:szCs w:val="32"/>
          <w:highlight w:val="none"/>
          <w:u w:val="none"/>
          <w:lang w:val="en-US" w:eastAsia="zh-CN"/>
        </w:rPr>
        <w:t>（一）擅自更改设计，不按图施工的；</w:t>
      </w:r>
    </w:p>
    <w:p w14:paraId="162540B5">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lang w:eastAsia="zh-CN"/>
        </w:rPr>
      </w:pPr>
      <w:r>
        <w:rPr>
          <w:rFonts w:hint="eastAsia" w:ascii="仿宋_GB2312" w:hAnsi="仿宋_GB2312" w:eastAsia="仿宋_GB2312" w:cs="仿宋_GB2312"/>
          <w:i w:val="0"/>
          <w:iCs w:val="0"/>
          <w:caps w:val="0"/>
          <w:color w:val="auto"/>
          <w:spacing w:val="0"/>
          <w:sz w:val="32"/>
          <w:szCs w:val="32"/>
          <w:highlight w:val="none"/>
          <w:lang w:val="en-US" w:eastAsia="zh-CN"/>
        </w:rPr>
        <w:t>（二）工程材料检查不符合合同约定，单宗或批次材料价值在100万元-200万元（含200万元）；</w:t>
      </w:r>
    </w:p>
    <w:p w14:paraId="032434C3">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lang w:eastAsia="zh-CN"/>
        </w:rPr>
      </w:pP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lang w:val="en-US" w:eastAsia="zh-CN"/>
        </w:rPr>
        <w:t>三</w:t>
      </w:r>
      <w:r>
        <w:rPr>
          <w:rFonts w:hint="eastAsia" w:ascii="仿宋_GB2312" w:hAnsi="仿宋_GB2312" w:eastAsia="仿宋_GB2312" w:cs="仿宋_GB2312"/>
          <w:i w:val="0"/>
          <w:iCs w:val="0"/>
          <w:caps w:val="0"/>
          <w:color w:val="auto"/>
          <w:spacing w:val="0"/>
          <w:sz w:val="32"/>
          <w:szCs w:val="32"/>
          <w:highlight w:val="none"/>
          <w:lang w:eastAsia="zh-CN"/>
        </w:rPr>
        <w:t>）非发包人原因，承包人违反</w:t>
      </w:r>
      <w:r>
        <w:rPr>
          <w:rFonts w:hint="eastAsia" w:ascii="仿宋_GB2312" w:hAnsi="仿宋_GB2312" w:eastAsia="仿宋_GB2312" w:cs="仿宋_GB2312"/>
          <w:i w:val="0"/>
          <w:iCs w:val="0"/>
          <w:caps w:val="0"/>
          <w:color w:val="auto"/>
          <w:spacing w:val="0"/>
          <w:sz w:val="32"/>
          <w:szCs w:val="32"/>
          <w:highlight w:val="none"/>
          <w:lang w:val="en-US" w:eastAsia="zh-CN"/>
        </w:rPr>
        <w:t>合同</w:t>
      </w:r>
      <w:r>
        <w:rPr>
          <w:rFonts w:hint="eastAsia" w:ascii="仿宋_GB2312" w:hAnsi="仿宋_GB2312" w:eastAsia="仿宋_GB2312" w:cs="仿宋_GB2312"/>
          <w:i w:val="0"/>
          <w:iCs w:val="0"/>
          <w:caps w:val="0"/>
          <w:color w:val="auto"/>
          <w:spacing w:val="0"/>
          <w:sz w:val="32"/>
          <w:szCs w:val="32"/>
          <w:highlight w:val="none"/>
          <w:lang w:eastAsia="zh-CN"/>
        </w:rPr>
        <w:t>约定延期开工，</w:t>
      </w:r>
      <w:r>
        <w:rPr>
          <w:rFonts w:hint="eastAsia" w:ascii="仿宋_GB2312" w:hAnsi="仿宋_GB2312" w:eastAsia="仿宋_GB2312" w:cs="仿宋_GB2312"/>
          <w:i w:val="0"/>
          <w:iCs w:val="0"/>
          <w:caps w:val="0"/>
          <w:color w:val="auto"/>
          <w:spacing w:val="0"/>
          <w:sz w:val="32"/>
          <w:szCs w:val="32"/>
          <w:highlight w:val="none"/>
          <w:lang w:val="en-US" w:eastAsia="zh-CN"/>
        </w:rPr>
        <w:t>延期开工小于10天</w:t>
      </w:r>
      <w:r>
        <w:rPr>
          <w:rFonts w:hint="eastAsia" w:ascii="仿宋_GB2312" w:hAnsi="仿宋_GB2312" w:eastAsia="仿宋_GB2312" w:cs="仿宋_GB2312"/>
          <w:i w:val="0"/>
          <w:iCs w:val="0"/>
          <w:caps w:val="0"/>
          <w:color w:val="auto"/>
          <w:spacing w:val="0"/>
          <w:sz w:val="32"/>
          <w:szCs w:val="32"/>
          <w:highlight w:val="none"/>
          <w:lang w:eastAsia="zh-CN"/>
        </w:rPr>
        <w:t>；</w:t>
      </w:r>
    </w:p>
    <w:p w14:paraId="18EE4C1F">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lang w:eastAsia="zh-CN"/>
        </w:rPr>
      </w:pPr>
      <w:r>
        <w:rPr>
          <w:rFonts w:hint="eastAsia" w:ascii="仿宋_GB2312" w:hAnsi="仿宋_GB2312" w:eastAsia="仿宋_GB2312" w:cs="仿宋_GB2312"/>
          <w:color w:val="auto"/>
          <w:sz w:val="32"/>
          <w:szCs w:val="32"/>
          <w:highlight w:val="none"/>
          <w:u w:val="none"/>
          <w:lang w:val="en-US" w:eastAsia="zh-CN"/>
        </w:rPr>
        <w:t>（四）</w:t>
      </w:r>
      <w:r>
        <w:rPr>
          <w:rFonts w:hint="eastAsia" w:ascii="仿宋_GB2312" w:hAnsi="仿宋_GB2312" w:eastAsia="仿宋_GB2312" w:cs="仿宋_GB2312"/>
          <w:color w:val="auto"/>
          <w:kern w:val="0"/>
          <w:sz w:val="32"/>
          <w:szCs w:val="32"/>
          <w:highlight w:val="none"/>
          <w:u w:val="none"/>
        </w:rPr>
        <w:t>各工序报验核查质量控制点总计</w:t>
      </w:r>
      <w:r>
        <w:rPr>
          <w:rFonts w:hint="eastAsia" w:ascii="仿宋_GB2312" w:hAnsi="仿宋_GB2312" w:eastAsia="仿宋_GB2312" w:cs="仿宋_GB2312"/>
          <w:color w:val="auto"/>
          <w:kern w:val="0"/>
          <w:sz w:val="32"/>
          <w:szCs w:val="32"/>
          <w:highlight w:val="none"/>
          <w:u w:val="none"/>
          <w:lang w:val="en-US" w:eastAsia="zh-CN"/>
        </w:rPr>
        <w:t>被</w:t>
      </w:r>
      <w:r>
        <w:rPr>
          <w:rFonts w:hint="eastAsia" w:ascii="仿宋_GB2312" w:hAnsi="仿宋_GB2312" w:eastAsia="仿宋_GB2312" w:cs="仿宋_GB2312"/>
          <w:color w:val="auto"/>
          <w:kern w:val="0"/>
          <w:sz w:val="32"/>
          <w:szCs w:val="32"/>
          <w:highlight w:val="none"/>
          <w:u w:val="none"/>
        </w:rPr>
        <w:t>发现3 次以上（不含本数）或连续发现2次以上（不含本数）质量控制点不合格</w:t>
      </w:r>
      <w:r>
        <w:rPr>
          <w:rFonts w:hint="eastAsia" w:ascii="仿宋_GB2312" w:hAnsi="仿宋_GB2312" w:eastAsia="仿宋_GB2312" w:cs="仿宋_GB2312"/>
          <w:color w:val="auto"/>
          <w:kern w:val="0"/>
          <w:sz w:val="32"/>
          <w:szCs w:val="32"/>
          <w:highlight w:val="none"/>
          <w:u w:val="none"/>
          <w:lang w:eastAsia="zh-CN"/>
        </w:rPr>
        <w:t>；</w:t>
      </w:r>
    </w:p>
    <w:p w14:paraId="5FF019AF">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lang w:val="en-US" w:eastAsia="zh-CN"/>
        </w:rPr>
      </w:pP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lang w:val="en-US" w:eastAsia="zh-CN"/>
        </w:rPr>
        <w:t>五</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lang w:val="en-US" w:eastAsia="zh-CN"/>
        </w:rPr>
        <w:t>被江东管理局或其他主管部门列入项目建设“红黑榜”中黑榜；</w:t>
      </w:r>
    </w:p>
    <w:p w14:paraId="7CB7D19C">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630" w:leftChars="0" w:right="0" w:rightChars="0"/>
        <w:jc w:val="both"/>
        <w:textAlignment w:val="auto"/>
        <w:rPr>
          <w:rFonts w:hint="eastAsia" w:ascii="仿宋_GB2312" w:hAnsi="仿宋_GB2312" w:eastAsia="仿宋_GB2312" w:cs="仿宋_GB2312"/>
          <w:i w:val="0"/>
          <w:iCs w:val="0"/>
          <w:caps w:val="0"/>
          <w:color w:val="auto"/>
          <w:spacing w:val="0"/>
          <w:sz w:val="32"/>
          <w:szCs w:val="32"/>
          <w:highlight w:val="none"/>
          <w:lang w:val="en-US" w:eastAsia="zh-CN"/>
        </w:rPr>
      </w:pP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lang w:val="en-US" w:eastAsia="zh-CN"/>
        </w:rPr>
        <w:t>六</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lang w:val="en-US" w:eastAsia="zh-CN"/>
        </w:rPr>
        <w:t>违反施工合同中约定的“严重违约责任”。</w:t>
      </w:r>
    </w:p>
    <w:p w14:paraId="2FF0C536">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610" w:leftChars="0" w:right="0" w:rightChars="0"/>
        <w:jc w:val="both"/>
        <w:textAlignment w:val="auto"/>
        <w:rPr>
          <w:rFonts w:hint="eastAsia" w:ascii="仿宋_GB2312" w:hAnsi="仿宋_GB2312" w:eastAsia="仿宋_GB2312" w:cs="仿宋_GB2312"/>
          <w:i w:val="0"/>
          <w:iCs w:val="0"/>
          <w:caps w:val="0"/>
          <w:color w:val="auto"/>
          <w:spacing w:val="0"/>
          <w:sz w:val="32"/>
          <w:szCs w:val="32"/>
          <w:highlight w:val="none"/>
          <w:lang w:val="en-US" w:eastAsia="zh-CN"/>
        </w:rPr>
      </w:pPr>
      <w:r>
        <w:rPr>
          <w:rFonts w:hint="eastAsia" w:ascii="仿宋_GB2312" w:hAnsi="仿宋_GB2312" w:eastAsia="仿宋_GB2312" w:cs="仿宋_GB2312"/>
          <w:i w:val="0"/>
          <w:iCs w:val="0"/>
          <w:caps w:val="0"/>
          <w:color w:val="auto"/>
          <w:spacing w:val="0"/>
          <w:sz w:val="32"/>
          <w:szCs w:val="32"/>
          <w:highlight w:val="none"/>
          <w:lang w:val="en-US" w:eastAsia="zh-CN"/>
        </w:rPr>
        <w:t>三、施工工期</w:t>
      </w:r>
    </w:p>
    <w:p w14:paraId="1015CCAA">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lang w:eastAsia="zh-CN"/>
        </w:rPr>
      </w:pPr>
      <w:r>
        <w:rPr>
          <w:rFonts w:hint="eastAsia" w:ascii="仿宋_GB2312" w:hAnsi="仿宋_GB2312" w:eastAsia="仿宋_GB2312" w:cs="仿宋_GB2312"/>
          <w:i w:val="0"/>
          <w:iCs w:val="0"/>
          <w:caps w:val="0"/>
          <w:color w:val="auto"/>
          <w:spacing w:val="0"/>
          <w:sz w:val="32"/>
          <w:szCs w:val="32"/>
          <w:highlight w:val="none"/>
          <w:lang w:eastAsia="zh-CN"/>
        </w:rPr>
        <w:t>非发包人原因，</w:t>
      </w:r>
      <w:r>
        <w:rPr>
          <w:rFonts w:hint="eastAsia" w:ascii="仿宋_GB2312" w:hAnsi="仿宋_GB2312" w:eastAsia="仿宋_GB2312" w:cs="仿宋_GB2312"/>
          <w:i w:val="0"/>
          <w:iCs w:val="0"/>
          <w:caps w:val="0"/>
          <w:color w:val="auto"/>
          <w:spacing w:val="0"/>
          <w:sz w:val="32"/>
          <w:szCs w:val="32"/>
          <w:highlight w:val="none"/>
          <w:lang w:val="en-US" w:eastAsia="zh-CN"/>
        </w:rPr>
        <w:t>因</w:t>
      </w:r>
      <w:r>
        <w:rPr>
          <w:rFonts w:hint="eastAsia" w:ascii="仿宋_GB2312" w:hAnsi="仿宋_GB2312" w:eastAsia="仿宋_GB2312" w:cs="仿宋_GB2312"/>
          <w:i w:val="0"/>
          <w:iCs w:val="0"/>
          <w:caps w:val="0"/>
          <w:color w:val="auto"/>
          <w:spacing w:val="0"/>
          <w:sz w:val="32"/>
          <w:szCs w:val="32"/>
          <w:highlight w:val="none"/>
          <w:lang w:eastAsia="zh-CN"/>
        </w:rPr>
        <w:t>承包人</w:t>
      </w:r>
      <w:r>
        <w:rPr>
          <w:rFonts w:hint="eastAsia" w:ascii="仿宋_GB2312" w:hAnsi="仿宋_GB2312" w:eastAsia="仿宋_GB2312" w:cs="仿宋_GB2312"/>
          <w:i w:val="0"/>
          <w:iCs w:val="0"/>
          <w:caps w:val="0"/>
          <w:color w:val="auto"/>
          <w:spacing w:val="0"/>
          <w:sz w:val="32"/>
          <w:szCs w:val="32"/>
          <w:highlight w:val="none"/>
          <w:lang w:val="en-US" w:eastAsia="zh-CN"/>
        </w:rPr>
        <w:t>自身原因</w:t>
      </w:r>
      <w:r>
        <w:rPr>
          <w:rFonts w:hint="eastAsia" w:ascii="仿宋_GB2312" w:hAnsi="仿宋_GB2312" w:eastAsia="仿宋_GB2312" w:cs="仿宋_GB2312"/>
          <w:i w:val="0"/>
          <w:iCs w:val="0"/>
          <w:caps w:val="0"/>
          <w:color w:val="auto"/>
          <w:spacing w:val="0"/>
          <w:sz w:val="32"/>
          <w:szCs w:val="32"/>
          <w:highlight w:val="none"/>
          <w:lang w:eastAsia="zh-CN"/>
        </w:rPr>
        <w:t>违反</w:t>
      </w:r>
      <w:r>
        <w:rPr>
          <w:rFonts w:hint="eastAsia" w:ascii="仿宋_GB2312" w:hAnsi="仿宋_GB2312" w:eastAsia="仿宋_GB2312" w:cs="仿宋_GB2312"/>
          <w:i w:val="0"/>
          <w:iCs w:val="0"/>
          <w:caps w:val="0"/>
          <w:color w:val="auto"/>
          <w:spacing w:val="0"/>
          <w:sz w:val="32"/>
          <w:szCs w:val="32"/>
          <w:highlight w:val="none"/>
          <w:lang w:val="en-US" w:eastAsia="zh-CN"/>
        </w:rPr>
        <w:t>合同</w:t>
      </w:r>
      <w:r>
        <w:rPr>
          <w:rFonts w:hint="eastAsia" w:ascii="仿宋_GB2312" w:hAnsi="仿宋_GB2312" w:eastAsia="仿宋_GB2312" w:cs="仿宋_GB2312"/>
          <w:i w:val="0"/>
          <w:iCs w:val="0"/>
          <w:caps w:val="0"/>
          <w:color w:val="auto"/>
          <w:spacing w:val="0"/>
          <w:sz w:val="32"/>
          <w:szCs w:val="32"/>
          <w:highlight w:val="none"/>
          <w:lang w:eastAsia="zh-CN"/>
        </w:rPr>
        <w:t>约定延期开工，</w:t>
      </w:r>
      <w:r>
        <w:rPr>
          <w:rFonts w:hint="eastAsia" w:ascii="仿宋_GB2312" w:hAnsi="仿宋_GB2312" w:eastAsia="仿宋_GB2312" w:cs="仿宋_GB2312"/>
          <w:i w:val="0"/>
          <w:iCs w:val="0"/>
          <w:caps w:val="0"/>
          <w:color w:val="auto"/>
          <w:spacing w:val="0"/>
          <w:sz w:val="32"/>
          <w:szCs w:val="32"/>
          <w:highlight w:val="none"/>
          <w:lang w:val="en-US" w:eastAsia="zh-CN"/>
        </w:rPr>
        <w:t>延期开工大于10天。</w:t>
      </w:r>
    </w:p>
    <w:p w14:paraId="44E4A504">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b w:val="0"/>
          <w:bCs w:val="0"/>
          <w:color w:val="auto"/>
          <w:kern w:val="2"/>
          <w:sz w:val="32"/>
          <w:szCs w:val="32"/>
          <w:highlight w:val="none"/>
          <w:u w:val="none"/>
          <w:lang w:val="en-US" w:eastAsia="zh-CN" w:bidi="ar-SA"/>
        </w:rPr>
      </w:pPr>
      <w:r>
        <w:rPr>
          <w:rFonts w:hint="eastAsia" w:ascii="仿宋_GB2312" w:hAnsi="仿宋_GB2312" w:eastAsia="仿宋_GB2312" w:cs="仿宋_GB2312"/>
          <w:b w:val="0"/>
          <w:bCs w:val="0"/>
          <w:color w:val="auto"/>
          <w:kern w:val="2"/>
          <w:sz w:val="32"/>
          <w:szCs w:val="32"/>
          <w:highlight w:val="none"/>
          <w:u w:val="none"/>
          <w:lang w:val="en-US" w:eastAsia="zh-CN" w:bidi="ar-SA"/>
        </w:rPr>
        <w:t>四、文明施工（环境保护）</w:t>
      </w:r>
    </w:p>
    <w:p w14:paraId="686BB9E9">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b w:val="0"/>
          <w:bCs w:val="0"/>
          <w:color w:val="auto"/>
          <w:kern w:val="2"/>
          <w:sz w:val="32"/>
          <w:szCs w:val="32"/>
          <w:highlight w:val="none"/>
          <w:u w:val="none"/>
          <w:lang w:val="en-US" w:eastAsia="zh-CN" w:bidi="ar-SA"/>
        </w:rPr>
      </w:pPr>
      <w:r>
        <w:rPr>
          <w:rFonts w:hint="eastAsia" w:ascii="仿宋_GB2312" w:hAnsi="仿宋_GB2312" w:eastAsia="仿宋_GB2312" w:cs="仿宋_GB2312"/>
          <w:color w:val="auto"/>
          <w:kern w:val="0"/>
          <w:sz w:val="32"/>
          <w:szCs w:val="32"/>
          <w:highlight w:val="none"/>
          <w:u w:val="none"/>
        </w:rPr>
        <w:t>在政府行政主管部门的检查中，承包人的施工场地</w:t>
      </w:r>
      <w:r>
        <w:rPr>
          <w:rFonts w:hint="eastAsia" w:ascii="仿宋_GB2312" w:hAnsi="仿宋_GB2312" w:eastAsia="仿宋_GB2312" w:cs="仿宋_GB2312"/>
          <w:color w:val="auto"/>
          <w:kern w:val="0"/>
          <w:sz w:val="32"/>
          <w:szCs w:val="32"/>
          <w:highlight w:val="none"/>
          <w:u w:val="none"/>
          <w:lang w:val="en-US" w:eastAsia="zh-CN"/>
        </w:rPr>
        <w:t>文明施工</w:t>
      </w:r>
      <w:r>
        <w:rPr>
          <w:rFonts w:hint="eastAsia" w:ascii="仿宋_GB2312" w:hAnsi="仿宋_GB2312" w:eastAsia="仿宋_GB2312" w:cs="仿宋_GB2312"/>
          <w:color w:val="auto"/>
          <w:kern w:val="0"/>
          <w:sz w:val="32"/>
          <w:szCs w:val="32"/>
          <w:highlight w:val="none"/>
          <w:u w:val="none"/>
        </w:rPr>
        <w:t>被评为不合格工地的，或者被通报批评的，或者被新闻媒体曝光</w:t>
      </w:r>
      <w:r>
        <w:rPr>
          <w:rFonts w:hint="eastAsia" w:ascii="仿宋_GB2312" w:hAnsi="仿宋_GB2312" w:eastAsia="仿宋_GB2312" w:cs="仿宋_GB2312"/>
          <w:color w:val="auto"/>
          <w:kern w:val="0"/>
          <w:sz w:val="32"/>
          <w:szCs w:val="32"/>
          <w:highlight w:val="none"/>
          <w:u w:val="none"/>
          <w:lang w:eastAsia="zh-CN"/>
        </w:rPr>
        <w:t>。</w:t>
      </w:r>
    </w:p>
    <w:p w14:paraId="6D2CEF76">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b w:val="0"/>
          <w:bCs w:val="0"/>
          <w:color w:val="auto"/>
          <w:kern w:val="2"/>
          <w:sz w:val="32"/>
          <w:szCs w:val="32"/>
          <w:highlight w:val="none"/>
          <w:u w:val="none"/>
          <w:lang w:val="en-US" w:eastAsia="zh-CN" w:bidi="ar-SA"/>
        </w:rPr>
      </w:pPr>
      <w:r>
        <w:rPr>
          <w:rFonts w:hint="eastAsia" w:ascii="仿宋_GB2312" w:hAnsi="仿宋_GB2312" w:eastAsia="仿宋_GB2312" w:cs="仿宋_GB2312"/>
          <w:b w:val="0"/>
          <w:bCs w:val="0"/>
          <w:color w:val="auto"/>
          <w:kern w:val="2"/>
          <w:sz w:val="32"/>
          <w:szCs w:val="32"/>
          <w:highlight w:val="none"/>
          <w:u w:val="none"/>
          <w:lang w:val="en-US" w:eastAsia="zh-CN" w:bidi="ar-SA"/>
        </w:rPr>
        <w:t>五、竣工验收</w:t>
      </w:r>
    </w:p>
    <w:p w14:paraId="25AA1D81">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lang w:eastAsia="zh-CN"/>
        </w:rPr>
      </w:pP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lang w:val="en-US" w:eastAsia="zh-CN"/>
        </w:rPr>
        <w:t>一</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lang w:val="en-US" w:eastAsia="zh-CN"/>
        </w:rPr>
        <w:t>因违约行为导致无法通过验收且导致质量标准降低；</w:t>
      </w:r>
    </w:p>
    <w:p w14:paraId="5C248B3A">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color w:val="auto"/>
          <w:kern w:val="2"/>
          <w:sz w:val="32"/>
          <w:szCs w:val="32"/>
          <w:highlight w:val="none"/>
          <w:u w:val="none"/>
          <w:lang w:val="en-US" w:eastAsia="zh-CN" w:bidi="ar-SA"/>
        </w:rPr>
        <w:t>（二）未及时验收被巡视检查或审计追责。</w:t>
      </w:r>
    </w:p>
    <w:p w14:paraId="3E4FA181">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color w:val="auto"/>
          <w:kern w:val="0"/>
          <w:sz w:val="32"/>
          <w:szCs w:val="32"/>
          <w:highlight w:val="none"/>
          <w:u w:val="none"/>
          <w:lang w:val="en-US" w:eastAsia="zh-CN"/>
        </w:rPr>
      </w:pPr>
      <w:r>
        <w:rPr>
          <w:rFonts w:hint="eastAsia" w:ascii="仿宋_GB2312" w:hAnsi="仿宋_GB2312" w:eastAsia="仿宋_GB2312" w:cs="仿宋_GB2312"/>
          <w:color w:val="auto"/>
          <w:kern w:val="0"/>
          <w:sz w:val="32"/>
          <w:szCs w:val="32"/>
          <w:highlight w:val="none"/>
          <w:u w:val="none"/>
          <w:lang w:val="en-US" w:eastAsia="zh-CN"/>
        </w:rPr>
        <w:t>六、农民工工资</w:t>
      </w:r>
    </w:p>
    <w:p w14:paraId="2655F7DF">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b w:val="0"/>
          <w:bCs w:val="0"/>
          <w:color w:val="auto"/>
          <w:kern w:val="0"/>
          <w:sz w:val="32"/>
          <w:szCs w:val="32"/>
          <w:highlight w:val="none"/>
          <w:u w:val="none"/>
          <w:lang w:val="en-US" w:eastAsia="zh-CN"/>
        </w:rPr>
      </w:pPr>
      <w:r>
        <w:rPr>
          <w:rFonts w:hint="eastAsia" w:ascii="仿宋_GB2312" w:hAnsi="仿宋_GB2312" w:eastAsia="仿宋_GB2312" w:cs="仿宋_GB2312"/>
          <w:color w:val="auto"/>
          <w:kern w:val="0"/>
          <w:sz w:val="32"/>
          <w:szCs w:val="32"/>
          <w:highlight w:val="none"/>
          <w:u w:val="none"/>
        </w:rPr>
        <w:t>承包人未按劳动合同支付劳务人员劳务费用或拖欠农民工工资</w:t>
      </w:r>
      <w:r>
        <w:rPr>
          <w:rFonts w:hint="eastAsia" w:ascii="仿宋_GB2312" w:hAnsi="仿宋_GB2312" w:eastAsia="仿宋_GB2312" w:cs="仿宋_GB2312"/>
          <w:color w:val="auto"/>
          <w:kern w:val="0"/>
          <w:sz w:val="32"/>
          <w:szCs w:val="32"/>
          <w:highlight w:val="none"/>
          <w:u w:val="none"/>
          <w:lang w:eastAsia="zh-CN"/>
        </w:rPr>
        <w:t>，</w:t>
      </w:r>
      <w:r>
        <w:rPr>
          <w:rFonts w:hint="eastAsia" w:ascii="仿宋_GB2312" w:hAnsi="仿宋_GB2312" w:eastAsia="仿宋_GB2312" w:cs="仿宋_GB2312"/>
          <w:color w:val="auto"/>
          <w:kern w:val="0"/>
          <w:sz w:val="32"/>
          <w:szCs w:val="32"/>
          <w:highlight w:val="none"/>
          <w:u w:val="none"/>
          <w:lang w:val="en-US" w:eastAsia="zh-CN"/>
        </w:rPr>
        <w:t>发生2次及以上</w:t>
      </w:r>
      <w:r>
        <w:rPr>
          <w:rFonts w:hint="eastAsia" w:ascii="仿宋_GB2312" w:hAnsi="仿宋_GB2312" w:eastAsia="仿宋_GB2312" w:cs="仿宋_GB2312"/>
          <w:color w:val="auto"/>
          <w:kern w:val="0"/>
          <w:sz w:val="32"/>
          <w:szCs w:val="32"/>
          <w:highlight w:val="none"/>
          <w:u w:val="none"/>
        </w:rPr>
        <w:t>农民工上访、闹事等事件</w:t>
      </w:r>
      <w:r>
        <w:rPr>
          <w:rFonts w:hint="eastAsia" w:ascii="仿宋_GB2312" w:hAnsi="仿宋_GB2312" w:eastAsia="仿宋_GB2312" w:cs="仿宋_GB2312"/>
          <w:color w:val="auto"/>
          <w:kern w:val="0"/>
          <w:sz w:val="32"/>
          <w:szCs w:val="32"/>
          <w:highlight w:val="none"/>
          <w:u w:val="none"/>
          <w:lang w:eastAsia="zh-CN"/>
        </w:rPr>
        <w:t>。</w:t>
      </w:r>
    </w:p>
    <w:p w14:paraId="19F4AE14">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3" w:firstLineChars="200"/>
        <w:jc w:val="both"/>
        <w:textAlignment w:val="auto"/>
        <w:rPr>
          <w:rFonts w:hint="eastAsia" w:ascii="仿宋_GB2312" w:hAnsi="仿宋_GB2312" w:eastAsia="仿宋_GB2312" w:cs="仿宋_GB2312"/>
          <w:i w:val="0"/>
          <w:iCs w:val="0"/>
          <w:caps w:val="0"/>
          <w:color w:val="auto"/>
          <w:spacing w:val="0"/>
          <w:sz w:val="32"/>
          <w:szCs w:val="32"/>
          <w:highlight w:val="none"/>
          <w:lang w:eastAsia="zh-CN"/>
        </w:rPr>
      </w:pPr>
      <w:r>
        <w:rPr>
          <w:rStyle w:val="15"/>
          <w:rFonts w:hint="eastAsia" w:ascii="仿宋_GB2312" w:hAnsi="仿宋_GB2312" w:eastAsia="仿宋_GB2312" w:cs="仿宋_GB2312"/>
          <w:i w:val="0"/>
          <w:iCs w:val="0"/>
          <w:caps w:val="0"/>
          <w:color w:val="auto"/>
          <w:spacing w:val="0"/>
          <w:sz w:val="32"/>
          <w:szCs w:val="32"/>
          <w:highlight w:val="none"/>
        </w:rPr>
        <w:t>第</w:t>
      </w:r>
      <w:r>
        <w:rPr>
          <w:rStyle w:val="15"/>
          <w:rFonts w:hint="eastAsia" w:ascii="仿宋_GB2312" w:hAnsi="仿宋_GB2312" w:eastAsia="仿宋_GB2312" w:cs="仿宋_GB2312"/>
          <w:i w:val="0"/>
          <w:iCs w:val="0"/>
          <w:caps w:val="0"/>
          <w:color w:val="auto"/>
          <w:spacing w:val="0"/>
          <w:sz w:val="32"/>
          <w:szCs w:val="32"/>
          <w:highlight w:val="none"/>
          <w:lang w:val="en-US" w:eastAsia="zh-CN"/>
        </w:rPr>
        <w:t>六</w:t>
      </w:r>
      <w:r>
        <w:rPr>
          <w:rStyle w:val="15"/>
          <w:rFonts w:hint="eastAsia" w:ascii="仿宋_GB2312" w:hAnsi="仿宋_GB2312" w:eastAsia="仿宋_GB2312" w:cs="仿宋_GB2312"/>
          <w:i w:val="0"/>
          <w:iCs w:val="0"/>
          <w:caps w:val="0"/>
          <w:color w:val="auto"/>
          <w:spacing w:val="0"/>
          <w:sz w:val="32"/>
          <w:szCs w:val="32"/>
          <w:highlight w:val="none"/>
        </w:rPr>
        <w:t>条</w:t>
      </w:r>
      <w:r>
        <w:rPr>
          <w:rStyle w:val="15"/>
          <w:rFonts w:hint="eastAsia" w:ascii="仿宋_GB2312" w:hAnsi="仿宋_GB2312" w:eastAsia="仿宋_GB2312" w:cs="仿宋_GB2312"/>
          <w:i w:val="0"/>
          <w:iCs w:val="0"/>
          <w:caps w:val="0"/>
          <w:color w:val="auto"/>
          <w:spacing w:val="0"/>
          <w:sz w:val="32"/>
          <w:szCs w:val="32"/>
          <w:highlight w:val="none"/>
          <w:lang w:val="en-US" w:eastAsia="zh-CN"/>
        </w:rPr>
        <w:t xml:space="preserve"> </w:t>
      </w:r>
      <w:r>
        <w:rPr>
          <w:rStyle w:val="15"/>
          <w:rFonts w:hint="eastAsia" w:ascii="仿宋_GB2312" w:hAnsi="仿宋_GB2312" w:eastAsia="仿宋_GB2312" w:cs="仿宋_GB2312"/>
          <w:b w:val="0"/>
          <w:bCs/>
          <w:i w:val="0"/>
          <w:iCs w:val="0"/>
          <w:caps w:val="0"/>
          <w:color w:val="auto"/>
          <w:spacing w:val="0"/>
          <w:sz w:val="32"/>
          <w:szCs w:val="32"/>
          <w:highlight w:val="none"/>
          <w:lang w:val="en-US" w:eastAsia="zh-CN"/>
        </w:rPr>
        <w:t>施工承包人</w:t>
      </w:r>
      <w:r>
        <w:rPr>
          <w:rFonts w:hint="eastAsia" w:ascii="仿宋_GB2312" w:hAnsi="仿宋_GB2312" w:eastAsia="仿宋_GB2312" w:cs="仿宋_GB2312"/>
          <w:b w:val="0"/>
          <w:bCs/>
          <w:i w:val="0"/>
          <w:iCs w:val="0"/>
          <w:caps w:val="0"/>
          <w:color w:val="auto"/>
          <w:spacing w:val="0"/>
          <w:sz w:val="32"/>
          <w:szCs w:val="32"/>
          <w:highlight w:val="none"/>
        </w:rPr>
        <w:t>有下列情形</w:t>
      </w:r>
      <w:r>
        <w:rPr>
          <w:rFonts w:hint="eastAsia" w:ascii="仿宋_GB2312" w:hAnsi="仿宋_GB2312" w:eastAsia="仿宋_GB2312" w:cs="仿宋_GB2312"/>
          <w:i w:val="0"/>
          <w:iCs w:val="0"/>
          <w:caps w:val="0"/>
          <w:color w:val="auto"/>
          <w:spacing w:val="0"/>
          <w:sz w:val="32"/>
          <w:szCs w:val="32"/>
          <w:highlight w:val="none"/>
        </w:rPr>
        <w:t>之一的，</w:t>
      </w:r>
      <w:r>
        <w:rPr>
          <w:rFonts w:hint="eastAsia" w:ascii="仿宋_GB2312" w:hAnsi="仿宋_GB2312" w:eastAsia="仿宋_GB2312" w:cs="仿宋_GB2312"/>
          <w:i w:val="0"/>
          <w:iCs w:val="0"/>
          <w:caps w:val="0"/>
          <w:color w:val="auto"/>
          <w:spacing w:val="8"/>
          <w:sz w:val="32"/>
          <w:szCs w:val="32"/>
          <w:highlight w:val="none"/>
          <w:shd w:val="clear" w:color="auto" w:fill="FFFFFF"/>
        </w:rPr>
        <w:t>一次记</w:t>
      </w:r>
      <w:r>
        <w:rPr>
          <w:rFonts w:hint="eastAsia" w:ascii="仿宋_GB2312" w:hAnsi="仿宋_GB2312" w:eastAsia="仿宋_GB2312" w:cs="仿宋_GB2312"/>
          <w:i w:val="0"/>
          <w:iCs w:val="0"/>
          <w:caps w:val="0"/>
          <w:color w:val="auto"/>
          <w:spacing w:val="8"/>
          <w:sz w:val="32"/>
          <w:szCs w:val="32"/>
          <w:highlight w:val="none"/>
          <w:shd w:val="clear" w:color="auto" w:fill="FFFFFF"/>
          <w:lang w:val="en-US" w:eastAsia="zh-CN"/>
        </w:rPr>
        <w:t>3</w:t>
      </w:r>
      <w:r>
        <w:rPr>
          <w:rFonts w:hint="eastAsia" w:ascii="仿宋_GB2312" w:hAnsi="仿宋_GB2312" w:eastAsia="仿宋_GB2312" w:cs="仿宋_GB2312"/>
          <w:i w:val="0"/>
          <w:iCs w:val="0"/>
          <w:caps w:val="0"/>
          <w:color w:val="auto"/>
          <w:spacing w:val="8"/>
          <w:sz w:val="32"/>
          <w:szCs w:val="32"/>
          <w:highlight w:val="none"/>
          <w:shd w:val="clear" w:color="auto" w:fill="FFFFFF"/>
        </w:rPr>
        <w:t>分</w:t>
      </w:r>
      <w:r>
        <w:rPr>
          <w:rFonts w:hint="eastAsia" w:ascii="仿宋_GB2312" w:hAnsi="仿宋_GB2312" w:eastAsia="仿宋_GB2312" w:cs="仿宋_GB2312"/>
          <w:i w:val="0"/>
          <w:iCs w:val="0"/>
          <w:caps w:val="0"/>
          <w:color w:val="auto"/>
          <w:spacing w:val="0"/>
          <w:sz w:val="32"/>
          <w:szCs w:val="32"/>
          <w:highlight w:val="none"/>
          <w:lang w:eastAsia="zh-CN"/>
        </w:rPr>
        <w:t>。</w:t>
      </w:r>
    </w:p>
    <w:p w14:paraId="0979F808">
      <w:pPr>
        <w:pStyle w:val="11"/>
        <w:keepNext w:val="0"/>
        <w:keepLines w:val="0"/>
        <w:pageBreakBefore w:val="0"/>
        <w:widowControl/>
        <w:numPr>
          <w:ilvl w:val="0"/>
          <w:numId w:val="5"/>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630" w:leftChars="0" w:right="0" w:rightChars="0"/>
        <w:jc w:val="both"/>
        <w:textAlignment w:val="auto"/>
        <w:rPr>
          <w:rFonts w:hint="eastAsia" w:ascii="仿宋_GB2312" w:hAnsi="仿宋_GB2312" w:eastAsia="仿宋_GB2312" w:cs="仿宋_GB2312"/>
          <w:i w:val="0"/>
          <w:iCs w:val="0"/>
          <w:caps w:val="0"/>
          <w:color w:val="auto"/>
          <w:spacing w:val="0"/>
          <w:sz w:val="32"/>
          <w:szCs w:val="32"/>
          <w:highlight w:val="none"/>
          <w:lang w:val="en-US" w:eastAsia="zh-CN"/>
        </w:rPr>
      </w:pPr>
      <w:r>
        <w:rPr>
          <w:rFonts w:hint="eastAsia" w:ascii="仿宋_GB2312" w:hAnsi="仿宋_GB2312" w:eastAsia="仿宋_GB2312" w:cs="仿宋_GB2312"/>
          <w:i w:val="0"/>
          <w:iCs w:val="0"/>
          <w:caps w:val="0"/>
          <w:color w:val="auto"/>
          <w:spacing w:val="0"/>
          <w:sz w:val="32"/>
          <w:szCs w:val="32"/>
          <w:highlight w:val="none"/>
          <w:lang w:val="en-US" w:eastAsia="zh-CN"/>
        </w:rPr>
        <w:t>安全生产</w:t>
      </w:r>
    </w:p>
    <w:p w14:paraId="6013E0EF">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200" w:right="0" w:rightChars="0" w:firstLine="320" w:firstLineChars="100"/>
        <w:jc w:val="both"/>
        <w:textAlignment w:val="auto"/>
        <w:rPr>
          <w:rFonts w:hint="eastAsia" w:ascii="仿宋_GB2312" w:hAnsi="仿宋_GB2312" w:eastAsia="仿宋_GB2312" w:cs="仿宋_GB2312"/>
          <w:i w:val="0"/>
          <w:iCs w:val="0"/>
          <w:caps w:val="0"/>
          <w:color w:val="auto"/>
          <w:spacing w:val="0"/>
          <w:sz w:val="32"/>
          <w:szCs w:val="32"/>
          <w:highlight w:val="none"/>
          <w:lang w:val="en-US" w:eastAsia="zh-CN"/>
        </w:rPr>
      </w:pP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lang w:val="en-US" w:eastAsia="zh-CN"/>
        </w:rPr>
        <w:t>一</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color w:val="auto"/>
          <w:sz w:val="32"/>
          <w:szCs w:val="32"/>
          <w:highlight w:val="none"/>
          <w:u w:val="none"/>
          <w:lang w:val="en-US" w:eastAsia="zh-CN"/>
        </w:rPr>
        <w:t>承包人在发包人、总监理工程师进行的日常安全检查中，被发现存在一般安全隐患（即国家现行《房屋市政工程生产安全重大事故隐患判定标准》规定范围外的隐患）</w:t>
      </w:r>
      <w:r>
        <w:rPr>
          <w:rFonts w:hint="eastAsia" w:ascii="仿宋_GB2312" w:hAnsi="仿宋_GB2312" w:eastAsia="仿宋_GB2312" w:cs="仿宋_GB2312"/>
          <w:i w:val="0"/>
          <w:iCs w:val="0"/>
          <w:caps w:val="0"/>
          <w:color w:val="auto"/>
          <w:spacing w:val="0"/>
          <w:sz w:val="32"/>
          <w:szCs w:val="32"/>
          <w:highlight w:val="none"/>
          <w:lang w:val="en-US" w:eastAsia="zh-CN"/>
        </w:rPr>
        <w:t>；</w:t>
      </w:r>
    </w:p>
    <w:p w14:paraId="6FAAA548">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lang w:val="en-US" w:eastAsia="zh-CN"/>
        </w:rPr>
      </w:pP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lang w:val="en-US" w:eastAsia="zh-CN"/>
        </w:rPr>
        <w:t>二</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color w:val="auto"/>
          <w:sz w:val="32"/>
          <w:szCs w:val="32"/>
          <w:highlight w:val="none"/>
          <w:u w:val="none"/>
          <w:lang w:val="en-US" w:eastAsia="zh-CN"/>
        </w:rPr>
        <w:t>按规定需要具备相应证书方可操作的人员、设备而无证书操作。</w:t>
      </w:r>
    </w:p>
    <w:p w14:paraId="5615C70B">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lang w:val="en-US" w:eastAsia="zh-CN"/>
        </w:rPr>
      </w:pPr>
      <w:r>
        <w:rPr>
          <w:rFonts w:hint="eastAsia" w:ascii="仿宋_GB2312" w:hAnsi="仿宋_GB2312" w:eastAsia="仿宋_GB2312" w:cs="仿宋_GB2312"/>
          <w:i w:val="0"/>
          <w:iCs w:val="0"/>
          <w:caps w:val="0"/>
          <w:color w:val="auto"/>
          <w:spacing w:val="0"/>
          <w:sz w:val="32"/>
          <w:szCs w:val="32"/>
          <w:highlight w:val="none"/>
          <w:lang w:val="en-US" w:eastAsia="zh-CN"/>
        </w:rPr>
        <w:t>二、工程质量</w:t>
      </w:r>
    </w:p>
    <w:p w14:paraId="7046F83A">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lang w:val="en-US" w:eastAsia="zh-CN"/>
        </w:rPr>
      </w:pP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lang w:val="en-US" w:eastAsia="zh-CN"/>
        </w:rPr>
        <w:t>一</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lang w:val="en-US" w:eastAsia="zh-CN"/>
        </w:rPr>
        <w:t>工程材料检查不符合合同约定，单宗或批次材料价值在10万元-100万元（含100万元）；</w:t>
      </w:r>
    </w:p>
    <w:p w14:paraId="0D7CF3E0">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lang w:val="en-US" w:eastAsia="zh-CN"/>
        </w:rPr>
      </w:pP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lang w:val="en-US" w:eastAsia="zh-CN"/>
        </w:rPr>
        <w:t>二</w:t>
      </w:r>
      <w:r>
        <w:rPr>
          <w:rFonts w:hint="eastAsia" w:ascii="仿宋_GB2312" w:hAnsi="仿宋_GB2312" w:eastAsia="仿宋_GB2312" w:cs="仿宋_GB2312"/>
          <w:i w:val="0"/>
          <w:iCs w:val="0"/>
          <w:caps w:val="0"/>
          <w:color w:val="auto"/>
          <w:spacing w:val="0"/>
          <w:sz w:val="32"/>
          <w:szCs w:val="32"/>
          <w:highlight w:val="none"/>
          <w:lang w:eastAsia="zh-CN"/>
        </w:rPr>
        <w:t>）工程保修期内发现质量不合格问题；</w:t>
      </w:r>
    </w:p>
    <w:p w14:paraId="305116BB">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lang w:eastAsia="zh-CN"/>
        </w:rPr>
      </w:pP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lang w:val="en-US" w:eastAsia="zh-CN"/>
        </w:rPr>
        <w:t>三</w:t>
      </w:r>
      <w:r>
        <w:rPr>
          <w:rFonts w:hint="eastAsia" w:ascii="仿宋_GB2312" w:hAnsi="仿宋_GB2312" w:eastAsia="仿宋_GB2312" w:cs="仿宋_GB2312"/>
          <w:i w:val="0"/>
          <w:iCs w:val="0"/>
          <w:caps w:val="0"/>
          <w:color w:val="auto"/>
          <w:spacing w:val="0"/>
          <w:sz w:val="32"/>
          <w:szCs w:val="32"/>
          <w:highlight w:val="none"/>
          <w:lang w:eastAsia="zh-CN"/>
        </w:rPr>
        <w:t>）对于出现质量缺陷的部位未及时修补、未按规定对隐蔽工程、检验批进行验收即进入下一道工序；</w:t>
      </w:r>
    </w:p>
    <w:p w14:paraId="43F89F94">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color w:val="auto"/>
          <w:kern w:val="0"/>
          <w:sz w:val="32"/>
          <w:szCs w:val="32"/>
          <w:highlight w:val="none"/>
          <w:u w:val="none"/>
          <w:lang w:eastAsia="zh-CN"/>
        </w:rPr>
      </w:pP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lang w:val="en-US" w:eastAsia="zh-CN"/>
        </w:rPr>
        <w:t>四</w:t>
      </w:r>
      <w:r>
        <w:rPr>
          <w:rFonts w:hint="eastAsia" w:ascii="仿宋_GB2312" w:hAnsi="仿宋_GB2312" w:eastAsia="仿宋_GB2312" w:cs="仿宋_GB2312"/>
          <w:i w:val="0"/>
          <w:iCs w:val="0"/>
          <w:caps w:val="0"/>
          <w:color w:val="auto"/>
          <w:spacing w:val="0"/>
          <w:sz w:val="32"/>
          <w:szCs w:val="32"/>
          <w:highlight w:val="none"/>
          <w:lang w:eastAsia="zh-CN"/>
        </w:rPr>
        <w:t>）发现偷工减料或使用不符合</w:t>
      </w:r>
      <w:r>
        <w:rPr>
          <w:rFonts w:hint="eastAsia" w:ascii="仿宋_GB2312" w:hAnsi="仿宋_GB2312" w:eastAsia="仿宋_GB2312" w:cs="仿宋_GB2312"/>
          <w:i w:val="0"/>
          <w:iCs w:val="0"/>
          <w:caps w:val="0"/>
          <w:color w:val="auto"/>
          <w:spacing w:val="0"/>
          <w:sz w:val="32"/>
          <w:szCs w:val="32"/>
          <w:highlight w:val="none"/>
          <w:lang w:val="en-US" w:eastAsia="zh-CN"/>
        </w:rPr>
        <w:t>规范</w:t>
      </w:r>
      <w:r>
        <w:rPr>
          <w:rFonts w:hint="eastAsia" w:ascii="仿宋_GB2312" w:hAnsi="仿宋_GB2312" w:eastAsia="仿宋_GB2312" w:cs="仿宋_GB2312"/>
          <w:i w:val="0"/>
          <w:iCs w:val="0"/>
          <w:caps w:val="0"/>
          <w:color w:val="auto"/>
          <w:spacing w:val="0"/>
          <w:sz w:val="32"/>
          <w:szCs w:val="32"/>
          <w:highlight w:val="none"/>
          <w:lang w:eastAsia="zh-CN"/>
        </w:rPr>
        <w:t>要求材料；</w:t>
      </w:r>
    </w:p>
    <w:p w14:paraId="05D17BEB">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color w:val="auto"/>
          <w:kern w:val="0"/>
          <w:sz w:val="32"/>
          <w:szCs w:val="32"/>
          <w:highlight w:val="none"/>
          <w:u w:val="single"/>
        </w:rPr>
      </w:pPr>
      <w:r>
        <w:rPr>
          <w:rFonts w:hint="eastAsia" w:ascii="仿宋_GB2312" w:hAnsi="仿宋_GB2312" w:eastAsia="仿宋_GB2312" w:cs="仿宋_GB2312"/>
          <w:color w:val="auto"/>
          <w:kern w:val="0"/>
          <w:sz w:val="32"/>
          <w:szCs w:val="32"/>
          <w:highlight w:val="none"/>
          <w:u w:val="none"/>
          <w:lang w:eastAsia="zh-CN"/>
        </w:rPr>
        <w:t>（</w:t>
      </w:r>
      <w:r>
        <w:rPr>
          <w:rFonts w:hint="eastAsia" w:ascii="仿宋_GB2312" w:hAnsi="仿宋_GB2312" w:eastAsia="仿宋_GB2312" w:cs="仿宋_GB2312"/>
          <w:i w:val="0"/>
          <w:iCs w:val="0"/>
          <w:caps w:val="0"/>
          <w:color w:val="auto"/>
          <w:spacing w:val="0"/>
          <w:sz w:val="32"/>
          <w:szCs w:val="32"/>
          <w:highlight w:val="none"/>
          <w:lang w:val="en-US" w:eastAsia="zh-CN"/>
        </w:rPr>
        <w:t>五</w:t>
      </w:r>
      <w:r>
        <w:rPr>
          <w:rFonts w:hint="eastAsia" w:ascii="仿宋_GB2312" w:hAnsi="仿宋_GB2312" w:eastAsia="仿宋_GB2312" w:cs="仿宋_GB2312"/>
          <w:color w:val="auto"/>
          <w:kern w:val="0"/>
          <w:sz w:val="32"/>
          <w:szCs w:val="32"/>
          <w:highlight w:val="none"/>
          <w:u w:val="none"/>
          <w:lang w:eastAsia="zh-CN"/>
        </w:rPr>
        <w:t>）</w:t>
      </w:r>
      <w:r>
        <w:rPr>
          <w:rFonts w:hint="eastAsia" w:ascii="仿宋_GB2312" w:hAnsi="仿宋_GB2312" w:eastAsia="仿宋_GB2312" w:cs="仿宋_GB2312"/>
          <w:color w:val="auto"/>
          <w:kern w:val="0"/>
          <w:sz w:val="32"/>
          <w:szCs w:val="32"/>
          <w:highlight w:val="none"/>
          <w:u w:val="none"/>
        </w:rPr>
        <w:t>各工序报验核查质量控制点总计</w:t>
      </w:r>
      <w:r>
        <w:rPr>
          <w:rFonts w:hint="eastAsia" w:ascii="仿宋_GB2312" w:hAnsi="仿宋_GB2312" w:eastAsia="仿宋_GB2312" w:cs="仿宋_GB2312"/>
          <w:color w:val="auto"/>
          <w:kern w:val="0"/>
          <w:sz w:val="32"/>
          <w:szCs w:val="32"/>
          <w:highlight w:val="none"/>
          <w:u w:val="none"/>
          <w:lang w:val="en-US" w:eastAsia="zh-CN"/>
        </w:rPr>
        <w:t>被</w:t>
      </w:r>
      <w:r>
        <w:rPr>
          <w:rFonts w:hint="eastAsia" w:ascii="仿宋_GB2312" w:hAnsi="仿宋_GB2312" w:eastAsia="仿宋_GB2312" w:cs="仿宋_GB2312"/>
          <w:color w:val="auto"/>
          <w:kern w:val="0"/>
          <w:sz w:val="32"/>
          <w:szCs w:val="32"/>
          <w:highlight w:val="none"/>
          <w:u w:val="none"/>
        </w:rPr>
        <w:t>发现3次或连续发现2次质量控制点不合格</w:t>
      </w:r>
      <w:r>
        <w:rPr>
          <w:rFonts w:hint="eastAsia" w:ascii="仿宋_GB2312" w:hAnsi="仿宋_GB2312" w:eastAsia="仿宋_GB2312" w:cs="仿宋_GB2312"/>
          <w:color w:val="auto"/>
          <w:kern w:val="0"/>
          <w:sz w:val="32"/>
          <w:szCs w:val="32"/>
          <w:highlight w:val="none"/>
          <w:u w:val="none"/>
          <w:lang w:eastAsia="zh-CN"/>
        </w:rPr>
        <w:t>；</w:t>
      </w:r>
    </w:p>
    <w:p w14:paraId="2A083AC5">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lang w:val="en-US" w:eastAsia="zh-CN"/>
        </w:rPr>
      </w:pPr>
      <w:r>
        <w:rPr>
          <w:rFonts w:hint="eastAsia" w:ascii="仿宋_GB2312" w:hAnsi="仿宋_GB2312" w:eastAsia="仿宋_GB2312" w:cs="仿宋_GB2312"/>
          <w:i w:val="0"/>
          <w:iCs w:val="0"/>
          <w:caps w:val="0"/>
          <w:color w:val="auto"/>
          <w:spacing w:val="0"/>
          <w:sz w:val="32"/>
          <w:szCs w:val="32"/>
          <w:highlight w:val="none"/>
          <w:lang w:val="en-US" w:eastAsia="zh-CN"/>
        </w:rPr>
        <w:t>（</w:t>
      </w:r>
      <w:r>
        <w:rPr>
          <w:rFonts w:hint="eastAsia" w:ascii="仿宋_GB2312" w:hAnsi="仿宋_GB2312" w:eastAsia="仿宋_GB2312" w:cs="仿宋_GB2312"/>
          <w:color w:val="auto"/>
          <w:kern w:val="0"/>
          <w:sz w:val="32"/>
          <w:szCs w:val="32"/>
          <w:highlight w:val="none"/>
          <w:u w:val="none"/>
          <w:lang w:val="en-US" w:eastAsia="zh-CN"/>
        </w:rPr>
        <w:t>六</w:t>
      </w:r>
      <w:r>
        <w:rPr>
          <w:rFonts w:hint="eastAsia" w:ascii="仿宋_GB2312" w:hAnsi="仿宋_GB2312" w:eastAsia="仿宋_GB2312" w:cs="仿宋_GB2312"/>
          <w:i w:val="0"/>
          <w:iCs w:val="0"/>
          <w:caps w:val="0"/>
          <w:color w:val="auto"/>
          <w:spacing w:val="0"/>
          <w:sz w:val="32"/>
          <w:szCs w:val="32"/>
          <w:highlight w:val="none"/>
          <w:lang w:val="en-US" w:eastAsia="zh-CN"/>
        </w:rPr>
        <w:t>）违反施工合同中约定的“一般违约责任”。</w:t>
      </w:r>
    </w:p>
    <w:p w14:paraId="33F22DC4">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630" w:leftChars="0" w:right="0" w:rightChars="0"/>
        <w:jc w:val="both"/>
        <w:textAlignment w:val="auto"/>
        <w:rPr>
          <w:rFonts w:hint="eastAsia" w:ascii="仿宋_GB2312" w:hAnsi="仿宋_GB2312" w:eastAsia="仿宋_GB2312" w:cs="仿宋_GB2312"/>
          <w:b w:val="0"/>
          <w:bCs w:val="0"/>
          <w:color w:val="auto"/>
          <w:kern w:val="2"/>
          <w:sz w:val="32"/>
          <w:szCs w:val="32"/>
          <w:highlight w:val="none"/>
          <w:u w:val="none"/>
          <w:lang w:val="en-US" w:eastAsia="zh-CN" w:bidi="ar-SA"/>
        </w:rPr>
      </w:pPr>
      <w:r>
        <w:rPr>
          <w:rFonts w:hint="eastAsia" w:ascii="仿宋_GB2312" w:hAnsi="仿宋_GB2312" w:eastAsia="仿宋_GB2312" w:cs="仿宋_GB2312"/>
          <w:b w:val="0"/>
          <w:bCs w:val="0"/>
          <w:color w:val="auto"/>
          <w:kern w:val="2"/>
          <w:sz w:val="32"/>
          <w:szCs w:val="32"/>
          <w:highlight w:val="none"/>
          <w:u w:val="none"/>
          <w:lang w:val="en-US" w:eastAsia="zh-CN" w:bidi="ar-SA"/>
        </w:rPr>
        <w:t>三、工程资料</w:t>
      </w:r>
    </w:p>
    <w:p w14:paraId="718BCBF4">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color w:val="auto"/>
          <w:kern w:val="2"/>
          <w:sz w:val="32"/>
          <w:szCs w:val="32"/>
          <w:highlight w:val="none"/>
          <w:u w:val="none"/>
          <w:lang w:val="en-US" w:eastAsia="zh-CN" w:bidi="ar-SA"/>
        </w:rPr>
      </w:pP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lang w:val="en-US" w:eastAsia="zh-CN"/>
        </w:rPr>
        <w:t>一</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color w:val="auto"/>
          <w:kern w:val="2"/>
          <w:sz w:val="32"/>
          <w:szCs w:val="32"/>
          <w:highlight w:val="none"/>
          <w:u w:val="none"/>
          <w:lang w:val="en-US" w:eastAsia="zh-CN" w:bidi="ar-SA"/>
        </w:rPr>
        <w:t>工程资料发现与现场施工进度不匹配连续发现2次或累计达3次；</w:t>
      </w:r>
    </w:p>
    <w:p w14:paraId="053AE9BE">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color w:val="auto"/>
          <w:kern w:val="2"/>
          <w:sz w:val="32"/>
          <w:szCs w:val="32"/>
          <w:highlight w:val="none"/>
          <w:u w:val="none"/>
          <w:lang w:val="en-US" w:eastAsia="zh-CN" w:bidi="ar-SA"/>
        </w:rPr>
      </w:pPr>
      <w:r>
        <w:rPr>
          <w:rFonts w:hint="eastAsia" w:ascii="仿宋_GB2312" w:hAnsi="仿宋_GB2312" w:eastAsia="仿宋_GB2312" w:cs="仿宋_GB2312"/>
          <w:color w:val="auto"/>
          <w:kern w:val="2"/>
          <w:sz w:val="32"/>
          <w:szCs w:val="32"/>
          <w:highlight w:val="none"/>
          <w:u w:val="none"/>
          <w:lang w:val="en-US" w:eastAsia="zh-CN" w:bidi="ar-SA"/>
        </w:rPr>
        <w:t>（二）未开展安全技术环保交底、安全文明教育培训，施工日志（安全日志）无安全、质量、环保相关内容。</w:t>
      </w:r>
    </w:p>
    <w:p w14:paraId="737B339C">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b w:val="0"/>
          <w:bCs w:val="0"/>
          <w:color w:val="auto"/>
          <w:kern w:val="2"/>
          <w:sz w:val="32"/>
          <w:szCs w:val="32"/>
          <w:highlight w:val="none"/>
          <w:u w:val="none"/>
          <w:lang w:val="en-US" w:eastAsia="zh-CN" w:bidi="ar-SA"/>
        </w:rPr>
      </w:pPr>
      <w:r>
        <w:rPr>
          <w:rFonts w:hint="eastAsia" w:ascii="仿宋_GB2312" w:hAnsi="仿宋_GB2312" w:eastAsia="仿宋_GB2312" w:cs="仿宋_GB2312"/>
          <w:b w:val="0"/>
          <w:bCs w:val="0"/>
          <w:color w:val="auto"/>
          <w:kern w:val="2"/>
          <w:sz w:val="32"/>
          <w:szCs w:val="32"/>
          <w:highlight w:val="none"/>
          <w:u w:val="none"/>
          <w:lang w:val="en-US" w:eastAsia="zh-CN" w:bidi="ar-SA"/>
        </w:rPr>
        <w:t>四、文明施工（环境保护）</w:t>
      </w:r>
    </w:p>
    <w:p w14:paraId="615B97FE">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lang w:val="en-US" w:eastAsia="zh-CN"/>
        </w:rPr>
        <w:t>一</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color w:val="auto"/>
          <w:sz w:val="32"/>
          <w:szCs w:val="32"/>
          <w:highlight w:val="none"/>
          <w:u w:val="none"/>
          <w:lang w:val="en-US" w:eastAsia="zh-CN"/>
        </w:rPr>
        <w:t>因其自身原因造成环境污染（包括噪声扰民）或生态破坏，被其他承包人或周围居民投诉，被投诉故意拖延或同样问题累计被投诉2次及以上；</w:t>
      </w:r>
    </w:p>
    <w:p w14:paraId="17C3528D">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color w:val="auto"/>
          <w:kern w:val="2"/>
          <w:sz w:val="32"/>
          <w:szCs w:val="32"/>
          <w:highlight w:val="none"/>
          <w:u w:val="none"/>
          <w:lang w:val="en-US" w:eastAsia="zh-CN" w:bidi="ar-SA"/>
        </w:rPr>
      </w:pP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lang w:val="en-US" w:eastAsia="zh-CN"/>
        </w:rPr>
        <w:t>二</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color w:val="auto"/>
          <w:kern w:val="0"/>
          <w:sz w:val="32"/>
          <w:szCs w:val="32"/>
          <w:highlight w:val="none"/>
          <w:u w:val="none"/>
        </w:rPr>
        <w:t>工程施工前，承包人未根据施工情况及时向当地行政审批部门申请办理建筑垃圾运输</w:t>
      </w:r>
      <w:r>
        <w:rPr>
          <w:rFonts w:hint="eastAsia" w:ascii="仿宋_GB2312" w:hAnsi="仿宋_GB2312" w:eastAsia="仿宋_GB2312" w:cs="仿宋_GB2312"/>
          <w:color w:val="auto"/>
          <w:kern w:val="0"/>
          <w:sz w:val="32"/>
          <w:szCs w:val="32"/>
          <w:highlight w:val="none"/>
          <w:u w:val="none"/>
          <w:lang w:val="en-US" w:eastAsia="zh-CN"/>
        </w:rPr>
        <w:t>和</w:t>
      </w:r>
      <w:r>
        <w:rPr>
          <w:rFonts w:hint="eastAsia" w:ascii="仿宋_GB2312" w:hAnsi="仿宋_GB2312" w:eastAsia="仿宋_GB2312" w:cs="仿宋_GB2312"/>
          <w:color w:val="auto"/>
          <w:kern w:val="0"/>
          <w:sz w:val="32"/>
          <w:szCs w:val="32"/>
          <w:highlight w:val="none"/>
          <w:u w:val="none"/>
        </w:rPr>
        <w:t>处置核准</w:t>
      </w:r>
      <w:r>
        <w:rPr>
          <w:rFonts w:hint="eastAsia" w:ascii="仿宋_GB2312" w:hAnsi="仿宋_GB2312" w:eastAsia="仿宋_GB2312" w:cs="仿宋_GB2312"/>
          <w:color w:val="auto"/>
          <w:kern w:val="0"/>
          <w:sz w:val="32"/>
          <w:szCs w:val="32"/>
          <w:highlight w:val="none"/>
          <w:u w:val="none"/>
          <w:lang w:eastAsia="zh-CN"/>
        </w:rPr>
        <w:t>、</w:t>
      </w:r>
      <w:r>
        <w:rPr>
          <w:rFonts w:hint="eastAsia" w:ascii="仿宋_GB2312" w:hAnsi="仿宋_GB2312" w:eastAsia="仿宋_GB2312" w:cs="仿宋_GB2312"/>
          <w:color w:val="auto"/>
          <w:kern w:val="0"/>
          <w:sz w:val="32"/>
          <w:szCs w:val="32"/>
          <w:highlight w:val="none"/>
          <w:u w:val="none"/>
        </w:rPr>
        <w:t>备案等相关手续</w:t>
      </w:r>
      <w:r>
        <w:rPr>
          <w:rFonts w:hint="eastAsia" w:ascii="仿宋_GB2312" w:hAnsi="仿宋_GB2312" w:eastAsia="仿宋_GB2312" w:cs="仿宋_GB2312"/>
          <w:color w:val="auto"/>
          <w:kern w:val="0"/>
          <w:sz w:val="32"/>
          <w:szCs w:val="32"/>
          <w:highlight w:val="none"/>
          <w:u w:val="none"/>
          <w:lang w:eastAsia="zh-CN"/>
        </w:rPr>
        <w:t>。</w:t>
      </w:r>
    </w:p>
    <w:p w14:paraId="628D87F5">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b w:val="0"/>
          <w:bCs w:val="0"/>
          <w:color w:val="auto"/>
          <w:kern w:val="2"/>
          <w:sz w:val="32"/>
          <w:szCs w:val="32"/>
          <w:highlight w:val="none"/>
          <w:u w:val="none"/>
          <w:lang w:val="en-US" w:eastAsia="zh-CN" w:bidi="ar-SA"/>
        </w:rPr>
      </w:pPr>
      <w:r>
        <w:rPr>
          <w:rFonts w:hint="eastAsia" w:ascii="仿宋_GB2312" w:hAnsi="仿宋_GB2312" w:eastAsia="仿宋_GB2312" w:cs="仿宋_GB2312"/>
          <w:b w:val="0"/>
          <w:bCs w:val="0"/>
          <w:color w:val="auto"/>
          <w:kern w:val="2"/>
          <w:sz w:val="32"/>
          <w:szCs w:val="32"/>
          <w:highlight w:val="none"/>
          <w:u w:val="none"/>
          <w:lang w:val="en-US" w:eastAsia="zh-CN" w:bidi="ar-SA"/>
        </w:rPr>
        <w:t>五、竣工验收</w:t>
      </w:r>
    </w:p>
    <w:p w14:paraId="0812727E">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color w:val="auto"/>
          <w:kern w:val="2"/>
          <w:sz w:val="32"/>
          <w:szCs w:val="32"/>
          <w:highlight w:val="none"/>
          <w:u w:val="none"/>
          <w:lang w:val="en-US" w:eastAsia="zh-CN" w:bidi="ar-SA"/>
        </w:rPr>
      </w:pPr>
      <w:r>
        <w:rPr>
          <w:rFonts w:hint="eastAsia" w:ascii="仿宋_GB2312" w:hAnsi="仿宋_GB2312" w:eastAsia="仿宋_GB2312" w:cs="仿宋_GB2312"/>
          <w:color w:val="auto"/>
          <w:kern w:val="2"/>
          <w:sz w:val="32"/>
          <w:szCs w:val="32"/>
          <w:highlight w:val="none"/>
          <w:u w:val="none"/>
          <w:lang w:val="en-US" w:eastAsia="zh-CN" w:bidi="ar-SA"/>
        </w:rPr>
        <w:t>未及时按要求提交设计变更资料。</w:t>
      </w:r>
    </w:p>
    <w:p w14:paraId="5550A11B">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lang w:val="en-US" w:eastAsia="zh-CN"/>
        </w:rPr>
        <w:t>六、</w:t>
      </w:r>
      <w:r>
        <w:rPr>
          <w:rFonts w:hint="eastAsia" w:ascii="仿宋_GB2312" w:hAnsi="仿宋_GB2312" w:eastAsia="仿宋_GB2312" w:cs="仿宋_GB2312"/>
          <w:color w:val="auto"/>
          <w:kern w:val="0"/>
          <w:sz w:val="32"/>
          <w:szCs w:val="32"/>
          <w:highlight w:val="none"/>
          <w:u w:val="none"/>
        </w:rPr>
        <w:t>现场管理</w:t>
      </w:r>
    </w:p>
    <w:p w14:paraId="1A172CC9">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color w:val="auto"/>
          <w:kern w:val="0"/>
          <w:sz w:val="32"/>
          <w:szCs w:val="32"/>
          <w:highlight w:val="none"/>
          <w:u w:val="none"/>
          <w:lang w:eastAsia="zh-CN"/>
        </w:rPr>
      </w:pPr>
      <w:r>
        <w:rPr>
          <w:rFonts w:hint="eastAsia" w:ascii="仿宋_GB2312" w:hAnsi="仿宋_GB2312" w:eastAsia="仿宋_GB2312" w:cs="仿宋_GB2312"/>
          <w:i w:val="0"/>
          <w:iCs w:val="0"/>
          <w:caps w:val="0"/>
          <w:color w:val="auto"/>
          <w:spacing w:val="0"/>
          <w:sz w:val="32"/>
          <w:szCs w:val="32"/>
          <w:highlight w:val="none"/>
          <w:u w:val="none"/>
          <w:lang w:eastAsia="zh-CN"/>
        </w:rPr>
        <w:t>（</w:t>
      </w:r>
      <w:r>
        <w:rPr>
          <w:rFonts w:hint="eastAsia" w:ascii="仿宋_GB2312" w:hAnsi="仿宋_GB2312" w:eastAsia="仿宋_GB2312" w:cs="仿宋_GB2312"/>
          <w:i w:val="0"/>
          <w:iCs w:val="0"/>
          <w:caps w:val="0"/>
          <w:color w:val="auto"/>
          <w:spacing w:val="0"/>
          <w:sz w:val="32"/>
          <w:szCs w:val="32"/>
          <w:highlight w:val="none"/>
          <w:u w:val="none"/>
          <w:lang w:val="en-US" w:eastAsia="zh-CN"/>
        </w:rPr>
        <w:t>一</w:t>
      </w:r>
      <w:r>
        <w:rPr>
          <w:rFonts w:hint="eastAsia" w:ascii="仿宋_GB2312" w:hAnsi="仿宋_GB2312" w:eastAsia="仿宋_GB2312" w:cs="仿宋_GB2312"/>
          <w:i w:val="0"/>
          <w:iCs w:val="0"/>
          <w:caps w:val="0"/>
          <w:color w:val="auto"/>
          <w:spacing w:val="0"/>
          <w:sz w:val="32"/>
          <w:szCs w:val="32"/>
          <w:highlight w:val="none"/>
          <w:u w:val="none"/>
          <w:lang w:eastAsia="zh-CN"/>
        </w:rPr>
        <w:t>）</w:t>
      </w:r>
      <w:r>
        <w:rPr>
          <w:rFonts w:hint="eastAsia" w:ascii="仿宋_GB2312" w:hAnsi="仿宋_GB2312" w:eastAsia="仿宋_GB2312" w:cs="仿宋_GB2312"/>
          <w:color w:val="auto"/>
          <w:kern w:val="0"/>
          <w:sz w:val="32"/>
          <w:szCs w:val="32"/>
          <w:highlight w:val="none"/>
          <w:u w:val="none"/>
        </w:rPr>
        <w:t>承包人在施工过程中有不配合发包人和监理人的工作或不遵守有关法规的行为</w:t>
      </w:r>
      <w:r>
        <w:rPr>
          <w:rFonts w:hint="eastAsia" w:ascii="仿宋_GB2312" w:hAnsi="仿宋_GB2312" w:eastAsia="仿宋_GB2312" w:cs="仿宋_GB2312"/>
          <w:color w:val="auto"/>
          <w:kern w:val="0"/>
          <w:sz w:val="32"/>
          <w:szCs w:val="32"/>
          <w:highlight w:val="none"/>
          <w:u w:val="none"/>
          <w:lang w:eastAsia="zh-CN"/>
        </w:rPr>
        <w:t>；</w:t>
      </w:r>
    </w:p>
    <w:p w14:paraId="5E08D2AF">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color w:val="auto"/>
          <w:kern w:val="0"/>
          <w:sz w:val="32"/>
          <w:szCs w:val="32"/>
          <w:highlight w:val="none"/>
          <w:u w:val="none"/>
          <w:lang w:eastAsia="zh-CN"/>
        </w:rPr>
      </w:pPr>
      <w:r>
        <w:rPr>
          <w:rFonts w:hint="eastAsia" w:ascii="仿宋_GB2312" w:hAnsi="仿宋_GB2312" w:eastAsia="仿宋_GB2312" w:cs="仿宋_GB2312"/>
          <w:i w:val="0"/>
          <w:iCs w:val="0"/>
          <w:caps w:val="0"/>
          <w:color w:val="auto"/>
          <w:spacing w:val="0"/>
          <w:sz w:val="32"/>
          <w:szCs w:val="32"/>
          <w:highlight w:val="none"/>
          <w:u w:val="none"/>
          <w:lang w:eastAsia="zh-CN"/>
        </w:rPr>
        <w:t>（</w:t>
      </w:r>
      <w:r>
        <w:rPr>
          <w:rFonts w:hint="eastAsia" w:ascii="仿宋_GB2312" w:hAnsi="仿宋_GB2312" w:eastAsia="仿宋_GB2312" w:cs="仿宋_GB2312"/>
          <w:i w:val="0"/>
          <w:iCs w:val="0"/>
          <w:caps w:val="0"/>
          <w:color w:val="auto"/>
          <w:spacing w:val="0"/>
          <w:sz w:val="32"/>
          <w:szCs w:val="32"/>
          <w:highlight w:val="none"/>
          <w:u w:val="none"/>
          <w:lang w:val="en-US" w:eastAsia="zh-CN"/>
        </w:rPr>
        <w:t>二</w:t>
      </w:r>
      <w:r>
        <w:rPr>
          <w:rFonts w:hint="eastAsia" w:ascii="仿宋_GB2312" w:hAnsi="仿宋_GB2312" w:eastAsia="仿宋_GB2312" w:cs="仿宋_GB2312"/>
          <w:i w:val="0"/>
          <w:iCs w:val="0"/>
          <w:caps w:val="0"/>
          <w:color w:val="auto"/>
          <w:spacing w:val="0"/>
          <w:sz w:val="32"/>
          <w:szCs w:val="32"/>
          <w:highlight w:val="none"/>
          <w:u w:val="none"/>
          <w:lang w:eastAsia="zh-CN"/>
        </w:rPr>
        <w:t>）</w:t>
      </w:r>
      <w:r>
        <w:rPr>
          <w:rFonts w:hint="eastAsia" w:ascii="仿宋_GB2312" w:hAnsi="仿宋_GB2312" w:eastAsia="仿宋_GB2312" w:cs="仿宋_GB2312"/>
          <w:color w:val="auto"/>
          <w:kern w:val="0"/>
          <w:sz w:val="32"/>
          <w:szCs w:val="32"/>
          <w:highlight w:val="none"/>
          <w:u w:val="none"/>
        </w:rPr>
        <w:t>承包人因自身原因未能落实上级主管部门印发的关于建设工程相关管理办法、建设指导意见及建设标准实施项目建设管理</w:t>
      </w:r>
      <w:r>
        <w:rPr>
          <w:rFonts w:hint="eastAsia" w:ascii="仿宋_GB2312" w:hAnsi="仿宋_GB2312" w:eastAsia="仿宋_GB2312" w:cs="仿宋_GB2312"/>
          <w:color w:val="auto"/>
          <w:kern w:val="0"/>
          <w:sz w:val="32"/>
          <w:szCs w:val="32"/>
          <w:highlight w:val="none"/>
          <w:u w:val="none"/>
          <w:lang w:eastAsia="zh-CN"/>
        </w:rPr>
        <w:t>。</w:t>
      </w:r>
    </w:p>
    <w:p w14:paraId="3F09CC0D">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b/>
          <w:bCs/>
          <w:color w:val="auto"/>
          <w:sz w:val="32"/>
          <w:szCs w:val="32"/>
          <w:highlight w:val="none"/>
          <w:u w:val="none"/>
          <w:lang w:val="en-US" w:eastAsia="zh-CN"/>
        </w:rPr>
      </w:pPr>
      <w:r>
        <w:rPr>
          <w:rFonts w:hint="eastAsia" w:ascii="仿宋_GB2312" w:hAnsi="仿宋_GB2312" w:eastAsia="仿宋_GB2312" w:cs="仿宋_GB2312"/>
          <w:b w:val="0"/>
          <w:bCs w:val="0"/>
          <w:color w:val="auto"/>
          <w:sz w:val="32"/>
          <w:szCs w:val="32"/>
          <w:highlight w:val="none"/>
          <w:u w:val="none"/>
          <w:lang w:val="en-US" w:eastAsia="zh-CN"/>
        </w:rPr>
        <w:t>七、人员履约</w:t>
      </w:r>
    </w:p>
    <w:p w14:paraId="7359E955">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color w:val="auto"/>
          <w:kern w:val="0"/>
          <w:sz w:val="32"/>
          <w:szCs w:val="32"/>
          <w:highlight w:val="none"/>
          <w:u w:val="none"/>
          <w:lang w:val="en-US" w:eastAsia="zh-CN"/>
        </w:rPr>
      </w:pPr>
      <w:r>
        <w:rPr>
          <w:rFonts w:hint="eastAsia" w:ascii="仿宋_GB2312" w:hAnsi="仿宋_GB2312" w:eastAsia="仿宋_GB2312" w:cs="仿宋_GB2312"/>
          <w:b w:val="0"/>
          <w:bCs w:val="0"/>
          <w:color w:val="auto"/>
          <w:kern w:val="0"/>
          <w:sz w:val="32"/>
          <w:szCs w:val="32"/>
          <w:highlight w:val="none"/>
          <w:u w:val="none"/>
        </w:rPr>
        <w:t>在项目实施过程中，发包人不定期检查拟派人员到位履约情况，发现项目机构人员不到位或与发包人审批的拟派项目机构人员名册中的人员不符</w:t>
      </w:r>
      <w:r>
        <w:rPr>
          <w:rFonts w:hint="eastAsia" w:ascii="仿宋_GB2312" w:hAnsi="仿宋_GB2312" w:eastAsia="仿宋_GB2312" w:cs="仿宋_GB2312"/>
          <w:b w:val="0"/>
          <w:bCs w:val="0"/>
          <w:color w:val="auto"/>
          <w:kern w:val="0"/>
          <w:sz w:val="32"/>
          <w:szCs w:val="32"/>
          <w:highlight w:val="none"/>
          <w:u w:val="none"/>
          <w:lang w:eastAsia="zh-CN"/>
        </w:rPr>
        <w:t>。</w:t>
      </w:r>
    </w:p>
    <w:p w14:paraId="7823DE7D">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color w:val="auto"/>
          <w:kern w:val="0"/>
          <w:sz w:val="32"/>
          <w:szCs w:val="32"/>
          <w:highlight w:val="none"/>
          <w:u w:val="none"/>
          <w:lang w:val="en-US" w:eastAsia="zh-CN"/>
        </w:rPr>
      </w:pPr>
      <w:r>
        <w:rPr>
          <w:rFonts w:hint="eastAsia" w:ascii="仿宋_GB2312" w:hAnsi="仿宋_GB2312" w:eastAsia="仿宋_GB2312" w:cs="仿宋_GB2312"/>
          <w:color w:val="auto"/>
          <w:kern w:val="0"/>
          <w:sz w:val="32"/>
          <w:szCs w:val="32"/>
          <w:highlight w:val="none"/>
          <w:u w:val="none"/>
          <w:lang w:val="en-US" w:eastAsia="zh-CN"/>
        </w:rPr>
        <w:t>八、农民工工资</w:t>
      </w:r>
    </w:p>
    <w:p w14:paraId="56AD1947">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color w:val="auto"/>
          <w:kern w:val="0"/>
          <w:sz w:val="32"/>
          <w:szCs w:val="32"/>
          <w:highlight w:val="none"/>
          <w:u w:val="none"/>
          <w:lang w:val="en-US" w:eastAsia="zh-CN"/>
        </w:rPr>
      </w:pPr>
      <w:r>
        <w:rPr>
          <w:rFonts w:hint="eastAsia" w:ascii="仿宋_GB2312" w:hAnsi="仿宋_GB2312" w:eastAsia="仿宋_GB2312" w:cs="仿宋_GB2312"/>
          <w:color w:val="auto"/>
          <w:kern w:val="0"/>
          <w:sz w:val="32"/>
          <w:szCs w:val="32"/>
          <w:highlight w:val="none"/>
          <w:u w:val="none"/>
        </w:rPr>
        <w:t>承包人未按劳动合同支付劳务人员劳务费用或拖欠农民工工资</w:t>
      </w:r>
      <w:r>
        <w:rPr>
          <w:rFonts w:hint="eastAsia" w:ascii="仿宋_GB2312" w:hAnsi="仿宋_GB2312" w:eastAsia="仿宋_GB2312" w:cs="仿宋_GB2312"/>
          <w:color w:val="auto"/>
          <w:kern w:val="0"/>
          <w:sz w:val="32"/>
          <w:szCs w:val="32"/>
          <w:highlight w:val="none"/>
          <w:u w:val="none"/>
          <w:lang w:eastAsia="zh-CN"/>
        </w:rPr>
        <w:t>，</w:t>
      </w:r>
      <w:r>
        <w:rPr>
          <w:rFonts w:hint="eastAsia" w:ascii="仿宋_GB2312" w:hAnsi="仿宋_GB2312" w:eastAsia="仿宋_GB2312" w:cs="仿宋_GB2312"/>
          <w:color w:val="auto"/>
          <w:kern w:val="0"/>
          <w:sz w:val="32"/>
          <w:szCs w:val="32"/>
          <w:highlight w:val="none"/>
          <w:u w:val="none"/>
          <w:lang w:val="en-US" w:eastAsia="zh-CN"/>
        </w:rPr>
        <w:t>发生一次</w:t>
      </w:r>
      <w:r>
        <w:rPr>
          <w:rFonts w:hint="eastAsia" w:ascii="仿宋_GB2312" w:hAnsi="仿宋_GB2312" w:eastAsia="仿宋_GB2312" w:cs="仿宋_GB2312"/>
          <w:color w:val="auto"/>
          <w:kern w:val="0"/>
          <w:sz w:val="32"/>
          <w:szCs w:val="32"/>
          <w:highlight w:val="none"/>
          <w:u w:val="none"/>
        </w:rPr>
        <w:t>农民工上访、闹事等事件</w:t>
      </w:r>
      <w:r>
        <w:rPr>
          <w:rFonts w:hint="eastAsia" w:ascii="仿宋_GB2312" w:hAnsi="仿宋_GB2312" w:eastAsia="仿宋_GB2312" w:cs="仿宋_GB2312"/>
          <w:color w:val="auto"/>
          <w:kern w:val="0"/>
          <w:sz w:val="32"/>
          <w:szCs w:val="32"/>
          <w:highlight w:val="none"/>
          <w:u w:val="none"/>
          <w:lang w:eastAsia="zh-CN"/>
        </w:rPr>
        <w:t>。</w:t>
      </w:r>
    </w:p>
    <w:p w14:paraId="141BE290">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3" w:firstLineChars="200"/>
        <w:jc w:val="both"/>
        <w:textAlignment w:val="auto"/>
        <w:rPr>
          <w:rFonts w:hint="eastAsia" w:ascii="仿宋_GB2312" w:hAnsi="仿宋_GB2312" w:eastAsia="仿宋_GB2312" w:cs="仿宋_GB2312"/>
          <w:i w:val="0"/>
          <w:iCs w:val="0"/>
          <w:caps w:val="0"/>
          <w:color w:val="auto"/>
          <w:spacing w:val="0"/>
          <w:sz w:val="32"/>
          <w:szCs w:val="32"/>
          <w:highlight w:val="none"/>
          <w:lang w:eastAsia="zh-CN"/>
        </w:rPr>
      </w:pPr>
      <w:r>
        <w:rPr>
          <w:rStyle w:val="15"/>
          <w:rFonts w:hint="eastAsia" w:ascii="仿宋_GB2312" w:hAnsi="仿宋_GB2312" w:eastAsia="仿宋_GB2312" w:cs="仿宋_GB2312"/>
          <w:i w:val="0"/>
          <w:iCs w:val="0"/>
          <w:caps w:val="0"/>
          <w:color w:val="auto"/>
          <w:spacing w:val="0"/>
          <w:sz w:val="32"/>
          <w:szCs w:val="32"/>
          <w:highlight w:val="none"/>
        </w:rPr>
        <w:t>第</w:t>
      </w:r>
      <w:r>
        <w:rPr>
          <w:rStyle w:val="15"/>
          <w:rFonts w:hint="eastAsia" w:ascii="仿宋_GB2312" w:hAnsi="仿宋_GB2312" w:eastAsia="仿宋_GB2312" w:cs="仿宋_GB2312"/>
          <w:i w:val="0"/>
          <w:iCs w:val="0"/>
          <w:caps w:val="0"/>
          <w:color w:val="auto"/>
          <w:spacing w:val="0"/>
          <w:sz w:val="32"/>
          <w:szCs w:val="32"/>
          <w:highlight w:val="none"/>
          <w:lang w:val="en-US" w:eastAsia="zh-CN"/>
        </w:rPr>
        <w:t>七</w:t>
      </w:r>
      <w:r>
        <w:rPr>
          <w:rStyle w:val="15"/>
          <w:rFonts w:hint="eastAsia" w:ascii="仿宋_GB2312" w:hAnsi="仿宋_GB2312" w:eastAsia="仿宋_GB2312" w:cs="仿宋_GB2312"/>
          <w:i w:val="0"/>
          <w:iCs w:val="0"/>
          <w:caps w:val="0"/>
          <w:color w:val="auto"/>
          <w:spacing w:val="0"/>
          <w:sz w:val="32"/>
          <w:szCs w:val="32"/>
          <w:highlight w:val="none"/>
        </w:rPr>
        <w:t>条</w:t>
      </w:r>
      <w:r>
        <w:rPr>
          <w:rStyle w:val="15"/>
          <w:rFonts w:hint="eastAsia" w:ascii="仿宋_GB2312" w:hAnsi="仿宋_GB2312" w:eastAsia="仿宋_GB2312" w:cs="仿宋_GB2312"/>
          <w:b w:val="0"/>
          <w:bCs/>
          <w:i w:val="0"/>
          <w:iCs w:val="0"/>
          <w:caps w:val="0"/>
          <w:color w:val="auto"/>
          <w:spacing w:val="0"/>
          <w:sz w:val="32"/>
          <w:szCs w:val="32"/>
          <w:highlight w:val="none"/>
          <w:lang w:val="en-US" w:eastAsia="zh-CN"/>
        </w:rPr>
        <w:t>施工承包人</w:t>
      </w:r>
      <w:r>
        <w:rPr>
          <w:rFonts w:hint="eastAsia" w:ascii="仿宋_GB2312" w:hAnsi="仿宋_GB2312" w:eastAsia="仿宋_GB2312" w:cs="仿宋_GB2312"/>
          <w:b w:val="0"/>
          <w:bCs/>
          <w:i w:val="0"/>
          <w:iCs w:val="0"/>
          <w:caps w:val="0"/>
          <w:color w:val="auto"/>
          <w:spacing w:val="0"/>
          <w:sz w:val="32"/>
          <w:szCs w:val="32"/>
          <w:highlight w:val="none"/>
        </w:rPr>
        <w:t>有下列情形之一的</w:t>
      </w:r>
      <w:r>
        <w:rPr>
          <w:rFonts w:hint="eastAsia" w:ascii="仿宋_GB2312" w:hAnsi="仿宋_GB2312" w:eastAsia="仿宋_GB2312" w:cs="仿宋_GB2312"/>
          <w:i w:val="0"/>
          <w:iCs w:val="0"/>
          <w:caps w:val="0"/>
          <w:color w:val="auto"/>
          <w:spacing w:val="0"/>
          <w:sz w:val="32"/>
          <w:szCs w:val="32"/>
          <w:highlight w:val="none"/>
        </w:rPr>
        <w:t>，</w:t>
      </w:r>
      <w:r>
        <w:rPr>
          <w:rFonts w:hint="eastAsia" w:ascii="仿宋_GB2312" w:hAnsi="仿宋_GB2312" w:eastAsia="仿宋_GB2312" w:cs="仿宋_GB2312"/>
          <w:i w:val="0"/>
          <w:iCs w:val="0"/>
          <w:caps w:val="0"/>
          <w:color w:val="auto"/>
          <w:spacing w:val="8"/>
          <w:sz w:val="32"/>
          <w:szCs w:val="32"/>
          <w:highlight w:val="none"/>
          <w:shd w:val="clear" w:color="auto" w:fill="FFFFFF"/>
        </w:rPr>
        <w:t>一次记1分</w:t>
      </w:r>
      <w:r>
        <w:rPr>
          <w:rFonts w:hint="eastAsia" w:ascii="仿宋_GB2312" w:hAnsi="仿宋_GB2312" w:eastAsia="仿宋_GB2312" w:cs="仿宋_GB2312"/>
          <w:i w:val="0"/>
          <w:iCs w:val="0"/>
          <w:caps w:val="0"/>
          <w:color w:val="auto"/>
          <w:spacing w:val="0"/>
          <w:sz w:val="32"/>
          <w:szCs w:val="32"/>
          <w:highlight w:val="none"/>
        </w:rPr>
        <w:t>：</w:t>
      </w:r>
    </w:p>
    <w:p w14:paraId="471748D8">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lang w:val="en-US" w:eastAsia="zh-CN"/>
        </w:rPr>
      </w:pPr>
      <w:r>
        <w:rPr>
          <w:rFonts w:hint="eastAsia" w:ascii="仿宋_GB2312" w:hAnsi="仿宋_GB2312" w:eastAsia="仿宋_GB2312" w:cs="仿宋_GB2312"/>
          <w:i w:val="0"/>
          <w:iCs w:val="0"/>
          <w:caps w:val="0"/>
          <w:color w:val="auto"/>
          <w:spacing w:val="0"/>
          <w:sz w:val="32"/>
          <w:szCs w:val="32"/>
          <w:highlight w:val="none"/>
          <w:lang w:val="en-US" w:eastAsia="zh-CN"/>
        </w:rPr>
        <w:t>（一）对于单宗或批次材料价值不高于10万元的（含10万元）累计抽检不合格达5次；</w:t>
      </w:r>
    </w:p>
    <w:p w14:paraId="7318D872">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color w:val="auto"/>
          <w:kern w:val="0"/>
          <w:sz w:val="32"/>
          <w:szCs w:val="32"/>
          <w:highlight w:val="none"/>
          <w:u w:val="single"/>
          <w:lang w:eastAsia="zh-CN"/>
        </w:rPr>
      </w:pPr>
      <w:r>
        <w:rPr>
          <w:rFonts w:hint="eastAsia" w:ascii="仿宋_GB2312" w:hAnsi="仿宋_GB2312" w:eastAsia="仿宋_GB2312" w:cs="仿宋_GB2312"/>
          <w:i w:val="0"/>
          <w:iCs w:val="0"/>
          <w:caps w:val="0"/>
          <w:color w:val="auto"/>
          <w:spacing w:val="0"/>
          <w:sz w:val="32"/>
          <w:szCs w:val="32"/>
          <w:highlight w:val="none"/>
          <w:lang w:val="en-US" w:eastAsia="zh-CN"/>
        </w:rPr>
        <w:t>（二）</w:t>
      </w:r>
      <w:r>
        <w:rPr>
          <w:rFonts w:hint="eastAsia" w:ascii="仿宋_GB2312" w:hAnsi="仿宋_GB2312" w:eastAsia="仿宋_GB2312" w:cs="仿宋_GB2312"/>
          <w:color w:val="auto"/>
          <w:kern w:val="0"/>
          <w:sz w:val="32"/>
          <w:szCs w:val="32"/>
          <w:highlight w:val="none"/>
          <w:u w:val="none"/>
        </w:rPr>
        <w:t>承包人未履行或未按时履行或未按质履行义务或发包人（含行政主管部门）的指示</w:t>
      </w:r>
      <w:r>
        <w:rPr>
          <w:rFonts w:hint="eastAsia" w:ascii="仿宋_GB2312" w:hAnsi="仿宋_GB2312" w:eastAsia="仿宋_GB2312" w:cs="仿宋_GB2312"/>
          <w:color w:val="auto"/>
          <w:kern w:val="0"/>
          <w:sz w:val="32"/>
          <w:szCs w:val="32"/>
          <w:highlight w:val="none"/>
          <w:u w:val="none"/>
          <w:lang w:eastAsia="zh-CN"/>
        </w:rPr>
        <w:t>；</w:t>
      </w:r>
    </w:p>
    <w:p w14:paraId="1928F0C0">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color w:val="auto"/>
          <w:kern w:val="0"/>
          <w:sz w:val="32"/>
          <w:szCs w:val="32"/>
          <w:highlight w:val="none"/>
          <w:u w:val="none"/>
          <w:lang w:eastAsia="zh-CN"/>
        </w:rPr>
      </w:pPr>
      <w:r>
        <w:rPr>
          <w:rFonts w:hint="eastAsia" w:ascii="仿宋_GB2312" w:hAnsi="仿宋_GB2312" w:eastAsia="仿宋_GB2312" w:cs="仿宋_GB2312"/>
          <w:color w:val="auto"/>
          <w:kern w:val="0"/>
          <w:sz w:val="32"/>
          <w:szCs w:val="32"/>
          <w:highlight w:val="none"/>
          <w:u w:val="none"/>
          <w:lang w:eastAsia="zh-CN"/>
        </w:rPr>
        <w:t>（</w:t>
      </w:r>
      <w:r>
        <w:rPr>
          <w:rFonts w:hint="eastAsia" w:ascii="仿宋_GB2312" w:hAnsi="仿宋_GB2312" w:eastAsia="仿宋_GB2312" w:cs="仿宋_GB2312"/>
          <w:color w:val="auto"/>
          <w:kern w:val="0"/>
          <w:sz w:val="32"/>
          <w:szCs w:val="32"/>
          <w:highlight w:val="none"/>
          <w:u w:val="none"/>
          <w:lang w:val="en-US" w:eastAsia="zh-CN"/>
        </w:rPr>
        <w:t>三</w:t>
      </w:r>
      <w:r>
        <w:rPr>
          <w:rFonts w:hint="eastAsia" w:ascii="仿宋_GB2312" w:hAnsi="仿宋_GB2312" w:eastAsia="仿宋_GB2312" w:cs="仿宋_GB2312"/>
          <w:color w:val="auto"/>
          <w:kern w:val="0"/>
          <w:sz w:val="32"/>
          <w:szCs w:val="32"/>
          <w:highlight w:val="none"/>
          <w:u w:val="none"/>
          <w:lang w:eastAsia="zh-CN"/>
        </w:rPr>
        <w:t>）</w:t>
      </w:r>
      <w:r>
        <w:rPr>
          <w:rFonts w:hint="eastAsia" w:ascii="仿宋_GB2312" w:hAnsi="仿宋_GB2312" w:eastAsia="仿宋_GB2312" w:cs="仿宋_GB2312"/>
          <w:color w:val="auto"/>
          <w:kern w:val="0"/>
          <w:sz w:val="32"/>
          <w:szCs w:val="32"/>
          <w:highlight w:val="none"/>
          <w:u w:val="none"/>
        </w:rPr>
        <w:t>监理工程师或发包人在日常工作检查中发现承包人有违约行为</w:t>
      </w:r>
      <w:r>
        <w:rPr>
          <w:rFonts w:hint="eastAsia" w:ascii="仿宋_GB2312" w:hAnsi="仿宋_GB2312" w:eastAsia="仿宋_GB2312" w:cs="仿宋_GB2312"/>
          <w:color w:val="auto"/>
          <w:kern w:val="0"/>
          <w:sz w:val="32"/>
          <w:szCs w:val="32"/>
          <w:highlight w:val="none"/>
          <w:u w:val="none"/>
          <w:lang w:eastAsia="zh-CN"/>
        </w:rPr>
        <w:t>，</w:t>
      </w:r>
      <w:r>
        <w:rPr>
          <w:rFonts w:hint="eastAsia" w:ascii="仿宋_GB2312" w:hAnsi="仿宋_GB2312" w:eastAsia="仿宋_GB2312" w:cs="仿宋_GB2312"/>
          <w:color w:val="auto"/>
          <w:kern w:val="0"/>
          <w:sz w:val="32"/>
          <w:szCs w:val="32"/>
          <w:highlight w:val="none"/>
          <w:u w:val="none"/>
        </w:rPr>
        <w:t>承包人</w:t>
      </w:r>
      <w:r>
        <w:rPr>
          <w:rFonts w:hint="eastAsia" w:ascii="仿宋_GB2312" w:hAnsi="仿宋_GB2312" w:eastAsia="仿宋_GB2312" w:cs="仿宋_GB2312"/>
          <w:color w:val="auto"/>
          <w:kern w:val="0"/>
          <w:sz w:val="32"/>
          <w:szCs w:val="32"/>
          <w:highlight w:val="none"/>
          <w:u w:val="none"/>
          <w:lang w:val="en-US" w:eastAsia="zh-CN"/>
        </w:rPr>
        <w:t>未</w:t>
      </w:r>
      <w:r>
        <w:rPr>
          <w:rFonts w:hint="eastAsia" w:ascii="仿宋_GB2312" w:hAnsi="仿宋_GB2312" w:eastAsia="仿宋_GB2312" w:cs="仿宋_GB2312"/>
          <w:color w:val="auto"/>
          <w:kern w:val="0"/>
          <w:sz w:val="32"/>
          <w:szCs w:val="32"/>
          <w:highlight w:val="none"/>
          <w:u w:val="none"/>
        </w:rPr>
        <w:t>在指定的期限内改正</w:t>
      </w:r>
      <w:r>
        <w:rPr>
          <w:rFonts w:hint="eastAsia" w:ascii="仿宋_GB2312" w:hAnsi="仿宋_GB2312" w:eastAsia="仿宋_GB2312" w:cs="仿宋_GB2312"/>
          <w:color w:val="auto"/>
          <w:kern w:val="0"/>
          <w:sz w:val="32"/>
          <w:szCs w:val="32"/>
          <w:highlight w:val="none"/>
          <w:u w:val="none"/>
          <w:lang w:eastAsia="zh-CN"/>
        </w:rPr>
        <w:t>；</w:t>
      </w:r>
    </w:p>
    <w:p w14:paraId="5CC14EC6">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color w:val="auto"/>
          <w:kern w:val="0"/>
          <w:sz w:val="32"/>
          <w:szCs w:val="32"/>
          <w:highlight w:val="none"/>
          <w:u w:val="single"/>
          <w:lang w:eastAsia="zh-CN"/>
        </w:rPr>
      </w:pPr>
      <w:r>
        <w:rPr>
          <w:rFonts w:hint="eastAsia" w:ascii="仿宋_GB2312" w:hAnsi="仿宋_GB2312" w:eastAsia="仿宋_GB2312" w:cs="仿宋_GB2312"/>
          <w:color w:val="auto"/>
          <w:kern w:val="0"/>
          <w:sz w:val="32"/>
          <w:szCs w:val="32"/>
          <w:highlight w:val="none"/>
          <w:u w:val="none"/>
          <w:lang w:eastAsia="zh-CN"/>
        </w:rPr>
        <w:t>（</w:t>
      </w:r>
      <w:r>
        <w:rPr>
          <w:rFonts w:hint="eastAsia" w:ascii="仿宋_GB2312" w:hAnsi="仿宋_GB2312" w:eastAsia="仿宋_GB2312" w:cs="仿宋_GB2312"/>
          <w:color w:val="auto"/>
          <w:kern w:val="0"/>
          <w:sz w:val="32"/>
          <w:szCs w:val="32"/>
          <w:highlight w:val="none"/>
          <w:u w:val="none"/>
          <w:lang w:val="en-US" w:eastAsia="zh-CN"/>
        </w:rPr>
        <w:t>四</w:t>
      </w:r>
      <w:r>
        <w:rPr>
          <w:rFonts w:hint="eastAsia" w:ascii="仿宋_GB2312" w:hAnsi="仿宋_GB2312" w:eastAsia="仿宋_GB2312" w:cs="仿宋_GB2312"/>
          <w:color w:val="auto"/>
          <w:kern w:val="0"/>
          <w:sz w:val="32"/>
          <w:szCs w:val="32"/>
          <w:highlight w:val="none"/>
          <w:u w:val="none"/>
          <w:lang w:eastAsia="zh-CN"/>
        </w:rPr>
        <w:t>）</w:t>
      </w:r>
      <w:r>
        <w:rPr>
          <w:rFonts w:hint="eastAsia" w:ascii="仿宋_GB2312" w:hAnsi="仿宋_GB2312" w:eastAsia="仿宋_GB2312" w:cs="仿宋_GB2312"/>
          <w:color w:val="auto"/>
          <w:sz w:val="32"/>
          <w:szCs w:val="32"/>
          <w:highlight w:val="none"/>
          <w:u w:val="none"/>
          <w:lang w:val="en-US" w:eastAsia="zh-CN"/>
        </w:rPr>
        <w:t>因其自身原因造成环境污染（包括噪声扰民）或生态破坏，被其他承包人或周围居民投诉，被投诉故意拖延或同样问题累计被投诉2次及以下。</w:t>
      </w:r>
    </w:p>
    <w:p w14:paraId="2045F394">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3"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Style w:val="15"/>
          <w:rFonts w:hint="eastAsia" w:ascii="仿宋_GB2312" w:hAnsi="仿宋_GB2312" w:eastAsia="仿宋_GB2312" w:cs="仿宋_GB2312"/>
          <w:i w:val="0"/>
          <w:iCs w:val="0"/>
          <w:caps w:val="0"/>
          <w:color w:val="auto"/>
          <w:spacing w:val="0"/>
          <w:sz w:val="32"/>
          <w:szCs w:val="32"/>
          <w:highlight w:val="none"/>
        </w:rPr>
        <w:t>第</w:t>
      </w:r>
      <w:r>
        <w:rPr>
          <w:rStyle w:val="15"/>
          <w:rFonts w:hint="eastAsia" w:ascii="仿宋_GB2312" w:hAnsi="仿宋_GB2312" w:eastAsia="仿宋_GB2312" w:cs="仿宋_GB2312"/>
          <w:i w:val="0"/>
          <w:iCs w:val="0"/>
          <w:caps w:val="0"/>
          <w:color w:val="auto"/>
          <w:spacing w:val="0"/>
          <w:sz w:val="32"/>
          <w:szCs w:val="32"/>
          <w:highlight w:val="none"/>
          <w:lang w:val="en-US" w:eastAsia="zh-CN"/>
        </w:rPr>
        <w:t>八</w:t>
      </w:r>
      <w:r>
        <w:rPr>
          <w:rStyle w:val="15"/>
          <w:rFonts w:hint="eastAsia" w:ascii="仿宋_GB2312" w:hAnsi="仿宋_GB2312" w:eastAsia="仿宋_GB2312" w:cs="仿宋_GB2312"/>
          <w:i w:val="0"/>
          <w:iCs w:val="0"/>
          <w:caps w:val="0"/>
          <w:color w:val="auto"/>
          <w:spacing w:val="0"/>
          <w:sz w:val="32"/>
          <w:szCs w:val="32"/>
          <w:highlight w:val="none"/>
        </w:rPr>
        <w:t>条</w:t>
      </w:r>
      <w:r>
        <w:rPr>
          <w:rStyle w:val="15"/>
          <w:rFonts w:hint="eastAsia" w:ascii="仿宋_GB2312" w:hAnsi="仿宋_GB2312" w:eastAsia="仿宋_GB2312" w:cs="仿宋_GB2312"/>
          <w:i w:val="0"/>
          <w:iCs w:val="0"/>
          <w:caps w:val="0"/>
          <w:color w:val="auto"/>
          <w:spacing w:val="0"/>
          <w:sz w:val="32"/>
          <w:szCs w:val="32"/>
          <w:highlight w:val="none"/>
          <w:lang w:val="en-US" w:eastAsia="zh-CN"/>
        </w:rPr>
        <w:t xml:space="preserve"> </w:t>
      </w:r>
      <w:r>
        <w:rPr>
          <w:rFonts w:hint="eastAsia" w:ascii="仿宋_GB2312" w:hAnsi="仿宋_GB2312" w:eastAsia="仿宋_GB2312" w:cs="仿宋_GB2312"/>
          <w:color w:val="auto"/>
          <w:kern w:val="2"/>
          <w:sz w:val="32"/>
          <w:szCs w:val="32"/>
          <w:highlight w:val="none"/>
          <w:lang w:val="en-US" w:eastAsia="zh-CN" w:bidi="ar-SA"/>
        </w:rPr>
        <w:t>记分奖励。项目列入江东管理局或其他主管部门项目建设“红黑榜”中红榜，奖励3分；获“海南省安全文明施工标准化工地”“海南省建筑施工优质结构工程”，奖励6分；获“海南省绿岛杯”，奖励9分；获“鲁班奖”，奖励12分</w:t>
      </w:r>
      <w:r>
        <w:rPr>
          <w:rFonts w:hint="eastAsia" w:ascii="仿宋_GB2312" w:hAnsi="仿宋_GB2312" w:eastAsia="仿宋_GB2312" w:cs="仿宋_GB2312"/>
          <w:i w:val="0"/>
          <w:iCs w:val="0"/>
          <w:caps w:val="0"/>
          <w:color w:val="auto"/>
          <w:spacing w:val="0"/>
          <w:sz w:val="32"/>
          <w:szCs w:val="32"/>
          <w:highlight w:val="none"/>
          <w:lang w:val="en-US" w:eastAsia="zh-CN"/>
        </w:rPr>
        <w:t>。</w:t>
      </w:r>
    </w:p>
    <w:p w14:paraId="0FD8C1E9">
      <w:pPr>
        <w:keepNext w:val="0"/>
        <w:keepLines w:val="0"/>
        <w:pageBreakBefore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color w:val="auto"/>
          <w:sz w:val="32"/>
          <w:szCs w:val="32"/>
          <w:highlight w:val="none"/>
        </w:rPr>
        <w:t>第</w:t>
      </w:r>
      <w:r>
        <w:rPr>
          <w:rFonts w:hint="eastAsia" w:ascii="仿宋_GB2312" w:hAnsi="仿宋_GB2312" w:eastAsia="仿宋_GB2312" w:cs="仿宋_GB2312"/>
          <w:b/>
          <w:color w:val="auto"/>
          <w:sz w:val="32"/>
          <w:szCs w:val="32"/>
          <w:highlight w:val="none"/>
          <w:lang w:val="en-US" w:eastAsia="zh-CN"/>
        </w:rPr>
        <w:t>九</w:t>
      </w:r>
      <w:r>
        <w:rPr>
          <w:rFonts w:hint="eastAsia" w:ascii="仿宋_GB2312" w:hAnsi="仿宋_GB2312" w:eastAsia="仿宋_GB2312" w:cs="仿宋_GB2312"/>
          <w:b/>
          <w:color w:val="auto"/>
          <w:sz w:val="32"/>
          <w:szCs w:val="32"/>
          <w:highlight w:val="none"/>
        </w:rPr>
        <w:t xml:space="preserve">条 </w:t>
      </w:r>
      <w:r>
        <w:rPr>
          <w:rFonts w:hint="eastAsia" w:ascii="仿宋_GB2312" w:hAnsi="仿宋_GB2312" w:eastAsia="仿宋_GB2312" w:cs="仿宋_GB2312"/>
          <w:color w:val="auto"/>
          <w:kern w:val="0"/>
          <w:sz w:val="32"/>
          <w:szCs w:val="32"/>
          <w:highlight w:val="none"/>
          <w:lang w:bidi="ar"/>
        </w:rPr>
        <w:t>本协议作为</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电力工程</w:t>
      </w:r>
      <w:r>
        <w:rPr>
          <w:rFonts w:hint="eastAsia" w:ascii="仿宋_GB2312" w:hAnsi="仿宋_GB2312" w:eastAsia="仿宋_GB2312" w:cs="仿宋_GB2312"/>
          <w:color w:val="auto"/>
          <w:sz w:val="32"/>
          <w:szCs w:val="32"/>
          <w:highlight w:val="none"/>
        </w:rPr>
        <w:t>施工合同》</w:t>
      </w:r>
      <w:r>
        <w:rPr>
          <w:rFonts w:hint="eastAsia" w:ascii="仿宋_GB2312" w:hAnsi="仿宋_GB2312" w:eastAsia="仿宋_GB2312" w:cs="仿宋_GB2312"/>
          <w:color w:val="auto"/>
          <w:kern w:val="0"/>
          <w:sz w:val="32"/>
          <w:szCs w:val="32"/>
          <w:highlight w:val="none"/>
          <w:lang w:bidi="ar"/>
        </w:rPr>
        <w:t>附件，与</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电力工程</w:t>
      </w:r>
      <w:r>
        <w:rPr>
          <w:rFonts w:hint="eastAsia" w:ascii="仿宋_GB2312" w:hAnsi="仿宋_GB2312" w:eastAsia="仿宋_GB2312" w:cs="仿宋_GB2312"/>
          <w:color w:val="auto"/>
          <w:sz w:val="32"/>
          <w:szCs w:val="32"/>
          <w:highlight w:val="none"/>
        </w:rPr>
        <w:t>施工合同》</w:t>
      </w:r>
      <w:r>
        <w:rPr>
          <w:rFonts w:hint="eastAsia" w:ascii="仿宋_GB2312" w:hAnsi="仿宋_GB2312" w:eastAsia="仿宋_GB2312" w:cs="仿宋_GB2312"/>
          <w:color w:val="auto"/>
          <w:kern w:val="0"/>
          <w:sz w:val="32"/>
          <w:szCs w:val="32"/>
          <w:highlight w:val="none"/>
          <w:lang w:bidi="ar"/>
        </w:rPr>
        <w:t>具有同等的法律效力，经协议双方</w:t>
      </w:r>
      <w:r>
        <w:rPr>
          <w:rFonts w:hint="eastAsia" w:ascii="仿宋_GB2312" w:hAnsi="仿宋_GB2312" w:eastAsia="仿宋_GB2312" w:cs="仿宋_GB2312"/>
          <w:color w:val="auto"/>
          <w:kern w:val="0"/>
          <w:sz w:val="32"/>
          <w:szCs w:val="32"/>
          <w:highlight w:val="none"/>
          <w:lang w:val="en-US" w:eastAsia="zh-CN" w:bidi="ar"/>
        </w:rPr>
        <w:t>法定代表人或授权代表签字并加盖企业公章或合同章</w:t>
      </w:r>
      <w:r>
        <w:rPr>
          <w:rFonts w:hint="eastAsia" w:ascii="仿宋_GB2312" w:hAnsi="仿宋_GB2312" w:eastAsia="仿宋_GB2312" w:cs="仿宋_GB2312"/>
          <w:color w:val="auto"/>
          <w:kern w:val="0"/>
          <w:sz w:val="32"/>
          <w:szCs w:val="32"/>
          <w:highlight w:val="none"/>
          <w:lang w:bidi="ar"/>
        </w:rPr>
        <w:t>后立即生效</w:t>
      </w:r>
      <w:r>
        <w:rPr>
          <w:rFonts w:hint="eastAsia" w:ascii="仿宋_GB2312" w:hAnsi="仿宋_GB2312" w:eastAsia="仿宋_GB2312" w:cs="仿宋_GB2312"/>
          <w:color w:val="auto"/>
          <w:sz w:val="32"/>
          <w:szCs w:val="32"/>
          <w:highlight w:val="none"/>
        </w:rPr>
        <w:t>。</w:t>
      </w:r>
    </w:p>
    <w:p w14:paraId="6EB10C34">
      <w:pPr>
        <w:keepNext w:val="0"/>
        <w:keepLines w:val="0"/>
        <w:pageBreakBefore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color w:val="auto"/>
          <w:sz w:val="32"/>
          <w:szCs w:val="32"/>
          <w:highlight w:val="none"/>
        </w:rPr>
        <w:t>第</w:t>
      </w:r>
      <w:r>
        <w:rPr>
          <w:rFonts w:hint="eastAsia" w:ascii="仿宋_GB2312" w:hAnsi="仿宋_GB2312" w:eastAsia="仿宋_GB2312" w:cs="仿宋_GB2312"/>
          <w:b/>
          <w:color w:val="auto"/>
          <w:sz w:val="32"/>
          <w:szCs w:val="32"/>
          <w:highlight w:val="none"/>
          <w:lang w:val="en-US" w:eastAsia="zh-CN"/>
        </w:rPr>
        <w:t>十</w:t>
      </w:r>
      <w:r>
        <w:rPr>
          <w:rFonts w:hint="eastAsia" w:ascii="仿宋_GB2312" w:hAnsi="仿宋_GB2312" w:eastAsia="仿宋_GB2312" w:cs="仿宋_GB2312"/>
          <w:b/>
          <w:color w:val="auto"/>
          <w:sz w:val="32"/>
          <w:szCs w:val="32"/>
          <w:highlight w:val="none"/>
        </w:rPr>
        <w:t xml:space="preserve">条 </w:t>
      </w:r>
      <w:r>
        <w:rPr>
          <w:rFonts w:hint="eastAsia" w:ascii="仿宋_GB2312" w:hAnsi="仿宋_GB2312" w:eastAsia="仿宋_GB2312" w:cs="仿宋_GB2312"/>
          <w:color w:val="auto"/>
          <w:sz w:val="32"/>
          <w:szCs w:val="32"/>
          <w:highlight w:val="none"/>
        </w:rPr>
        <w:t>本协议的有效期与主合同的有效期一致。</w:t>
      </w:r>
    </w:p>
    <w:p w14:paraId="104EE94B">
      <w:pPr>
        <w:keepNext w:val="0"/>
        <w:keepLines w:val="0"/>
        <w:pageBreakBefore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color w:val="auto"/>
          <w:sz w:val="32"/>
          <w:szCs w:val="32"/>
          <w:highlight w:val="none"/>
        </w:rPr>
        <w:t>第</w:t>
      </w:r>
      <w:r>
        <w:rPr>
          <w:rFonts w:hint="eastAsia" w:ascii="仿宋_GB2312" w:hAnsi="仿宋_GB2312" w:eastAsia="仿宋_GB2312" w:cs="仿宋_GB2312"/>
          <w:b/>
          <w:color w:val="auto"/>
          <w:sz w:val="32"/>
          <w:szCs w:val="32"/>
          <w:highlight w:val="none"/>
          <w:lang w:val="en-US" w:eastAsia="zh-CN"/>
        </w:rPr>
        <w:t>十一</w:t>
      </w:r>
      <w:r>
        <w:rPr>
          <w:rFonts w:hint="eastAsia" w:ascii="仿宋_GB2312" w:hAnsi="仿宋_GB2312" w:eastAsia="仿宋_GB2312" w:cs="仿宋_GB2312"/>
          <w:b/>
          <w:color w:val="auto"/>
          <w:sz w:val="32"/>
          <w:szCs w:val="32"/>
          <w:highlight w:val="none"/>
        </w:rPr>
        <w:t xml:space="preserve">条 </w:t>
      </w:r>
      <w:r>
        <w:rPr>
          <w:rFonts w:hint="eastAsia" w:ascii="仿宋_GB2312" w:hAnsi="仿宋_GB2312" w:eastAsia="仿宋_GB2312" w:cs="仿宋_GB2312"/>
          <w:color w:val="auto"/>
          <w:sz w:val="32"/>
          <w:szCs w:val="32"/>
          <w:highlight w:val="none"/>
        </w:rPr>
        <w:t>未尽事宜，由双方协商解决。</w:t>
      </w:r>
    </w:p>
    <w:p w14:paraId="4C430A83">
      <w:pPr>
        <w:pStyle w:val="17"/>
        <w:adjustRightInd/>
        <w:spacing w:line="576" w:lineRule="exact"/>
        <w:rPr>
          <w:rFonts w:hint="eastAsia" w:ascii="仿宋_GB2312" w:hAnsi="仿宋_GB2312" w:eastAsia="仿宋_GB2312" w:cs="仿宋_GB2312"/>
          <w:color w:val="auto"/>
          <w:sz w:val="32"/>
          <w:szCs w:val="32"/>
          <w:highlight w:val="none"/>
        </w:rPr>
      </w:pPr>
    </w:p>
    <w:p w14:paraId="3AF6FA81">
      <w:pPr>
        <w:pStyle w:val="17"/>
        <w:adjustRightInd/>
        <w:spacing w:line="576" w:lineRule="exact"/>
        <w:rPr>
          <w:rFonts w:hint="eastAsia" w:ascii="仿宋_GB2312" w:hAnsi="仿宋_GB2312" w:eastAsia="仿宋_GB2312" w:cs="仿宋_GB2312"/>
          <w:color w:val="auto"/>
          <w:sz w:val="32"/>
          <w:szCs w:val="32"/>
          <w:highlight w:val="none"/>
        </w:rPr>
      </w:pPr>
    </w:p>
    <w:tbl>
      <w:tblPr>
        <w:tblStyle w:val="13"/>
        <w:tblW w:w="0" w:type="auto"/>
        <w:jc w:val="center"/>
        <w:tblLayout w:type="autofit"/>
        <w:tblCellMar>
          <w:top w:w="0" w:type="dxa"/>
          <w:left w:w="108" w:type="dxa"/>
          <w:bottom w:w="0" w:type="dxa"/>
          <w:right w:w="108" w:type="dxa"/>
        </w:tblCellMar>
      </w:tblPr>
      <w:tblGrid>
        <w:gridCol w:w="4148"/>
        <w:gridCol w:w="4148"/>
      </w:tblGrid>
      <w:tr w14:paraId="73153C59">
        <w:tblPrEx>
          <w:tblCellMar>
            <w:top w:w="0" w:type="dxa"/>
            <w:left w:w="108" w:type="dxa"/>
            <w:bottom w:w="0" w:type="dxa"/>
            <w:right w:w="108" w:type="dxa"/>
          </w:tblCellMar>
        </w:tblPrEx>
        <w:trPr>
          <w:trHeight w:val="2560" w:hRule="atLeast"/>
          <w:jc w:val="center"/>
        </w:trPr>
        <w:tc>
          <w:tcPr>
            <w:tcW w:w="4148" w:type="dxa"/>
            <w:noWrap w:val="0"/>
            <w:vAlign w:val="top"/>
          </w:tcPr>
          <w:p w14:paraId="279EF470">
            <w:pPr>
              <w:snapToGrid/>
              <w:spacing w:line="576" w:lineRule="exac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br w:type="page"/>
            </w:r>
            <w:r>
              <w:rPr>
                <w:rFonts w:hint="eastAsia" w:ascii="仿宋_GB2312" w:hAnsi="仿宋_GB2312" w:eastAsia="仿宋_GB2312" w:cs="仿宋_GB2312"/>
                <w:color w:val="auto"/>
                <w:sz w:val="32"/>
                <w:szCs w:val="32"/>
                <w:highlight w:val="none"/>
              </w:rPr>
              <w:t>发包人：（盖章）</w:t>
            </w:r>
          </w:p>
          <w:p w14:paraId="54FD6DC4">
            <w:pPr>
              <w:snapToGrid/>
              <w:spacing w:line="576" w:lineRule="exac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 xml:space="preserve">                          </w:t>
            </w:r>
          </w:p>
          <w:p w14:paraId="39A97A45">
            <w:pPr>
              <w:snapToGrid/>
              <w:spacing w:line="576" w:lineRule="exac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法定代表人或其</w:t>
            </w:r>
            <w:r>
              <w:rPr>
                <w:rFonts w:hint="eastAsia" w:ascii="仿宋_GB2312" w:hAnsi="仿宋_GB2312" w:eastAsia="仿宋_GB2312" w:cs="仿宋_GB2312"/>
                <w:color w:val="auto"/>
                <w:sz w:val="32"/>
                <w:szCs w:val="32"/>
                <w:highlight w:val="none"/>
                <w:lang w:eastAsia="zh-CN"/>
              </w:rPr>
              <w:t>授权代理人</w:t>
            </w:r>
            <w:r>
              <w:rPr>
                <w:rFonts w:hint="eastAsia" w:ascii="仿宋_GB2312" w:hAnsi="仿宋_GB2312" w:eastAsia="仿宋_GB2312" w:cs="仿宋_GB2312"/>
                <w:color w:val="auto"/>
                <w:sz w:val="32"/>
                <w:szCs w:val="32"/>
                <w:highlight w:val="none"/>
              </w:rPr>
              <w:t>：</w:t>
            </w:r>
          </w:p>
          <w:p w14:paraId="136CD65F">
            <w:pPr>
              <w:snapToGrid/>
              <w:spacing w:line="576" w:lineRule="exac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（签字或盖章）</w:t>
            </w:r>
          </w:p>
        </w:tc>
        <w:tc>
          <w:tcPr>
            <w:tcW w:w="4148" w:type="dxa"/>
            <w:noWrap w:val="0"/>
            <w:vAlign w:val="top"/>
          </w:tcPr>
          <w:p w14:paraId="33EA53EE">
            <w:pPr>
              <w:snapToGrid/>
              <w:spacing w:line="576" w:lineRule="exac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承包人：（盖章）</w:t>
            </w:r>
          </w:p>
          <w:p w14:paraId="45280CF5">
            <w:pPr>
              <w:snapToGrid/>
              <w:spacing w:line="576" w:lineRule="exac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 xml:space="preserve">                          </w:t>
            </w:r>
          </w:p>
          <w:p w14:paraId="1579BA42">
            <w:pPr>
              <w:snapToGrid/>
              <w:spacing w:line="576" w:lineRule="exac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法定代表人或其</w:t>
            </w:r>
            <w:r>
              <w:rPr>
                <w:rFonts w:hint="eastAsia" w:ascii="仿宋_GB2312" w:hAnsi="仿宋_GB2312" w:eastAsia="仿宋_GB2312" w:cs="仿宋_GB2312"/>
                <w:color w:val="auto"/>
                <w:sz w:val="32"/>
                <w:szCs w:val="32"/>
                <w:highlight w:val="none"/>
                <w:lang w:eastAsia="zh-CN"/>
              </w:rPr>
              <w:t>授权代理人</w:t>
            </w:r>
            <w:r>
              <w:rPr>
                <w:rFonts w:hint="eastAsia" w:ascii="仿宋_GB2312" w:hAnsi="仿宋_GB2312" w:eastAsia="仿宋_GB2312" w:cs="仿宋_GB2312"/>
                <w:color w:val="auto"/>
                <w:sz w:val="32"/>
                <w:szCs w:val="32"/>
                <w:highlight w:val="none"/>
              </w:rPr>
              <w:t>：</w:t>
            </w:r>
          </w:p>
          <w:p w14:paraId="27ABD4DE">
            <w:pPr>
              <w:snapToGrid/>
              <w:spacing w:line="576" w:lineRule="exac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（签字或盖章）</w:t>
            </w:r>
          </w:p>
        </w:tc>
      </w:tr>
    </w:tbl>
    <w:p w14:paraId="1983371E">
      <w:pPr>
        <w:spacing w:line="520" w:lineRule="exact"/>
        <w:ind w:firstLine="0" w:firstLineChars="0"/>
        <w:rPr>
          <w:rFonts w:ascii="仿宋" w:hAnsi="仿宋" w:eastAsia="仿宋" w:cs="仿宋"/>
          <w:color w:val="auto"/>
          <w:sz w:val="32"/>
          <w:szCs w:val="32"/>
          <w:highlight w:val="none"/>
        </w:rPr>
      </w:pPr>
    </w:p>
    <w:p w14:paraId="6CF473B7">
      <w:pPr>
        <w:snapToGrid w:val="0"/>
        <w:spacing w:line="360" w:lineRule="auto"/>
        <w:jc w:val="center"/>
        <w:outlineLvl w:val="0"/>
        <w:rPr>
          <w:rFonts w:hint="eastAsia" w:ascii="仿宋_GB2312" w:hAnsi="仿宋_GB2312" w:eastAsia="仿宋_GB2312" w:cs="仿宋_GB2312"/>
          <w:b/>
          <w:bCs/>
          <w:color w:val="auto"/>
          <w:sz w:val="32"/>
          <w:szCs w:val="32"/>
          <w:highlight w:val="none"/>
        </w:rPr>
        <w:sectPr>
          <w:pgSz w:w="11906" w:h="16838"/>
          <w:pgMar w:top="1440" w:right="1800" w:bottom="1440" w:left="1800" w:header="851" w:footer="992" w:gutter="0"/>
          <w:pgNumType w:fmt="decimal"/>
          <w:cols w:space="720" w:num="1"/>
          <w:titlePg/>
          <w:docGrid w:type="lines" w:linePitch="312" w:charSpace="0"/>
        </w:sectPr>
      </w:pPr>
      <w:bookmarkStart w:id="3043" w:name="_Toc16207"/>
      <w:bookmarkStart w:id="3044" w:name="_Toc24525"/>
      <w:bookmarkStart w:id="3045" w:name="_Toc1609"/>
      <w:bookmarkStart w:id="3046" w:name="_Toc30990"/>
      <w:bookmarkStart w:id="3047" w:name="_Toc3666"/>
      <w:bookmarkStart w:id="3048" w:name="_Toc17819"/>
      <w:bookmarkStart w:id="3049" w:name="_Toc32716"/>
      <w:bookmarkStart w:id="3050" w:name="_Toc29680"/>
    </w:p>
    <w:p w14:paraId="64CEE328">
      <w:pPr>
        <w:snapToGrid w:val="0"/>
        <w:spacing w:line="360" w:lineRule="auto"/>
        <w:jc w:val="center"/>
        <w:outlineLvl w:val="0"/>
        <w:rPr>
          <w:rFonts w:hint="eastAsia" w:ascii="方正小标宋简体" w:hAnsi="方正小标宋简体" w:eastAsia="方正小标宋简体" w:cs="方正小标宋简体"/>
          <w:b w:val="0"/>
          <w:bCs w:val="0"/>
          <w:color w:val="auto"/>
          <w:sz w:val="44"/>
          <w:szCs w:val="44"/>
          <w:highlight w:val="none"/>
        </w:rPr>
      </w:pPr>
      <w:bookmarkStart w:id="3051" w:name="_Toc13127"/>
      <w:r>
        <w:rPr>
          <w:rFonts w:hint="eastAsia" w:ascii="方正小标宋简体" w:hAnsi="方正小标宋简体" w:eastAsia="方正小标宋简体" w:cs="方正小标宋简体"/>
          <w:b w:val="0"/>
          <w:bCs w:val="0"/>
          <w:color w:val="auto"/>
          <w:sz w:val="44"/>
          <w:szCs w:val="44"/>
          <w:highlight w:val="none"/>
        </w:rPr>
        <w:t>第四部分 中标通知书</w:t>
      </w:r>
      <w:bookmarkEnd w:id="3030"/>
      <w:bookmarkEnd w:id="3043"/>
      <w:bookmarkEnd w:id="3044"/>
      <w:bookmarkEnd w:id="3045"/>
      <w:bookmarkEnd w:id="3046"/>
      <w:bookmarkEnd w:id="3047"/>
      <w:bookmarkEnd w:id="3048"/>
      <w:bookmarkEnd w:id="3049"/>
      <w:bookmarkEnd w:id="3050"/>
      <w:bookmarkEnd w:id="3051"/>
    </w:p>
    <w:p w14:paraId="47C74990">
      <w:pPr>
        <w:spacing w:line="500" w:lineRule="exact"/>
        <w:rPr>
          <w:rFonts w:ascii="仿宋" w:hAnsi="仿宋" w:eastAsia="仿宋" w:cs="仿宋"/>
          <w:color w:val="auto"/>
          <w:sz w:val="32"/>
          <w:szCs w:val="32"/>
          <w:highlight w:val="none"/>
        </w:rPr>
      </w:pPr>
      <w:r>
        <w:rPr>
          <w:rFonts w:hint="eastAsia" w:ascii="仿宋" w:hAnsi="仿宋" w:eastAsia="仿宋" w:cs="仿宋"/>
          <w:color w:val="auto"/>
          <w:sz w:val="32"/>
          <w:szCs w:val="32"/>
          <w:highlight w:val="none"/>
        </w:rPr>
        <w:t xml:space="preserve">    </w:t>
      </w:r>
    </w:p>
    <w:p w14:paraId="52FB7BC1">
      <w:pPr>
        <w:spacing w:before="156" w:beforeLines="50" w:after="156" w:afterLines="50" w:line="440" w:lineRule="exact"/>
        <w:jc w:val="left"/>
        <w:rPr>
          <w:rFonts w:ascii="仿宋" w:hAnsi="仿宋" w:eastAsia="仿宋" w:cs="仿宋"/>
          <w:color w:val="auto"/>
          <w:sz w:val="32"/>
          <w:szCs w:val="32"/>
          <w:highlight w:val="none"/>
        </w:rPr>
        <w:sectPr>
          <w:footerReference r:id="rId19" w:type="first"/>
          <w:footerReference r:id="rId18" w:type="default"/>
          <w:pgSz w:w="11906" w:h="16838"/>
          <w:pgMar w:top="1440" w:right="1800" w:bottom="1440" w:left="1800" w:header="851" w:footer="992" w:gutter="0"/>
          <w:pgNumType w:fmt="decimal"/>
          <w:cols w:space="720" w:num="1"/>
          <w:titlePg/>
          <w:docGrid w:type="lines" w:linePitch="312" w:charSpace="0"/>
        </w:sectPr>
      </w:pPr>
    </w:p>
    <w:p w14:paraId="0EEB6174">
      <w:pPr>
        <w:rPr>
          <w:rFonts w:ascii="仿宋" w:hAnsi="仿宋" w:eastAsia="仿宋" w:cs="仿宋"/>
          <w:b/>
          <w:bCs/>
          <w:color w:val="auto"/>
          <w:sz w:val="32"/>
          <w:szCs w:val="32"/>
          <w:highlight w:val="none"/>
        </w:rPr>
      </w:pPr>
    </w:p>
    <w:p w14:paraId="34715F4A">
      <w:pPr>
        <w:snapToGrid w:val="0"/>
        <w:spacing w:line="360" w:lineRule="auto"/>
        <w:jc w:val="center"/>
        <w:outlineLvl w:val="0"/>
        <w:rPr>
          <w:rFonts w:hint="eastAsia" w:ascii="仿宋_GB2312" w:hAnsi="仿宋_GB2312" w:eastAsia="仿宋_GB2312" w:cs="仿宋_GB2312"/>
          <w:b/>
          <w:bCs/>
          <w:color w:val="auto"/>
          <w:sz w:val="32"/>
          <w:szCs w:val="32"/>
          <w:highlight w:val="none"/>
        </w:rPr>
      </w:pPr>
      <w:bookmarkStart w:id="3052" w:name="_Toc21212"/>
      <w:bookmarkStart w:id="3053" w:name="_Toc29772"/>
      <w:bookmarkStart w:id="3054" w:name="_Toc2988"/>
      <w:bookmarkStart w:id="3055" w:name="_Toc7860"/>
      <w:bookmarkStart w:id="3056" w:name="_Toc3708"/>
      <w:bookmarkStart w:id="3057" w:name="_Toc17339"/>
      <w:bookmarkStart w:id="3058" w:name="_Toc29060"/>
      <w:r>
        <w:rPr>
          <w:rFonts w:hint="eastAsia" w:ascii="仿宋_GB2312" w:hAnsi="仿宋_GB2312" w:eastAsia="仿宋_GB2312" w:cs="仿宋_GB2312"/>
          <w:b/>
          <w:bCs/>
          <w:color w:val="auto"/>
          <w:sz w:val="32"/>
          <w:szCs w:val="32"/>
          <w:highlight w:val="none"/>
        </w:rPr>
        <w:br w:type="page"/>
      </w:r>
      <w:bookmarkStart w:id="3059" w:name="_Toc10749"/>
      <w:bookmarkStart w:id="3060" w:name="_Toc27735"/>
      <w:bookmarkStart w:id="3061" w:name="_Toc5148"/>
      <w:r>
        <w:rPr>
          <w:rFonts w:hint="eastAsia" w:ascii="方正小标宋简体" w:hAnsi="方正小标宋简体" w:eastAsia="方正小标宋简体" w:cs="方正小标宋简体"/>
          <w:b w:val="0"/>
          <w:bCs w:val="0"/>
          <w:color w:val="auto"/>
          <w:sz w:val="44"/>
          <w:szCs w:val="44"/>
          <w:highlight w:val="none"/>
        </w:rPr>
        <w:t>第五部分 技术条款</w:t>
      </w:r>
      <w:bookmarkEnd w:id="3052"/>
      <w:bookmarkEnd w:id="3053"/>
      <w:bookmarkEnd w:id="3054"/>
      <w:bookmarkEnd w:id="3055"/>
      <w:bookmarkEnd w:id="3056"/>
      <w:bookmarkEnd w:id="3057"/>
      <w:bookmarkEnd w:id="3058"/>
      <w:bookmarkEnd w:id="3059"/>
      <w:bookmarkEnd w:id="3060"/>
      <w:bookmarkEnd w:id="3061"/>
    </w:p>
    <w:p w14:paraId="54E46798">
      <w:pPr>
        <w:spacing w:after="120" w:line="360" w:lineRule="auto"/>
        <w:ind w:firstLine="640" w:firstLineChars="200"/>
        <w:rPr>
          <w:rFonts w:ascii="仿宋" w:hAnsi="仿宋" w:eastAsia="仿宋" w:cs="仿宋"/>
          <w:color w:val="auto"/>
          <w:sz w:val="32"/>
          <w:szCs w:val="32"/>
          <w:highlight w:val="none"/>
        </w:rPr>
        <w:sectPr>
          <w:footerReference r:id="rId21" w:type="first"/>
          <w:footerReference r:id="rId20" w:type="default"/>
          <w:type w:val="continuous"/>
          <w:pgSz w:w="11906" w:h="16838"/>
          <w:pgMar w:top="1440" w:right="1800" w:bottom="1440" w:left="1800" w:header="851" w:footer="992" w:gutter="0"/>
          <w:pgNumType w:fmt="decimal"/>
          <w:cols w:space="720" w:num="1"/>
          <w:titlePg/>
          <w:docGrid w:type="lines" w:linePitch="312" w:charSpace="0"/>
        </w:sectPr>
      </w:pPr>
      <w:r>
        <w:rPr>
          <w:rFonts w:hint="eastAsia" w:ascii="仿宋_GB2312" w:hAnsi="仿宋_GB2312" w:eastAsia="仿宋_GB2312" w:cs="仿宋_GB2312"/>
          <w:color w:val="auto"/>
          <w:sz w:val="32"/>
          <w:szCs w:val="32"/>
          <w:highlight w:val="none"/>
        </w:rPr>
        <w:t>详见招标文件 技术标准和要求</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合同技术条款</w:t>
      </w:r>
      <w:r>
        <w:rPr>
          <w:rFonts w:hint="eastAsia" w:ascii="仿宋_GB2312" w:hAnsi="仿宋_GB2312" w:eastAsia="仿宋_GB2312" w:cs="仿宋_GB2312"/>
          <w:color w:val="auto"/>
          <w:sz w:val="32"/>
          <w:szCs w:val="32"/>
          <w:highlight w:val="none"/>
          <w:lang w:eastAsia="zh-CN"/>
        </w:rPr>
        <w:t>）</w:t>
      </w:r>
    </w:p>
    <w:p w14:paraId="509B1D33">
      <w:pPr>
        <w:rPr>
          <w:rFonts w:ascii="仿宋" w:hAnsi="仿宋" w:eastAsia="仿宋" w:cs="仿宋"/>
          <w:b/>
          <w:bCs/>
          <w:color w:val="auto"/>
          <w:sz w:val="32"/>
          <w:szCs w:val="32"/>
          <w:highlight w:val="none"/>
        </w:rPr>
      </w:pPr>
    </w:p>
    <w:p w14:paraId="5601C8E0">
      <w:pPr>
        <w:snapToGrid w:val="0"/>
        <w:spacing w:line="360" w:lineRule="auto"/>
        <w:jc w:val="center"/>
        <w:outlineLvl w:val="0"/>
        <w:rPr>
          <w:rFonts w:ascii="仿宋" w:hAnsi="仿宋" w:eastAsia="仿宋" w:cs="仿宋"/>
          <w:b/>
          <w:bCs/>
          <w:color w:val="auto"/>
          <w:sz w:val="32"/>
          <w:szCs w:val="32"/>
          <w:highlight w:val="none"/>
        </w:rPr>
      </w:pPr>
      <w:bookmarkStart w:id="3062" w:name="_Toc21437"/>
      <w:bookmarkStart w:id="3063" w:name="_Toc12486"/>
      <w:bookmarkStart w:id="3064" w:name="_Toc17282"/>
      <w:bookmarkStart w:id="3065" w:name="_Toc21485"/>
      <w:bookmarkStart w:id="3066" w:name="_Toc9082"/>
      <w:bookmarkStart w:id="3067" w:name="_Toc6787"/>
      <w:bookmarkStart w:id="3068" w:name="_Toc26288"/>
      <w:r>
        <w:rPr>
          <w:rFonts w:hint="eastAsia" w:ascii="仿宋" w:hAnsi="仿宋" w:eastAsia="仿宋" w:cs="仿宋"/>
          <w:b/>
          <w:bCs/>
          <w:color w:val="auto"/>
          <w:sz w:val="32"/>
          <w:szCs w:val="32"/>
          <w:highlight w:val="none"/>
        </w:rPr>
        <w:br w:type="page"/>
      </w:r>
      <w:bookmarkStart w:id="3069" w:name="_Toc31063"/>
      <w:bookmarkStart w:id="3070" w:name="_Toc24996"/>
      <w:bookmarkStart w:id="3071" w:name="_Toc12580"/>
      <w:r>
        <w:rPr>
          <w:rFonts w:hint="eastAsia" w:ascii="方正小标宋简体" w:hAnsi="方正小标宋简体" w:eastAsia="方正小标宋简体" w:cs="方正小标宋简体"/>
          <w:b w:val="0"/>
          <w:bCs w:val="0"/>
          <w:color w:val="auto"/>
          <w:sz w:val="44"/>
          <w:szCs w:val="44"/>
          <w:highlight w:val="none"/>
        </w:rPr>
        <w:t>第六部分 合同图纸</w:t>
      </w:r>
      <w:bookmarkEnd w:id="3062"/>
      <w:bookmarkEnd w:id="3063"/>
      <w:bookmarkEnd w:id="3064"/>
      <w:bookmarkEnd w:id="3065"/>
      <w:bookmarkEnd w:id="3066"/>
      <w:bookmarkEnd w:id="3067"/>
      <w:bookmarkEnd w:id="3068"/>
      <w:bookmarkEnd w:id="3069"/>
      <w:bookmarkEnd w:id="3070"/>
      <w:bookmarkEnd w:id="3071"/>
    </w:p>
    <w:p w14:paraId="3071C345">
      <w:pPr>
        <w:spacing w:after="120" w:line="360" w:lineRule="auto"/>
        <w:ind w:firstLine="640" w:firstLineChars="200"/>
        <w:rPr>
          <w:rFonts w:ascii="仿宋" w:hAnsi="仿宋" w:eastAsia="仿宋" w:cs="仿宋"/>
          <w:color w:val="auto"/>
          <w:sz w:val="32"/>
          <w:szCs w:val="32"/>
          <w:highlight w:val="none"/>
        </w:rPr>
        <w:sectPr>
          <w:type w:val="continuous"/>
          <w:pgSz w:w="11906" w:h="16838"/>
          <w:pgMar w:top="1440" w:right="1800" w:bottom="1440" w:left="1800" w:header="851" w:footer="992" w:gutter="0"/>
          <w:pgNumType w:fmt="decimal"/>
          <w:cols w:space="720" w:num="1"/>
          <w:titlePg/>
          <w:docGrid w:type="lines" w:linePitch="312" w:charSpace="0"/>
        </w:sectPr>
      </w:pPr>
      <w:r>
        <w:rPr>
          <w:rFonts w:hint="eastAsia" w:ascii="仿宋_GB2312" w:hAnsi="仿宋_GB2312" w:eastAsia="仿宋_GB2312" w:cs="仿宋_GB2312"/>
          <w:color w:val="auto"/>
          <w:sz w:val="32"/>
          <w:szCs w:val="32"/>
          <w:highlight w:val="none"/>
        </w:rPr>
        <w:t>详见招标文件图纸</w:t>
      </w:r>
    </w:p>
    <w:p w14:paraId="160C3120">
      <w:pPr>
        <w:rPr>
          <w:rFonts w:ascii="仿宋" w:hAnsi="仿宋" w:eastAsia="仿宋" w:cs="仿宋"/>
          <w:b/>
          <w:bCs/>
          <w:color w:val="auto"/>
          <w:sz w:val="32"/>
          <w:szCs w:val="32"/>
          <w:highlight w:val="none"/>
        </w:rPr>
      </w:pPr>
    </w:p>
    <w:p w14:paraId="663CB023">
      <w:pPr>
        <w:snapToGrid w:val="0"/>
        <w:spacing w:line="360" w:lineRule="auto"/>
        <w:jc w:val="center"/>
        <w:outlineLvl w:val="0"/>
        <w:rPr>
          <w:rFonts w:hint="eastAsia" w:ascii="仿宋_GB2312" w:hAnsi="仿宋_GB2312" w:eastAsia="仿宋_GB2312" w:cs="仿宋_GB2312"/>
          <w:b/>
          <w:bCs/>
          <w:color w:val="auto"/>
          <w:sz w:val="32"/>
          <w:szCs w:val="32"/>
          <w:highlight w:val="none"/>
        </w:rPr>
      </w:pPr>
      <w:bookmarkStart w:id="3072" w:name="_Toc26502"/>
      <w:bookmarkStart w:id="3073" w:name="_Toc5216"/>
      <w:bookmarkStart w:id="3074" w:name="_Toc22078"/>
      <w:bookmarkStart w:id="3075" w:name="_Toc17256"/>
      <w:bookmarkStart w:id="3076" w:name="_Toc2815"/>
      <w:bookmarkStart w:id="3077" w:name="_Toc5960"/>
      <w:bookmarkStart w:id="3078" w:name="_Toc30757"/>
      <w:r>
        <w:rPr>
          <w:rFonts w:hint="eastAsia" w:ascii="仿宋_GB2312" w:hAnsi="仿宋_GB2312" w:eastAsia="仿宋_GB2312" w:cs="仿宋_GB2312"/>
          <w:b/>
          <w:bCs/>
          <w:color w:val="auto"/>
          <w:sz w:val="32"/>
          <w:szCs w:val="32"/>
          <w:highlight w:val="none"/>
        </w:rPr>
        <w:br w:type="page"/>
      </w:r>
      <w:bookmarkStart w:id="3079" w:name="_Toc1865"/>
      <w:bookmarkStart w:id="3080" w:name="_Toc31345"/>
      <w:bookmarkStart w:id="3081" w:name="_Toc28708"/>
      <w:r>
        <w:rPr>
          <w:rFonts w:hint="eastAsia" w:ascii="方正小标宋简体" w:hAnsi="方正小标宋简体" w:eastAsia="方正小标宋简体" w:cs="方正小标宋简体"/>
          <w:b w:val="0"/>
          <w:bCs w:val="0"/>
          <w:color w:val="auto"/>
          <w:sz w:val="44"/>
          <w:szCs w:val="44"/>
          <w:highlight w:val="none"/>
        </w:rPr>
        <w:t>第七部分 构成本合同组成部分的其他文件</w:t>
      </w:r>
      <w:bookmarkEnd w:id="3072"/>
      <w:bookmarkEnd w:id="3073"/>
      <w:bookmarkEnd w:id="3074"/>
      <w:bookmarkEnd w:id="3075"/>
      <w:bookmarkEnd w:id="3076"/>
      <w:bookmarkEnd w:id="3077"/>
      <w:bookmarkEnd w:id="3078"/>
      <w:bookmarkEnd w:id="3079"/>
      <w:bookmarkEnd w:id="3080"/>
      <w:bookmarkEnd w:id="3081"/>
    </w:p>
    <w:p w14:paraId="737316B0">
      <w:pPr>
        <w:numPr>
          <w:ilvl w:val="0"/>
          <w:numId w:val="6"/>
        </w:numPr>
        <w:spacing w:after="120" w:line="360" w:lineRule="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招标文件</w:t>
      </w:r>
    </w:p>
    <w:p w14:paraId="1422951F">
      <w:pPr>
        <w:numPr>
          <w:ilvl w:val="0"/>
          <w:numId w:val="6"/>
        </w:numPr>
        <w:spacing w:after="120" w:line="360" w:lineRule="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投标文件</w:t>
      </w:r>
    </w:p>
    <w:p w14:paraId="4C768049">
      <w:pPr>
        <w:spacing w:after="120" w:line="360" w:lineRule="auto"/>
        <w:rPr>
          <w:rFonts w:ascii="仿宋" w:hAnsi="仿宋" w:eastAsia="仿宋" w:cs="仿宋"/>
          <w:color w:val="auto"/>
          <w:sz w:val="32"/>
          <w:szCs w:val="32"/>
          <w:highlight w:val="none"/>
        </w:rPr>
        <w:sectPr>
          <w:type w:val="continuous"/>
          <w:pgSz w:w="11906" w:h="16838"/>
          <w:pgMar w:top="1440" w:right="1800" w:bottom="1440" w:left="1800" w:header="851" w:footer="992" w:gutter="0"/>
          <w:pgNumType w:fmt="decimal"/>
          <w:cols w:space="720" w:num="1"/>
          <w:titlePg/>
          <w:docGrid w:type="lines" w:linePitch="312" w:charSpace="0"/>
        </w:sectPr>
      </w:pPr>
    </w:p>
    <w:p w14:paraId="09090DD8">
      <w:pPr>
        <w:numPr>
          <w:ilvl w:val="0"/>
          <w:numId w:val="7"/>
        </w:numPr>
        <w:snapToGrid w:val="0"/>
        <w:spacing w:line="360" w:lineRule="auto"/>
        <w:jc w:val="center"/>
        <w:outlineLvl w:val="0"/>
        <w:rPr>
          <w:rFonts w:hint="eastAsia" w:ascii="方正小标宋简体" w:hAnsi="方正小标宋简体" w:eastAsia="方正小标宋简体" w:cs="方正小标宋简体"/>
          <w:b w:val="0"/>
          <w:bCs w:val="0"/>
          <w:color w:val="auto"/>
          <w:sz w:val="44"/>
          <w:szCs w:val="44"/>
          <w:highlight w:val="none"/>
          <w:lang w:val="en-US" w:eastAsia="zh-CN"/>
        </w:rPr>
      </w:pPr>
      <w:bookmarkStart w:id="3082" w:name="_Toc20724"/>
      <w:bookmarkStart w:id="3083" w:name="_Toc9279"/>
      <w:bookmarkStart w:id="3084" w:name="_Toc27481"/>
      <w:bookmarkStart w:id="3085" w:name="_Toc18498"/>
      <w:bookmarkStart w:id="3086" w:name="_Toc541"/>
      <w:bookmarkStart w:id="3087" w:name="_Toc29990"/>
      <w:bookmarkStart w:id="3088" w:name="_Toc26530"/>
      <w:r>
        <w:rPr>
          <w:rFonts w:hint="eastAsia" w:ascii="方正小标宋简体" w:hAnsi="方正小标宋简体" w:eastAsia="方正小标宋简体" w:cs="方正小标宋简体"/>
          <w:b w:val="0"/>
          <w:bCs w:val="0"/>
          <w:color w:val="auto"/>
          <w:sz w:val="44"/>
          <w:szCs w:val="44"/>
          <w:highlight w:val="none"/>
          <w:lang w:val="en-US" w:eastAsia="zh-CN"/>
        </w:rPr>
        <w:t xml:space="preserve"> </w:t>
      </w:r>
      <w:bookmarkStart w:id="3089" w:name="_Toc21390"/>
      <w:bookmarkStart w:id="3090" w:name="_Toc15452"/>
      <w:bookmarkStart w:id="3091" w:name="_Toc18891"/>
      <w:r>
        <w:rPr>
          <w:rFonts w:hint="eastAsia" w:ascii="方正小标宋简体" w:hAnsi="方正小标宋简体" w:eastAsia="方正小标宋简体" w:cs="方正小标宋简体"/>
          <w:b w:val="0"/>
          <w:bCs w:val="0"/>
          <w:color w:val="auto"/>
          <w:sz w:val="44"/>
          <w:szCs w:val="44"/>
          <w:highlight w:val="none"/>
        </w:rPr>
        <w:t>投标函及</w:t>
      </w:r>
      <w:r>
        <w:rPr>
          <w:rFonts w:hint="eastAsia" w:ascii="方正小标宋简体" w:hAnsi="方正小标宋简体" w:eastAsia="方正小标宋简体" w:cs="方正小标宋简体"/>
          <w:b w:val="0"/>
          <w:bCs w:val="0"/>
          <w:color w:val="auto"/>
          <w:sz w:val="44"/>
          <w:szCs w:val="44"/>
          <w:highlight w:val="none"/>
          <w:lang w:val="en-US" w:eastAsia="zh-CN"/>
        </w:rPr>
        <w:t>投标函附录</w:t>
      </w:r>
      <w:bookmarkEnd w:id="3082"/>
      <w:bookmarkEnd w:id="3083"/>
      <w:bookmarkEnd w:id="3084"/>
      <w:bookmarkEnd w:id="3085"/>
      <w:bookmarkEnd w:id="3086"/>
      <w:bookmarkEnd w:id="3089"/>
      <w:bookmarkEnd w:id="3090"/>
      <w:bookmarkEnd w:id="3091"/>
    </w:p>
    <w:p w14:paraId="79DB72D0">
      <w:pPr>
        <w:rPr>
          <w:rFonts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lang w:val="en-US" w:eastAsia="zh-CN"/>
        </w:rPr>
        <w:t xml:space="preserve">       </w:t>
      </w:r>
    </w:p>
    <w:p w14:paraId="25C4FEFC">
      <w:pPr>
        <w:numPr>
          <w:ilvl w:val="0"/>
          <w:numId w:val="7"/>
        </w:numPr>
        <w:snapToGrid w:val="0"/>
        <w:spacing w:line="360" w:lineRule="auto"/>
        <w:jc w:val="center"/>
        <w:outlineLvl w:val="0"/>
        <w:rPr>
          <w:rFonts w:hint="eastAsia" w:ascii="方正小标宋简体" w:hAnsi="方正小标宋简体" w:eastAsia="方正小标宋简体" w:cs="方正小标宋简体"/>
          <w:b w:val="0"/>
          <w:bCs w:val="0"/>
          <w:color w:val="auto"/>
          <w:sz w:val="44"/>
          <w:szCs w:val="44"/>
          <w:highlight w:val="none"/>
        </w:rPr>
      </w:pPr>
      <w:bookmarkStart w:id="3092" w:name="_Toc19694"/>
      <w:bookmarkStart w:id="3093" w:name="_Toc26723"/>
      <w:bookmarkStart w:id="3094" w:name="_Toc3488"/>
      <w:bookmarkStart w:id="3095" w:name="_Toc30004"/>
      <w:bookmarkStart w:id="3096" w:name="_Toc9675"/>
      <w:r>
        <w:rPr>
          <w:rFonts w:hint="eastAsia" w:ascii="仿宋_GB2312" w:hAnsi="仿宋_GB2312" w:eastAsia="仿宋_GB2312" w:cs="仿宋_GB2312"/>
          <w:b/>
          <w:bCs/>
          <w:color w:val="auto"/>
          <w:sz w:val="32"/>
          <w:szCs w:val="32"/>
          <w:highlight w:val="none"/>
        </w:rPr>
        <w:br w:type="page"/>
      </w:r>
      <w:r>
        <w:rPr>
          <w:rFonts w:hint="eastAsia" w:ascii="方正小标宋简体" w:hAnsi="方正小标宋简体" w:eastAsia="方正小标宋简体" w:cs="方正小标宋简体"/>
          <w:b w:val="0"/>
          <w:bCs w:val="0"/>
          <w:color w:val="auto"/>
          <w:sz w:val="44"/>
          <w:szCs w:val="44"/>
          <w:highlight w:val="none"/>
          <w:lang w:val="en-US" w:eastAsia="zh-CN"/>
        </w:rPr>
        <w:t xml:space="preserve"> </w:t>
      </w:r>
      <w:bookmarkStart w:id="3097" w:name="_Toc11789"/>
      <w:bookmarkStart w:id="3098" w:name="_Toc11861"/>
      <w:bookmarkStart w:id="3099" w:name="_Toc27682"/>
      <w:r>
        <w:rPr>
          <w:rFonts w:hint="eastAsia" w:ascii="方正小标宋简体" w:hAnsi="方正小标宋简体" w:eastAsia="方正小标宋简体" w:cs="方正小标宋简体"/>
          <w:b w:val="0"/>
          <w:bCs w:val="0"/>
          <w:color w:val="auto"/>
          <w:sz w:val="44"/>
          <w:szCs w:val="44"/>
          <w:highlight w:val="none"/>
        </w:rPr>
        <w:t>已标价工程量清单</w:t>
      </w:r>
      <w:bookmarkEnd w:id="3087"/>
      <w:bookmarkEnd w:id="3088"/>
      <w:bookmarkEnd w:id="3092"/>
      <w:bookmarkEnd w:id="3093"/>
      <w:bookmarkEnd w:id="3094"/>
      <w:bookmarkEnd w:id="3095"/>
      <w:bookmarkEnd w:id="3096"/>
      <w:bookmarkEnd w:id="3097"/>
      <w:bookmarkEnd w:id="3098"/>
      <w:bookmarkEnd w:id="3099"/>
    </w:p>
    <w:p w14:paraId="07D1BB17">
      <w:pPr>
        <w:spacing w:line="360" w:lineRule="auto"/>
        <w:rPr>
          <w:rFonts w:hint="eastAsia" w:ascii="方正小标宋简体" w:hAnsi="方正小标宋简体" w:eastAsia="方正小标宋简体" w:cs="方正小标宋简体"/>
          <w:b w:val="0"/>
          <w:bCs w:val="0"/>
          <w:color w:val="auto"/>
          <w:sz w:val="44"/>
          <w:szCs w:val="44"/>
          <w:highlight w:val="none"/>
        </w:rPr>
      </w:pPr>
      <w:r>
        <w:rPr>
          <w:rFonts w:hint="eastAsia" w:ascii="方正小标宋简体" w:hAnsi="方正小标宋简体" w:eastAsia="方正小标宋简体" w:cs="方正小标宋简体"/>
          <w:b w:val="0"/>
          <w:bCs w:val="0"/>
          <w:color w:val="auto"/>
          <w:sz w:val="44"/>
          <w:szCs w:val="44"/>
          <w:highlight w:val="none"/>
        </w:rPr>
        <w:t xml:space="preserve">     </w:t>
      </w:r>
    </w:p>
    <w:p w14:paraId="7430A63B">
      <w:pPr>
        <w:rPr>
          <w:rFonts w:ascii="仿宋" w:hAnsi="仿宋" w:eastAsia="仿宋" w:cs="仿宋"/>
          <w:color w:val="auto"/>
          <w:sz w:val="32"/>
          <w:szCs w:val="32"/>
          <w:highlight w:val="none"/>
        </w:rPr>
      </w:pPr>
    </w:p>
    <w:p w14:paraId="053B30E0">
      <w:pPr>
        <w:rPr>
          <w:sz w:val="32"/>
          <w:szCs w:val="32"/>
        </w:rPr>
      </w:pPr>
    </w:p>
    <w:sectPr>
      <w:pgSz w:w="11906" w:h="16838"/>
      <w:pgMar w:top="1247" w:right="1417" w:bottom="1247" w:left="1417" w:header="851" w:footer="992" w:gutter="0"/>
      <w:pgNumType w:fmt="decimal"/>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5C45DD9-FF94-47BA-82C4-6B2E8ABE2F7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embedRegular r:id="rId2" w:fontKey="{07C9FE30-EEC8-4D8C-8077-3D9EC78763F5}"/>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3" w:fontKey="{EE8F20E6-4DA8-4074-B991-FF5B6E8BFA3F}"/>
  </w:font>
  <w:font w:name="等线">
    <w:panose1 w:val="02010600030101010101"/>
    <w:charset w:val="86"/>
    <w:family w:val="auto"/>
    <w:pitch w:val="default"/>
    <w:sig w:usb0="A00002BF" w:usb1="38CF7CFA" w:usb2="00000016" w:usb3="00000000" w:csb0="0004000F" w:csb1="00000000"/>
    <w:embedRegular r:id="rId4" w:fontKey="{8A3CA1A8-FF64-49E6-AE81-FA6D151AD5C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373E42">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4FC84E">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B3618D">
    <w:pPr>
      <w:pStyle w:val="5"/>
      <w:kinsoku w:val="0"/>
      <w:overflowPunct w:val="0"/>
      <w:spacing w:line="14" w:lineRule="auto"/>
      <w:ind w:left="63" w:right="63"/>
      <w:rPr>
        <w:rFonts w:eastAsia="等线"/>
      </w:rPr>
    </w:pPr>
  </w:p>
  <w:p w14:paraId="3ED8CBD8">
    <w:pPr>
      <w:pStyle w:val="5"/>
      <w:kinsoku w:val="0"/>
      <w:overflowPunct w:val="0"/>
      <w:spacing w:line="14" w:lineRule="auto"/>
      <w:ind w:left="63" w:right="63"/>
      <w:rPr>
        <w:rFonts w:eastAsia="等线"/>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128274"/>
  <w:p w14:paraId="3F71413B"/>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0CA1E">
    <w:pPr>
      <w:pStyle w:val="5"/>
      <w:kinsoku w:val="0"/>
      <w:overflowPunct w:val="0"/>
      <w:spacing w:line="14" w:lineRule="auto"/>
      <w:ind w:left="63" w:right="63"/>
      <w:rPr>
        <w:rFonts w:eastAsia="等线"/>
      </w:rPr>
    </w:pPr>
  </w:p>
  <w:p w14:paraId="42BE2B2F">
    <w:pPr>
      <w:pStyle w:val="5"/>
      <w:kinsoku w:val="0"/>
      <w:overflowPunct w:val="0"/>
      <w:spacing w:line="14" w:lineRule="auto"/>
      <w:ind w:left="63" w:right="63"/>
      <w:rPr>
        <w:rFonts w:eastAsia="等线"/>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82D316">
    <w:r>
      <w:rPr>
        <w:sz w:val="21"/>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4E7EA96">
                          <w:pPr>
                            <w:pStyle w:val="7"/>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G+QoMkBAACZ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Eb5CgyQEAAJkDAAAOAAAAAAAAAAEAIAAAAB4BAABkcnMvZTJvRG9j&#10;LnhtbFBLBQYAAAAABgAGAFkBAABZBQAAAAA=&#10;">
              <v:fill on="f" focussize="0,0"/>
              <v:stroke on="f"/>
              <v:imagedata o:title=""/>
              <o:lock v:ext="edit" aspectratio="f"/>
              <v:textbox inset="0mm,0mm,0mm,0mm" style="mso-fit-shape-to-text:t;">
                <w:txbxContent>
                  <w:p w14:paraId="44E7EA96">
                    <w:pPr>
                      <w:pStyle w:val="7"/>
                    </w:pPr>
                    <w:r>
                      <w:fldChar w:fldCharType="begin"/>
                    </w:r>
                    <w:r>
                      <w:instrText xml:space="preserve"> PAGE  \* MERGEFORMAT </w:instrText>
                    </w:r>
                    <w:r>
                      <w:fldChar w:fldCharType="separate"/>
                    </w:r>
                    <w:r>
                      <w:t>1</w:t>
                    </w:r>
                    <w:r>
                      <w:fldChar w:fldCharType="end"/>
                    </w:r>
                  </w:p>
                </w:txbxContent>
              </v:textbox>
            </v:shape>
          </w:pict>
        </mc:Fallback>
      </mc:AlternateContent>
    </w:r>
  </w:p>
  <w:p w14:paraId="00D8A76D"/>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125B3A">
    <w:pPr>
      <w:pStyle w:val="5"/>
      <w:kinsoku w:val="0"/>
      <w:overflowPunct w:val="0"/>
      <w:spacing w:line="14" w:lineRule="auto"/>
      <w:ind w:left="63" w:right="63"/>
      <w:rPr>
        <w:rFonts w:eastAsia="等线"/>
      </w:rPr>
    </w:pPr>
  </w:p>
  <w:p w14:paraId="16DCF784">
    <w:pPr>
      <w:pStyle w:val="5"/>
      <w:kinsoku w:val="0"/>
      <w:overflowPunct w:val="0"/>
      <w:spacing w:line="14" w:lineRule="auto"/>
      <w:ind w:left="63" w:right="63"/>
      <w:rPr>
        <w:rFonts w:eastAsia="等线"/>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A27BFC">
    <w:pPr>
      <w:pStyle w:val="5"/>
      <w:kinsoku w:val="0"/>
      <w:overflowPunct w:val="0"/>
      <w:spacing w:line="14" w:lineRule="auto"/>
      <w:ind w:left="63" w:right="63"/>
      <w:rPr>
        <w:rFonts w:eastAsia="等线"/>
      </w:rPr>
    </w:pPr>
    <w:r>
      <w:rPr>
        <w:sz w:val="20"/>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A2770FF">
                          <w:pPr>
                            <w:pStyle w:val="7"/>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3A2770FF">
                    <w:pPr>
                      <w:pStyle w:val="7"/>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p w14:paraId="601BD1EA">
    <w:pPr>
      <w:pStyle w:val="5"/>
      <w:kinsoku w:val="0"/>
      <w:overflowPunct w:val="0"/>
      <w:spacing w:line="14" w:lineRule="auto"/>
      <w:ind w:left="63" w:right="63"/>
      <w:rPr>
        <w:rFonts w:eastAsia="等线"/>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05A94F">
    <w:r>
      <w:rPr>
        <w:sz w:val="21"/>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2248535">
                          <w:pPr>
                            <w:pStyle w:val="7"/>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S3JIMkBAACb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pt6GpJieMWJ375+ePy68/l93eC&#10;PhSoD1Bj3n3AzDS88wOuzewHdGbeg4o2f5ERwTjKe77KK4dERH60Xq3XFYYExuYL4rOH5yFCei+9&#10;JdloaMT5FVn56SOkMXVOydWcv9PGlBka948DMbOH5d7HHrOVhv0wEdr79ox8ehx9Qx1uOiXmg0Nl&#10;85bMRpyN/WwcQ9SHrqxRrgfh9piwidJbrjDCToVxZoXdtF95KR7fS9bDP7X9C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dLckgyQEAAJsDAAAOAAAAAAAAAAEAIAAAAB4BAABkcnMvZTJvRG9j&#10;LnhtbFBLBQYAAAAABgAGAFkBAABZBQAAAAA=&#10;">
              <v:fill on="f" focussize="0,0"/>
              <v:stroke on="f"/>
              <v:imagedata o:title=""/>
              <o:lock v:ext="edit" aspectratio="f"/>
              <v:textbox inset="0mm,0mm,0mm,0mm" style="mso-fit-shape-to-text:t;">
                <w:txbxContent>
                  <w:p w14:paraId="12248535">
                    <w:pPr>
                      <w:pStyle w:val="7"/>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p w14:paraId="3C4283C5"/>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48F49E">
    <w:pPr>
      <w:pStyle w:val="5"/>
      <w:kinsoku w:val="0"/>
      <w:overflowPunct w:val="0"/>
      <w:spacing w:line="14" w:lineRule="auto"/>
      <w:ind w:left="63" w:right="63"/>
      <w:rPr>
        <w:rFonts w:eastAsia="等线"/>
      </w:rPr>
    </w:pPr>
    <w:r>
      <w:rPr>
        <w:sz w:val="20"/>
      </w:rPr>
      <mc:AlternateContent>
        <mc:Choice Requires="wps">
          <w:drawing>
            <wp:anchor distT="0" distB="0" distL="114300" distR="114300" simplePos="0" relativeHeight="251666432" behindDoc="0" locked="0" layoutInCell="1" allowOverlap="1">
              <wp:simplePos x="0" y="0"/>
              <wp:positionH relativeFrom="margin">
                <wp:align>outside</wp:align>
              </wp:positionH>
              <wp:positionV relativeFrom="paragraph">
                <wp:posOffset>0</wp:posOffset>
              </wp:positionV>
              <wp:extent cx="1828800" cy="1828800"/>
              <wp:effectExtent l="0" t="0" r="0" b="0"/>
              <wp:wrapNone/>
              <wp:docPr id="50" name="文本框 5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4158D6E">
                          <w:pPr>
                            <w:pStyle w:val="7"/>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238</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c2JlskBAACbAwAADgAAAGRycy9lMm9Eb2MueG1srVPNjtMwEL6vxDtY&#10;vlNnK4G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DX2DkjhuceLnnz/Ovx7PD98J&#10;+lCgPkCNeXcBM9Pw3g+4NrMf0Jl5Dyra/EVGBOOIdbrIK4dERH60Wq5WFYYExuYL4rOn5yFC+iC9&#10;JdloaMT5FVn58ROkMXVOydWcv9XGlBka95cDMbOH5d7HHrOVht0wEdr59oR8ehx9Qx1uOiXmo0Nl&#10;sb80G3E2drNxCFHvu7JGuR6Ed4eETZTecoURdiqMMyvspv3KS/HnvWQ9/VOb3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ZzYmWyQEAAJsDAAAOAAAAAAAAAAEAIAAAAB4BAABkcnMvZTJvRG9j&#10;LnhtbFBLBQYAAAAABgAGAFkBAABZBQAAAAA=&#10;">
              <v:fill on="f" focussize="0,0"/>
              <v:stroke on="f"/>
              <v:imagedata o:title=""/>
              <o:lock v:ext="edit" aspectratio="f"/>
              <v:textbox inset="0mm,0mm,0mm,0mm" style="mso-fit-shape-to-text:t;">
                <w:txbxContent>
                  <w:p w14:paraId="74158D6E">
                    <w:pPr>
                      <w:pStyle w:val="7"/>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238</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p w14:paraId="79AD767F">
    <w:pPr>
      <w:pStyle w:val="5"/>
      <w:kinsoku w:val="0"/>
      <w:overflowPunct w:val="0"/>
      <w:spacing w:line="14" w:lineRule="auto"/>
      <w:ind w:left="63" w:right="63"/>
      <w:rPr>
        <w:rFonts w:eastAsia="等线"/>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FCE242">
    <w:r>
      <w:rPr>
        <w:sz w:val="21"/>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79" name="文本框 7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84B1342">
                          <w:pPr>
                            <w:pStyle w:val="7"/>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237</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R3caFcoBAACbAwAADgAAAAAAAAABACAAAAAeAQAAZHJzL2Uyb0Rv&#10;Yy54bWxQSwUGAAAAAAYABgBZAQAAWgUAAAAA&#10;">
              <v:fill on="f" focussize="0,0"/>
              <v:stroke on="f"/>
              <v:imagedata o:title=""/>
              <o:lock v:ext="edit" aspectratio="f"/>
              <v:textbox inset="0mm,0mm,0mm,0mm" style="mso-fit-shape-to-text:t;">
                <w:txbxContent>
                  <w:p w14:paraId="184B1342">
                    <w:pPr>
                      <w:pStyle w:val="7"/>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237</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p w14:paraId="6FF14A91"/>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9AE40B">
    <w:pPr>
      <w:pStyle w:val="5"/>
      <w:kinsoku w:val="0"/>
      <w:overflowPunct w:val="0"/>
      <w:spacing w:line="14" w:lineRule="auto"/>
      <w:ind w:left="63" w:right="63"/>
      <w:rPr>
        <w:rFonts w:eastAsia="等线"/>
      </w:rPr>
    </w:pPr>
    <w:r>
      <w:rPr>
        <w:sz w:val="20"/>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82" name="文本框 8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686AED1">
                          <w:pPr>
                            <w:pStyle w:val="7"/>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Jo+bZPIAQAAmwMAAA4AAAAAAAAAAQAgAAAAHgEAAGRycy9lMm9Eb2Mu&#10;eG1sUEsFBgAAAAAGAAYAWQEAAFgFAAAAAA==&#10;">
              <v:fill on="f" focussize="0,0"/>
              <v:stroke on="f"/>
              <v:imagedata o:title=""/>
              <o:lock v:ext="edit" aspectratio="f"/>
              <v:textbox inset="0mm,0mm,0mm,0mm" style="mso-fit-shape-to-text:t;">
                <w:txbxContent>
                  <w:p w14:paraId="0686AED1">
                    <w:pPr>
                      <w:pStyle w:val="7"/>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p w14:paraId="73FF30DB">
    <w:pPr>
      <w:pStyle w:val="5"/>
      <w:kinsoku w:val="0"/>
      <w:overflowPunct w:val="0"/>
      <w:spacing w:line="14" w:lineRule="auto"/>
      <w:ind w:left="63" w:right="63"/>
      <w:rPr>
        <w:rFonts w:eastAsia="等线"/>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71AF6B">
    <w:pPr>
      <w:tabs>
        <w:tab w:val="center" w:pos="4153"/>
      </w:tabs>
    </w:pPr>
    <w:r>
      <w:rPr>
        <w:sz w:val="21"/>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56" name="文本框 5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384EF9A">
                          <w:pPr>
                            <w:pStyle w:val="7"/>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265</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6o6FH8oBAACbAwAADgAAAAAAAAABACAAAAAeAQAAZHJzL2Uyb0Rv&#10;Yy54bWxQSwUGAAAAAAYABgBZAQAAWgUAAAAA&#10;">
              <v:fill on="f" focussize="0,0"/>
              <v:stroke on="f"/>
              <v:imagedata o:title=""/>
              <o:lock v:ext="edit" aspectratio="f"/>
              <v:textbox inset="0mm,0mm,0mm,0mm" style="mso-fit-shape-to-text:t;">
                <w:txbxContent>
                  <w:p w14:paraId="3384EF9A">
                    <w:pPr>
                      <w:pStyle w:val="7"/>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265</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r>
      <w:rPr>
        <w:rFonts w:hint="eastAsia"/>
        <w:lang w:eastAsia="zh-CN"/>
      </w:rPr>
      <w:tab/>
    </w:r>
  </w:p>
  <w:p w14:paraId="1B40787E"/>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16BBA5">
    <w:pPr>
      <w:pStyle w:val="7"/>
    </w:pPr>
    <w:r>
      <w:rPr>
        <w:sz w:val="18"/>
      </w:rP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0</wp:posOffset>
              </wp:positionV>
              <wp:extent cx="1828800" cy="1828800"/>
              <wp:effectExtent l="0" t="0" r="0" b="0"/>
              <wp:wrapNone/>
              <wp:docPr id="81" name="文本框 8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B962D10">
                          <w:pPr>
                            <w:pStyle w:val="7"/>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266</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jnFM6yQEAAJsDAAAOAAAAAAAAAAEAIAAAAB4BAABkcnMvZTJvRG9j&#10;LnhtbFBLBQYAAAAABgAGAFkBAABZBQAAAAA=&#10;">
              <v:fill on="f" focussize="0,0"/>
              <v:stroke on="f"/>
              <v:imagedata o:title=""/>
              <o:lock v:ext="edit" aspectratio="f"/>
              <v:textbox inset="0mm,0mm,0mm,0mm" style="mso-fit-shape-to-text:t;">
                <w:txbxContent>
                  <w:p w14:paraId="5B962D10">
                    <w:pPr>
                      <w:pStyle w:val="7"/>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266</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A48DC6">
    <w:pPr>
      <w:pStyle w:val="7"/>
    </w:pPr>
    <w:r>
      <w:rPr>
        <w:sz w:val="18"/>
      </w:rPr>
      <mc:AlternateContent>
        <mc:Choice Requires="wps">
          <w:drawing>
            <wp:anchor distT="0" distB="0" distL="114300" distR="114300" simplePos="0" relativeHeight="251665408" behindDoc="0" locked="0" layoutInCell="1" allowOverlap="1">
              <wp:simplePos x="0" y="0"/>
              <wp:positionH relativeFrom="margin">
                <wp:align>outside</wp:align>
              </wp:positionH>
              <wp:positionV relativeFrom="paragraph">
                <wp:posOffset>0</wp:posOffset>
              </wp:positionV>
              <wp:extent cx="1828800" cy="1828800"/>
              <wp:effectExtent l="0" t="0" r="0" b="0"/>
              <wp:wrapNone/>
              <wp:docPr id="80" name="文本框 8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519961C">
                          <w:pPr>
                            <w:pStyle w:val="7"/>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269</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Iv/luvIAQAAmwMAAA4AAAAAAAAAAQAgAAAAHgEAAGRycy9lMm9Eb2Mu&#10;eG1sUEsFBgAAAAAGAAYAWQEAAFgFAAAAAA==&#10;">
              <v:fill on="f" focussize="0,0"/>
              <v:stroke on="f"/>
              <v:imagedata o:title=""/>
              <o:lock v:ext="edit" aspectratio="f"/>
              <v:textbox inset="0mm,0mm,0mm,0mm" style="mso-fit-shape-to-text:t;">
                <w:txbxContent>
                  <w:p w14:paraId="3519961C">
                    <w:pPr>
                      <w:pStyle w:val="7"/>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269</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89DEF8">
    <w:pPr>
      <w:pStyle w:val="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B2920B">
    <w:pPr>
      <w:pStyle w:val="8"/>
      <w:pBdr>
        <w:bottom w:val="none" w:color="auto" w:sz="0" w:space="1"/>
      </w:pBdr>
      <w:jc w:val="lef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70C1F3"/>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46E65E">
    <w:pPr>
      <w:pStyle w:val="8"/>
      <w:pBdr>
        <w:bottom w:val="none" w:color="auto" w:sz="0" w:space="1"/>
      </w:pBdr>
      <w:jc w:val="left"/>
      <w:rPr>
        <w:rFonts w:hint="eastAsia" w:eastAsia="宋体"/>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6"/>
    <w:multiLevelType w:val="singleLevel"/>
    <w:tmpl w:val="00000006"/>
    <w:lvl w:ilvl="0" w:tentative="0">
      <w:start w:val="1"/>
      <w:numFmt w:val="decimal"/>
      <w:suff w:val="nothing"/>
      <w:lvlText w:val="（%1）"/>
      <w:lvlJc w:val="left"/>
    </w:lvl>
  </w:abstractNum>
  <w:abstractNum w:abstractNumId="1">
    <w:nsid w:val="262A5817"/>
    <w:multiLevelType w:val="singleLevel"/>
    <w:tmpl w:val="262A5817"/>
    <w:lvl w:ilvl="0" w:tentative="0">
      <w:start w:val="21"/>
      <w:numFmt w:val="decimal"/>
      <w:suff w:val="nothing"/>
      <w:lvlText w:val="%1）"/>
      <w:lvlJc w:val="left"/>
    </w:lvl>
  </w:abstractNum>
  <w:abstractNum w:abstractNumId="2">
    <w:nsid w:val="2720F2F8"/>
    <w:multiLevelType w:val="singleLevel"/>
    <w:tmpl w:val="2720F2F8"/>
    <w:lvl w:ilvl="0" w:tentative="0">
      <w:start w:val="1"/>
      <w:numFmt w:val="decimal"/>
      <w:lvlText w:val="%1."/>
      <w:lvlJc w:val="left"/>
      <w:pPr>
        <w:ind w:left="425" w:hanging="425"/>
      </w:pPr>
      <w:rPr>
        <w:rFonts w:hint="default"/>
      </w:rPr>
    </w:lvl>
  </w:abstractNum>
  <w:abstractNum w:abstractNumId="3">
    <w:nsid w:val="2EEAF47F"/>
    <w:multiLevelType w:val="singleLevel"/>
    <w:tmpl w:val="2EEAF47F"/>
    <w:lvl w:ilvl="0" w:tentative="0">
      <w:start w:val="1"/>
      <w:numFmt w:val="chineseCounting"/>
      <w:suff w:val="nothing"/>
      <w:lvlText w:val="%1、"/>
      <w:lvlJc w:val="left"/>
      <w:rPr>
        <w:rFonts w:hint="eastAsia"/>
      </w:rPr>
    </w:lvl>
  </w:abstractNum>
  <w:abstractNum w:abstractNumId="4">
    <w:nsid w:val="33E372D4"/>
    <w:multiLevelType w:val="singleLevel"/>
    <w:tmpl w:val="33E372D4"/>
    <w:lvl w:ilvl="0" w:tentative="0">
      <w:start w:val="8"/>
      <w:numFmt w:val="chineseCounting"/>
      <w:suff w:val="space"/>
      <w:lvlText w:val="第%1部分"/>
      <w:lvlJc w:val="left"/>
      <w:rPr>
        <w:rFonts w:hint="eastAsia"/>
      </w:rPr>
    </w:lvl>
  </w:abstractNum>
  <w:abstractNum w:abstractNumId="5">
    <w:nsid w:val="46426CB8"/>
    <w:multiLevelType w:val="singleLevel"/>
    <w:tmpl w:val="46426CB8"/>
    <w:lvl w:ilvl="0" w:tentative="0">
      <w:start w:val="19"/>
      <w:numFmt w:val="decimal"/>
      <w:lvlText w:val="%1."/>
      <w:lvlJc w:val="left"/>
      <w:pPr>
        <w:tabs>
          <w:tab w:val="left" w:pos="312"/>
        </w:tabs>
      </w:pPr>
    </w:lvl>
  </w:abstractNum>
  <w:abstractNum w:abstractNumId="6">
    <w:nsid w:val="52E0C403"/>
    <w:multiLevelType w:val="singleLevel"/>
    <w:tmpl w:val="52E0C403"/>
    <w:lvl w:ilvl="0" w:tentative="0">
      <w:start w:val="1"/>
      <w:numFmt w:val="bullet"/>
      <w:lvlText w:val=""/>
      <w:lvlJc w:val="left"/>
      <w:pPr>
        <w:ind w:left="420" w:hanging="420"/>
      </w:pPr>
      <w:rPr>
        <w:rFonts w:hint="default" w:ascii="Wingdings" w:hAnsi="Wingdings"/>
      </w:rPr>
    </w:lvl>
  </w:abstractNum>
  <w:num w:numId="1">
    <w:abstractNumId w:val="6"/>
  </w:num>
  <w:num w:numId="2">
    <w:abstractNumId w:val="0"/>
  </w:num>
  <w:num w:numId="3">
    <w:abstractNumId w:val="1"/>
  </w:num>
  <w:num w:numId="4">
    <w:abstractNumId w:val="5"/>
  </w:num>
  <w:num w:numId="5">
    <w:abstractNumId w:val="3"/>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dit="readOnly" w:formatting="1" w:enforcement="1" w:cryptProviderType="rsaFull" w:cryptAlgorithmClass="hash" w:cryptAlgorithmType="typeAny" w:cryptAlgorithmSid="4" w:cryptSpinCount="0" w:hash="oGpeMVidQTjuWcLwiOJp9cKeQbA=" w:salt="zNQ0WQVkQYpEfiILSBn71Q=="/>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NjNzI5MjUzNmM0NDQxOWM5OGE4ZDE2OTkwOGU2MjUifQ=="/>
  </w:docVars>
  <w:rsids>
    <w:rsidRoot w:val="00000000"/>
    <w:rsid w:val="00611277"/>
    <w:rsid w:val="02847B9A"/>
    <w:rsid w:val="031A4702"/>
    <w:rsid w:val="06217415"/>
    <w:rsid w:val="0A206DCD"/>
    <w:rsid w:val="0AE67646"/>
    <w:rsid w:val="10327070"/>
    <w:rsid w:val="11691059"/>
    <w:rsid w:val="11BF714E"/>
    <w:rsid w:val="14C7494E"/>
    <w:rsid w:val="18FC48B1"/>
    <w:rsid w:val="1C74222D"/>
    <w:rsid w:val="1DC41719"/>
    <w:rsid w:val="1DC92028"/>
    <w:rsid w:val="20390790"/>
    <w:rsid w:val="20647D92"/>
    <w:rsid w:val="22662BE8"/>
    <w:rsid w:val="25217FD9"/>
    <w:rsid w:val="278A6EE9"/>
    <w:rsid w:val="28061F5F"/>
    <w:rsid w:val="28AA3FD9"/>
    <w:rsid w:val="29336A50"/>
    <w:rsid w:val="29DA4715"/>
    <w:rsid w:val="2F6D3694"/>
    <w:rsid w:val="325654FC"/>
    <w:rsid w:val="358D0D07"/>
    <w:rsid w:val="37CB7AC8"/>
    <w:rsid w:val="3A686C94"/>
    <w:rsid w:val="3DF15DAF"/>
    <w:rsid w:val="3F471A53"/>
    <w:rsid w:val="41E701BB"/>
    <w:rsid w:val="432C4745"/>
    <w:rsid w:val="43B65AD0"/>
    <w:rsid w:val="44FC0494"/>
    <w:rsid w:val="45725A27"/>
    <w:rsid w:val="494468E9"/>
    <w:rsid w:val="4CAE029E"/>
    <w:rsid w:val="51BB568B"/>
    <w:rsid w:val="52B23061"/>
    <w:rsid w:val="53844B74"/>
    <w:rsid w:val="53EA10F2"/>
    <w:rsid w:val="55B67488"/>
    <w:rsid w:val="565B2BA9"/>
    <w:rsid w:val="56632B76"/>
    <w:rsid w:val="58F04636"/>
    <w:rsid w:val="598411B4"/>
    <w:rsid w:val="59D75AC1"/>
    <w:rsid w:val="5BB51980"/>
    <w:rsid w:val="5BEA68A2"/>
    <w:rsid w:val="5F6B4672"/>
    <w:rsid w:val="63803269"/>
    <w:rsid w:val="64716E34"/>
    <w:rsid w:val="65613696"/>
    <w:rsid w:val="68D74840"/>
    <w:rsid w:val="6BEA7023"/>
    <w:rsid w:val="6C42280F"/>
    <w:rsid w:val="6E9D5FF5"/>
    <w:rsid w:val="76322783"/>
    <w:rsid w:val="77210E68"/>
    <w:rsid w:val="77517D19"/>
    <w:rsid w:val="775E4889"/>
    <w:rsid w:val="7C5819C2"/>
    <w:rsid w:val="7F4817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3"/>
    <w:basedOn w:val="1"/>
    <w:next w:val="1"/>
    <w:qFormat/>
    <w:uiPriority w:val="0"/>
    <w:pPr>
      <w:keepNext/>
      <w:keepLines/>
      <w:spacing w:before="260" w:after="260" w:line="413" w:lineRule="auto"/>
      <w:outlineLvl w:val="2"/>
    </w:pPr>
    <w:rPr>
      <w:b/>
      <w:bCs/>
      <w:sz w:val="32"/>
      <w:szCs w:val="32"/>
    </w:rPr>
  </w:style>
  <w:style w:type="character" w:default="1" w:styleId="14">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adjustRightInd w:val="0"/>
      <w:spacing w:line="360" w:lineRule="atLeast"/>
      <w:ind w:firstLine="482"/>
      <w:textAlignment w:val="baseline"/>
    </w:pPr>
    <w:rPr>
      <w:kern w:val="0"/>
      <w:sz w:val="24"/>
      <w:szCs w:val="20"/>
    </w:rPr>
  </w:style>
  <w:style w:type="paragraph" w:styleId="4">
    <w:name w:val="annotation text"/>
    <w:basedOn w:val="1"/>
    <w:semiHidden/>
    <w:qFormat/>
    <w:uiPriority w:val="0"/>
    <w:pPr>
      <w:jc w:val="left"/>
    </w:pPr>
  </w:style>
  <w:style w:type="paragraph" w:styleId="5">
    <w:name w:val="Body Text"/>
    <w:basedOn w:val="1"/>
    <w:next w:val="6"/>
    <w:qFormat/>
    <w:uiPriority w:val="0"/>
    <w:pPr>
      <w:adjustRightInd w:val="0"/>
      <w:spacing w:after="60" w:line="360" w:lineRule="atLeast"/>
      <w:ind w:left="72" w:leftChars="30" w:right="30" w:rightChars="30"/>
      <w:jc w:val="center"/>
      <w:textAlignment w:val="baseline"/>
    </w:pPr>
    <w:rPr>
      <w:kern w:val="0"/>
      <w:sz w:val="20"/>
      <w:szCs w:val="20"/>
    </w:rPr>
  </w:style>
  <w:style w:type="paragraph" w:styleId="6">
    <w:name w:val="Title"/>
    <w:basedOn w:val="1"/>
    <w:next w:val="1"/>
    <w:qFormat/>
    <w:uiPriority w:val="0"/>
    <w:pPr>
      <w:spacing w:before="240" w:after="60"/>
      <w:jc w:val="center"/>
      <w:outlineLvl w:val="0"/>
    </w:pPr>
    <w:rPr>
      <w:rFonts w:ascii="Cambria" w:hAnsi="Cambria"/>
      <w:b/>
      <w:bCs/>
      <w:sz w:val="32"/>
      <w:szCs w:val="32"/>
    </w:r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9">
    <w:name w:val="toc 1"/>
    <w:basedOn w:val="1"/>
    <w:next w:val="1"/>
    <w:qFormat/>
    <w:uiPriority w:val="0"/>
    <w:pPr>
      <w:tabs>
        <w:tab w:val="right" w:leader="dot" w:pos="8296"/>
      </w:tabs>
    </w:pPr>
    <w:rPr>
      <w:rFonts w:ascii="宋体" w:eastAsia="楷体_GB2312" w:cs="Times New Roman"/>
      <w:b/>
      <w:kern w:val="0"/>
      <w:sz w:val="28"/>
      <w:szCs w:val="20"/>
    </w:rPr>
  </w:style>
  <w:style w:type="paragraph" w:styleId="10">
    <w:name w:val="toc 2"/>
    <w:basedOn w:val="1"/>
    <w:next w:val="1"/>
    <w:qFormat/>
    <w:uiPriority w:val="0"/>
    <w:pPr>
      <w:ind w:left="420" w:leftChars="200"/>
    </w:pPr>
    <w:rPr>
      <w:rFonts w:ascii="宋体"/>
      <w:b/>
      <w:sz w:val="28"/>
      <w:szCs w:val="20"/>
    </w:rPr>
  </w:style>
  <w:style w:type="paragraph" w:styleId="11">
    <w:name w:val="Normal (Web)"/>
    <w:basedOn w:val="1"/>
    <w:qFormat/>
    <w:uiPriority w:val="0"/>
    <w:pPr>
      <w:widowControl/>
      <w:spacing w:before="100" w:beforeAutospacing="1" w:after="100" w:afterAutospacing="1" w:line="320" w:lineRule="atLeast"/>
      <w:jc w:val="left"/>
    </w:pPr>
    <w:rPr>
      <w:rFonts w:ascii="宋体" w:hAnsi="宋体"/>
      <w:kern w:val="0"/>
      <w:sz w:val="18"/>
      <w:szCs w:val="18"/>
    </w:rPr>
  </w:style>
  <w:style w:type="paragraph" w:styleId="12">
    <w:name w:val="Body Text First Indent 2"/>
    <w:qFormat/>
    <w:uiPriority w:val="0"/>
    <w:pPr>
      <w:widowControl w:val="0"/>
      <w:spacing w:line="240" w:lineRule="atLeast"/>
      <w:ind w:firstLine="420" w:firstLineChars="200"/>
      <w:jc w:val="both"/>
    </w:pPr>
    <w:rPr>
      <w:rFonts w:ascii="Times New Roman" w:hAnsi="Times New Roman" w:eastAsia="宋体" w:cs="Times New Roman"/>
      <w:kern w:val="2"/>
      <w:sz w:val="24"/>
      <w:szCs w:val="24"/>
      <w:lang w:val="en-US" w:eastAsia="zh-CN" w:bidi="ar-SA"/>
    </w:rPr>
  </w:style>
  <w:style w:type="character" w:styleId="15">
    <w:name w:val="Strong"/>
    <w:qFormat/>
    <w:uiPriority w:val="0"/>
    <w:rPr>
      <w:b/>
      <w:bCs/>
    </w:rPr>
  </w:style>
  <w:style w:type="paragraph" w:customStyle="1" w:styleId="16">
    <w:name w:val="样式 首行缩进:  2 字符"/>
    <w:basedOn w:val="1"/>
    <w:qFormat/>
    <w:uiPriority w:val="0"/>
    <w:pPr>
      <w:spacing w:line="360" w:lineRule="auto"/>
      <w:ind w:firstLine="560" w:firstLineChars="200"/>
    </w:pPr>
    <w:rPr>
      <w:rFonts w:ascii="仿宋_GB2312" w:hAnsi="Calibri" w:eastAsia="仿宋_GB2312" w:cs="宋体"/>
      <w:sz w:val="24"/>
    </w:rPr>
  </w:style>
  <w:style w:type="paragraph" w:customStyle="1" w:styleId="17">
    <w:name w:val="Default"/>
    <w:basedOn w:val="1"/>
    <w:qFormat/>
    <w:uiPriority w:val="0"/>
    <w:pPr>
      <w:autoSpaceDE w:val="0"/>
      <w:autoSpaceDN w:val="0"/>
      <w:adjustRightInd w:val="0"/>
      <w:jc w:val="left"/>
    </w:pPr>
    <w:rPr>
      <w:rFonts w:ascii="宋体" w:hAnsi="宋体"/>
      <w:color w:val="000000"/>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6" Type="http://schemas.openxmlformats.org/officeDocument/2006/relationships/fontTable" Target="fontTable.xml"/><Relationship Id="rId45" Type="http://schemas.openxmlformats.org/officeDocument/2006/relationships/numbering" Target="numbering.xml"/><Relationship Id="rId44" Type="http://schemas.openxmlformats.org/officeDocument/2006/relationships/customXml" Target="../customXml/item1.xml"/><Relationship Id="rId43" Type="http://schemas.openxmlformats.org/officeDocument/2006/relationships/image" Target="media/image16.jpeg"/><Relationship Id="rId42" Type="http://schemas.openxmlformats.org/officeDocument/2006/relationships/image" Target="media/image15.jpeg"/><Relationship Id="rId41" Type="http://schemas.openxmlformats.org/officeDocument/2006/relationships/image" Target="media/image14.jpeg"/><Relationship Id="rId40" Type="http://schemas.openxmlformats.org/officeDocument/2006/relationships/image" Target="media/image13.jpeg"/><Relationship Id="rId4" Type="http://schemas.openxmlformats.org/officeDocument/2006/relationships/header" Target="header2.xml"/><Relationship Id="rId39" Type="http://schemas.openxmlformats.org/officeDocument/2006/relationships/image" Target="media/image12.jpeg"/><Relationship Id="rId38" Type="http://schemas.openxmlformats.org/officeDocument/2006/relationships/image" Target="media/image11.jpeg"/><Relationship Id="rId37" Type="http://schemas.openxmlformats.org/officeDocument/2006/relationships/image" Target="media/image10.jpeg"/><Relationship Id="rId36" Type="http://schemas.openxmlformats.org/officeDocument/2006/relationships/image" Target="media/image9.jpeg"/><Relationship Id="rId35" Type="http://schemas.openxmlformats.org/officeDocument/2006/relationships/image" Target="media/image8.jpeg"/><Relationship Id="rId34" Type="http://schemas.openxmlformats.org/officeDocument/2006/relationships/image" Target="media/image7.jpeg"/><Relationship Id="rId33" Type="http://schemas.openxmlformats.org/officeDocument/2006/relationships/image" Target="media/image6.jpeg"/><Relationship Id="rId32" Type="http://schemas.openxmlformats.org/officeDocument/2006/relationships/image" Target="media/image5.wmf"/><Relationship Id="rId31" Type="http://schemas.openxmlformats.org/officeDocument/2006/relationships/oleObject" Target="embeddings/oleObject5.bin"/><Relationship Id="rId30" Type="http://schemas.openxmlformats.org/officeDocument/2006/relationships/image" Target="media/image4.wmf"/><Relationship Id="rId3" Type="http://schemas.openxmlformats.org/officeDocument/2006/relationships/header" Target="header1.xml"/><Relationship Id="rId29" Type="http://schemas.openxmlformats.org/officeDocument/2006/relationships/oleObject" Target="embeddings/oleObject4.bin"/><Relationship Id="rId28" Type="http://schemas.openxmlformats.org/officeDocument/2006/relationships/image" Target="media/image3.wmf"/><Relationship Id="rId27" Type="http://schemas.openxmlformats.org/officeDocument/2006/relationships/oleObject" Target="embeddings/oleObject3.bin"/><Relationship Id="rId26" Type="http://schemas.openxmlformats.org/officeDocument/2006/relationships/image" Target="media/image2.wmf"/><Relationship Id="rId25" Type="http://schemas.openxmlformats.org/officeDocument/2006/relationships/oleObject" Target="embeddings/oleObject2.bin"/><Relationship Id="rId24" Type="http://schemas.openxmlformats.org/officeDocument/2006/relationships/image" Target="media/image1.wmf"/><Relationship Id="rId23" Type="http://schemas.openxmlformats.org/officeDocument/2006/relationships/oleObject" Target="embeddings/oleObject1.bin"/><Relationship Id="rId22" Type="http://schemas.openxmlformats.org/officeDocument/2006/relationships/theme" Target="theme/theme1.xml"/><Relationship Id="rId21" Type="http://schemas.openxmlformats.org/officeDocument/2006/relationships/footer" Target="footer15.xml"/><Relationship Id="rId20" Type="http://schemas.openxmlformats.org/officeDocument/2006/relationships/footer" Target="footer14.xml"/><Relationship Id="rId2" Type="http://schemas.openxmlformats.org/officeDocument/2006/relationships/settings" Target="settings.xml"/><Relationship Id="rId19" Type="http://schemas.openxmlformats.org/officeDocument/2006/relationships/footer" Target="footer13.xml"/><Relationship Id="rId18" Type="http://schemas.openxmlformats.org/officeDocument/2006/relationships/footer" Target="footer12.xml"/><Relationship Id="rId17" Type="http://schemas.openxmlformats.org/officeDocument/2006/relationships/footer" Target="footer11.xml"/><Relationship Id="rId16" Type="http://schemas.openxmlformats.org/officeDocument/2006/relationships/footer" Target="footer10.xml"/><Relationship Id="rId15" Type="http://schemas.openxmlformats.org/officeDocument/2006/relationships/footer" Target="footer9.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275</Pages>
  <Words>24222</Words>
  <Characters>25297</Characters>
  <Lines>0</Lines>
  <Paragraphs>0</Paragraphs>
  <TotalTime>19</TotalTime>
  <ScaleCrop>false</ScaleCrop>
  <LinksUpToDate>false</LinksUpToDate>
  <CharactersWithSpaces>26227</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2024-06-11T07:59:00Z</dcterms:created>
  <dc:creator>HP</dc:creator>
  <cp:lastModifiedBy>走过的</cp:lastModifiedBy>
  <dcterms:modified xsi:type="dcterms:W3CDTF">2025-09-26T07:32:13Z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38BB391FC5D44FB38440A3A45DB5DE80_13</vt:lpwstr>
  </property>
  <property fmtid="{D5CDD505-2E9C-101B-9397-08002B2CF9AE}" pid="4" name="KSOTemplateDocerSaveRecord">
    <vt:lpwstr>eyJoZGlkIjoiMmE5NDM5YzY2ZjExOGI4ZTEzZjEwZTA4NGRiNGRiMTAiLCJ1c2VySWQiOiI5MjcyMzM4MTUifQ==</vt:lpwstr>
  </property>
</Properties>
</file>