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5DFCD">
      <w:pPr>
        <w:spacing w:line="360" w:lineRule="auto"/>
        <w:jc w:val="center"/>
        <w:rPr>
          <w:rFonts w:hint="eastAsia" w:ascii="微软雅黑" w:hAnsi="微软雅黑" w:eastAsia="微软雅黑" w:cs="微软雅黑"/>
          <w:b/>
          <w:bCs/>
          <w:kern w:val="44"/>
          <w:sz w:val="36"/>
          <w:szCs w:val="36"/>
        </w:rPr>
      </w:pPr>
      <w:r>
        <w:rPr>
          <w:rFonts w:hint="eastAsia" w:ascii="微软雅黑" w:hAnsi="微软雅黑" w:eastAsia="微软雅黑" w:cs="微软雅黑"/>
          <w:b/>
          <w:bCs/>
          <w:kern w:val="44"/>
          <w:sz w:val="36"/>
          <w:szCs w:val="36"/>
        </w:rPr>
        <w:t>网络舆情监控服务及新媒体</w:t>
      </w:r>
      <w:r>
        <w:rPr>
          <w:rFonts w:hint="eastAsia" w:ascii="微软雅黑" w:hAnsi="微软雅黑" w:eastAsia="微软雅黑" w:cs="微软雅黑"/>
          <w:b/>
          <w:bCs/>
          <w:kern w:val="44"/>
          <w:sz w:val="36"/>
          <w:szCs w:val="36"/>
          <w:lang w:val="en-US" w:eastAsia="zh-CN"/>
        </w:rPr>
        <w:t>整合</w:t>
      </w:r>
      <w:r>
        <w:rPr>
          <w:rFonts w:hint="eastAsia" w:ascii="微软雅黑" w:hAnsi="微软雅黑" w:eastAsia="微软雅黑" w:cs="微软雅黑"/>
          <w:b/>
          <w:bCs/>
          <w:kern w:val="44"/>
          <w:sz w:val="36"/>
          <w:szCs w:val="36"/>
        </w:rPr>
        <w:t>推广合作协议</w:t>
      </w:r>
    </w:p>
    <w:p w14:paraId="6FCBF83E">
      <w:pPr>
        <w:spacing w:line="360" w:lineRule="auto"/>
        <w:jc w:val="right"/>
        <w:rPr>
          <w:rFonts w:ascii="仿宋_GB2312" w:hAnsi="仿宋_GB2312" w:eastAsia="仿宋_GB2312" w:cs="仿宋_GB2312"/>
          <w:b/>
          <w:bCs/>
          <w:kern w:val="44"/>
          <w:sz w:val="44"/>
          <w:szCs w:val="44"/>
        </w:rPr>
      </w:pPr>
      <w:r>
        <w:rPr>
          <w:rFonts w:hint="eastAsia" w:ascii="仿宋_GB2312" w:hAnsi="仿宋_GB2312" w:eastAsia="仿宋_GB2312" w:cs="仿宋_GB2312"/>
          <w:kern w:val="44"/>
          <w:szCs w:val="21"/>
        </w:rPr>
        <w:t xml:space="preserve">合同编号：[   </w:t>
      </w:r>
      <w:r>
        <w:rPr>
          <w:rFonts w:hint="eastAsia" w:ascii="仿宋_GB2312" w:hAnsi="仿宋_GB2312" w:eastAsia="仿宋_GB2312" w:cs="仿宋_GB2312"/>
          <w:kern w:val="44"/>
          <w:szCs w:val="21"/>
          <w:lang w:val="en-US" w:eastAsia="zh-CN"/>
        </w:rPr>
        <w:t xml:space="preserve">    </w:t>
      </w:r>
      <w:r>
        <w:rPr>
          <w:rFonts w:hint="eastAsia" w:ascii="仿宋_GB2312" w:hAnsi="仿宋_GB2312" w:eastAsia="仿宋_GB2312" w:cs="仿宋_GB2312"/>
          <w:kern w:val="44"/>
          <w:szCs w:val="21"/>
        </w:rPr>
        <w:t xml:space="preserve">         ]</w:t>
      </w:r>
    </w:p>
    <w:p w14:paraId="051581F7">
      <w:pPr>
        <w:snapToGrid w:val="0"/>
        <w:spacing w:line="560" w:lineRule="exact"/>
        <w:ind w:left="630" w:leftChars="300" w:firstLine="0" w:firstLineChars="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甲方：</w:t>
      </w:r>
      <w:permStart w:id="0" w:edGrp="everyone"/>
      <w:bookmarkStart w:id="0" w:name="_Hlk217986610"/>
      <w:r>
        <w:rPr>
          <w:rFonts w:hint="eastAsia" w:ascii="仿宋_GB2312" w:hAnsi="仿宋_GB2312" w:eastAsia="仿宋_GB2312" w:cs="仿宋_GB2312"/>
          <w:sz w:val="32"/>
          <w:szCs w:val="32"/>
        </w:rPr>
        <w:t>海口市君实综合开发有限责任公司</w:t>
      </w:r>
      <w:permEnd w:id="0"/>
      <w:bookmarkEnd w:id="0"/>
    </w:p>
    <w:p w14:paraId="571F75D6">
      <w:pPr>
        <w:tabs>
          <w:tab w:val="left" w:pos="2730"/>
        </w:tabs>
        <w:snapToGrid w:val="0"/>
        <w:spacing w:line="560" w:lineRule="exact"/>
        <w:ind w:left="630" w:leftChars="30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
        </w:rPr>
        <w:t>统一社会信用代码：</w:t>
      </w:r>
      <w:permStart w:id="1" w:edGrp="everyone"/>
      <w:r>
        <w:rPr>
          <w:rFonts w:hint="eastAsia" w:ascii="仿宋_GB2312" w:hAnsi="仿宋_GB2312" w:eastAsia="仿宋_GB2312" w:cs="仿宋_GB2312"/>
          <w:sz w:val="32"/>
          <w:szCs w:val="32"/>
        </w:rPr>
        <w:t xml:space="preserve"> 91460000MA5TL6AD32 </w:t>
      </w:r>
    </w:p>
    <w:permEnd w:id="1"/>
    <w:p w14:paraId="2498F53C">
      <w:pPr>
        <w:tabs>
          <w:tab w:val="left" w:pos="2730"/>
        </w:tabs>
        <w:snapToGrid w:val="0"/>
        <w:spacing w:line="560" w:lineRule="exact"/>
        <w:ind w:left="630" w:leftChars="30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经营地址：</w:t>
      </w:r>
      <w:permStart w:id="2" w:edGrp="everyone"/>
      <w:r>
        <w:rPr>
          <w:rFonts w:hint="eastAsia" w:ascii="仿宋_GB2312" w:hAnsi="仿宋_GB2312" w:eastAsia="仿宋_GB2312" w:cs="仿宋_GB2312"/>
          <w:sz w:val="32"/>
          <w:szCs w:val="32"/>
        </w:rPr>
        <w:t>海南省海口市江东新区江东大道202号江东大厦B座3层</w:t>
      </w:r>
      <w:permEnd w:id="2"/>
    </w:p>
    <w:p w14:paraId="639B8B58">
      <w:pPr>
        <w:snapToGrid w:val="0"/>
        <w:spacing w:line="560" w:lineRule="exact"/>
        <w:ind w:left="630" w:leftChars="30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w:t>
      </w:r>
      <w:permStart w:id="3" w:edGrp="everyone"/>
      <w:r>
        <w:rPr>
          <w:rFonts w:hint="eastAsia" w:ascii="仿宋_GB2312" w:hAnsi="仿宋_GB2312" w:eastAsia="仿宋_GB2312" w:cs="仿宋_GB2312"/>
          <w:sz w:val="32"/>
          <w:szCs w:val="32"/>
        </w:rPr>
        <w:t>方志斌</w:t>
      </w:r>
      <w:permEnd w:id="3"/>
    </w:p>
    <w:p w14:paraId="708883AA">
      <w:pPr>
        <w:snapToGrid w:val="0"/>
        <w:spacing w:line="560" w:lineRule="exact"/>
        <w:ind w:firstLine="640" w:firstLineChars="200"/>
        <w:rPr>
          <w:rFonts w:ascii="仿宋_GB2312" w:hAnsi="仿宋_GB2312" w:eastAsia="仿宋_GB2312" w:cs="仿宋_GB2312"/>
          <w:sz w:val="32"/>
          <w:szCs w:val="32"/>
        </w:rPr>
      </w:pPr>
    </w:p>
    <w:p w14:paraId="0B47F7E3">
      <w:pPr>
        <w:snapToGrid w:val="0"/>
        <w:spacing w:line="560" w:lineRule="exact"/>
        <w:ind w:left="630" w:leftChars="30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乙方：</w:t>
      </w:r>
      <w:permStart w:id="4" w:edGrp="everyone"/>
      <w:r>
        <w:rPr>
          <w:rFonts w:hint="eastAsia" w:ascii="仿宋_GB2312" w:hAnsi="仿宋_GB2312" w:eastAsia="仿宋_GB2312" w:cs="仿宋_GB2312"/>
          <w:sz w:val="32"/>
          <w:szCs w:val="32"/>
        </w:rPr>
        <w:t xml:space="preserve">   </w:t>
      </w:r>
      <w:permEnd w:id="4"/>
    </w:p>
    <w:p w14:paraId="74F8B8A8">
      <w:pPr>
        <w:snapToGrid w:val="0"/>
        <w:spacing w:line="560" w:lineRule="exact"/>
        <w:ind w:left="630" w:leftChars="30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
        </w:rPr>
        <w:t>统一社会信用代码：</w:t>
      </w:r>
      <w:permStart w:id="5" w:edGrp="everyone"/>
      <w:r>
        <w:rPr>
          <w:rFonts w:hint="eastAsia" w:ascii="仿宋_GB2312" w:hAnsi="仿宋_GB2312" w:eastAsia="仿宋_GB2312" w:cs="仿宋_GB2312"/>
          <w:sz w:val="32"/>
          <w:szCs w:val="32"/>
        </w:rPr>
        <w:t xml:space="preserve">   </w:t>
      </w:r>
      <w:permEnd w:id="5"/>
    </w:p>
    <w:p w14:paraId="5FE109F4">
      <w:pPr>
        <w:snapToGrid w:val="0"/>
        <w:spacing w:line="560" w:lineRule="exact"/>
        <w:ind w:left="630" w:leftChars="30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经营地址：</w:t>
      </w:r>
      <w:permStart w:id="6" w:edGrp="everyone"/>
      <w:r>
        <w:rPr>
          <w:rFonts w:hint="eastAsia" w:ascii="仿宋_GB2312" w:hAnsi="仿宋_GB2312" w:eastAsia="仿宋_GB2312" w:cs="仿宋_GB2312"/>
          <w:sz w:val="32"/>
          <w:szCs w:val="32"/>
        </w:rPr>
        <w:t xml:space="preserve">   </w:t>
      </w:r>
      <w:permEnd w:id="6"/>
    </w:p>
    <w:p w14:paraId="159F40C0">
      <w:pPr>
        <w:snapToGrid w:val="0"/>
        <w:spacing w:line="560" w:lineRule="exact"/>
        <w:ind w:left="630" w:leftChars="30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w:t>
      </w:r>
      <w:permStart w:id="7" w:edGrp="everyone"/>
      <w:r>
        <w:rPr>
          <w:rFonts w:hint="eastAsia" w:ascii="仿宋_GB2312" w:hAnsi="仿宋_GB2312" w:eastAsia="仿宋_GB2312" w:cs="仿宋_GB2312"/>
          <w:sz w:val="32"/>
          <w:szCs w:val="32"/>
        </w:rPr>
        <w:t xml:space="preserve">    </w:t>
      </w:r>
      <w:permEnd w:id="7"/>
    </w:p>
    <w:p w14:paraId="2C545E37">
      <w:pPr>
        <w:snapToGrid w:val="0"/>
        <w:spacing w:line="560" w:lineRule="exact"/>
        <w:ind w:left="630" w:leftChars="300" w:firstLine="0" w:firstLineChars="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联系方式：</w:t>
      </w:r>
      <w:permStart w:id="8" w:edGrp="everyone"/>
      <w:r>
        <w:rPr>
          <w:rFonts w:hint="eastAsia" w:ascii="仿宋_GB2312" w:hAnsi="仿宋_GB2312" w:eastAsia="仿宋_GB2312" w:cs="仿宋_GB2312"/>
          <w:sz w:val="32"/>
          <w:szCs w:val="32"/>
        </w:rPr>
        <w:t xml:space="preserve">    </w:t>
      </w:r>
      <w:permEnd w:id="8"/>
      <w:r>
        <w:rPr>
          <w:rFonts w:hint="eastAsia" w:ascii="仿宋_GB2312" w:hAnsi="仿宋_GB2312" w:eastAsia="仿宋_GB2312" w:cs="仿宋_GB2312"/>
          <w:sz w:val="32"/>
          <w:szCs w:val="32"/>
        </w:rPr>
        <w:t xml:space="preserve"> </w:t>
      </w:r>
    </w:p>
    <w:p w14:paraId="7D552DB1">
      <w:pPr>
        <w:spacing w:line="560" w:lineRule="exact"/>
        <w:ind w:firstLine="640" w:firstLineChars="200"/>
        <w:jc w:val="left"/>
        <w:rPr>
          <w:rFonts w:ascii="仿宋_GB2312" w:hAnsi="仿宋_GB2312" w:eastAsia="仿宋_GB2312" w:cs="仿宋_GB2312"/>
          <w:sz w:val="32"/>
          <w:szCs w:val="32"/>
        </w:rPr>
      </w:pPr>
    </w:p>
    <w:p w14:paraId="1A432793">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双方经友好协商，根据《中华人民共和国民法典》及相关法律法规，在平等、自愿、协商一致的基础上甲乙双方就</w:t>
      </w:r>
      <w:permStart w:id="9" w:edGrp="everyone"/>
      <w:r>
        <w:rPr>
          <w:rFonts w:hint="eastAsia" w:ascii="仿宋_GB2312" w:hAnsi="仿宋_GB2312" w:eastAsia="仿宋_GB2312" w:cs="仿宋_GB2312"/>
          <w:sz w:val="32"/>
          <w:szCs w:val="32"/>
        </w:rPr>
        <w:t xml:space="preserve"> 网络舆情监控服务及新媒体整合推广 </w:t>
      </w:r>
      <w:permEnd w:id="9"/>
      <w:r>
        <w:rPr>
          <w:rFonts w:hint="eastAsia" w:ascii="仿宋_GB2312" w:hAnsi="仿宋_GB2312" w:eastAsia="仿宋_GB2312" w:cs="仿宋_GB2312"/>
          <w:sz w:val="32"/>
          <w:szCs w:val="32"/>
        </w:rPr>
        <w:t>服务的事宜订立本</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rPr>
        <w:t xml:space="preserve">，以资共同遵守。具体合同条款如下： </w:t>
      </w:r>
    </w:p>
    <w:p w14:paraId="66E4969B">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0"/>
        <w:rPr>
          <w:rFonts w:ascii="黑体" w:hAnsi="黑体" w:eastAsia="黑体" w:cs="黑体"/>
          <w:kern w:val="0"/>
          <w:sz w:val="32"/>
          <w:szCs w:val="32"/>
        </w:rPr>
      </w:pPr>
      <w:r>
        <w:rPr>
          <w:rFonts w:hint="eastAsia" w:ascii="黑体" w:hAnsi="黑体" w:eastAsia="黑体" w:cs="黑体"/>
          <w:sz w:val="32"/>
          <w:szCs w:val="32"/>
        </w:rPr>
        <w:t>一、</w:t>
      </w:r>
      <w:r>
        <w:rPr>
          <w:rFonts w:hint="eastAsia" w:ascii="黑体" w:hAnsi="黑体" w:eastAsia="黑体" w:cs="黑体"/>
          <w:kern w:val="0"/>
          <w:sz w:val="32"/>
          <w:szCs w:val="32"/>
        </w:rPr>
        <w:t>服务概况</w:t>
      </w:r>
    </w:p>
    <w:p w14:paraId="3A8AF1B4">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sz w:val="32"/>
          <w:szCs w:val="32"/>
          <w:lang w:val="en-US" w:eastAsia="zh-CN"/>
        </w:rPr>
        <w:t>甲方受项目公司委托代为签署本合同（授权委托书详见附件6），包括以下公司（以下简称“项目公司”）</w:t>
      </w:r>
      <w:r>
        <w:rPr>
          <w:rFonts w:hint="eastAsia" w:ascii="仿宋_GB2312" w:hAnsi="仿宋_GB2312" w:eastAsia="仿宋_GB2312" w:cs="仿宋_GB2312"/>
          <w:sz w:val="32"/>
          <w:szCs w:val="32"/>
        </w:rPr>
        <w:t>：</w:t>
      </w:r>
      <w:permStart w:id="10" w:edGrp="everyone"/>
      <w:r>
        <w:rPr>
          <w:rFonts w:hint="eastAsia" w:ascii="仿宋_GB2312" w:hAnsi="仿宋_GB2312" w:eastAsia="仿宋_GB2312" w:cs="仿宋_GB2312"/>
          <w:sz w:val="32"/>
          <w:szCs w:val="32"/>
        </w:rPr>
        <w:t>海口江东新区城市投资有限公司、海口市恒睿安居置业有限公司、海南省桂林洋房地产开发总公司、海口市江东新区安居置业有限公司。</w:t>
      </w:r>
      <w:permEnd w:id="10"/>
    </w:p>
    <w:p w14:paraId="468CFA9F">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default" w:ascii="仿宋_GB2312" w:hAnsi="仿宋_GB2312" w:eastAsia="仿宋_GB2312" w:cs="仿宋_GB2312"/>
          <w:bCs/>
          <w:kern w:val="0"/>
          <w:sz w:val="32"/>
          <w:szCs w:val="32"/>
          <w:lang w:val="en-US" w:eastAsia="zh-CN"/>
        </w:rPr>
      </w:pPr>
      <w:r>
        <w:rPr>
          <w:rFonts w:hint="eastAsia" w:ascii="仿宋_GB2312" w:hAnsi="仿宋_GB2312" w:eastAsia="仿宋_GB2312" w:cs="仿宋_GB2312"/>
          <w:kern w:val="0"/>
          <w:sz w:val="32"/>
          <w:szCs w:val="32"/>
          <w:lang w:val="en-US" w:eastAsia="zh-CN"/>
        </w:rPr>
        <w:t>乙方明确知晓，甲方系依据授权书（附件6）与乙方签订本合同开展相关服务活动，但本合同项下所产生的费用乙方应依据双方确认的《服务/结案报告》向各费用主体主张，</w:t>
      </w:r>
      <w:r>
        <w:rPr>
          <w:rFonts w:hint="eastAsia" w:ascii="仿宋_GB2312" w:hAnsi="仿宋_GB2312" w:eastAsia="仿宋_GB2312" w:cs="仿宋_GB2312"/>
          <w:sz w:val="32"/>
          <w:szCs w:val="32"/>
          <w:lang w:val="en-US" w:eastAsia="zh-CN"/>
        </w:rPr>
        <w:t>项目公司与甲方对各费用不承担连带清偿责任，乙方不可向其他费用主体主张不属于其承担的费用</w:t>
      </w:r>
      <w:r>
        <w:rPr>
          <w:rFonts w:hint="eastAsia" w:ascii="仿宋_GB2312" w:hAnsi="仿宋_GB2312" w:eastAsia="仿宋_GB2312" w:cs="仿宋_GB2312"/>
          <w:bCs/>
          <w:kern w:val="0"/>
          <w:sz w:val="32"/>
          <w:szCs w:val="32"/>
        </w:rPr>
        <w:t>。</w:t>
      </w:r>
    </w:p>
    <w:p w14:paraId="61A29D27">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2.服务内容：</w:t>
      </w:r>
    </w:p>
    <w:p w14:paraId="23C56B13">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舆情监控服务：提供全平台舆情监控及危机公关</w:t>
      </w:r>
      <w:r>
        <w:rPr>
          <w:rFonts w:hint="eastAsia" w:ascii="仿宋_GB2312" w:hAnsi="仿宋_GB2312" w:eastAsia="仿宋_GB2312" w:cs="仿宋_GB2312"/>
          <w:kern w:val="0"/>
          <w:sz w:val="32"/>
          <w:szCs w:val="32"/>
          <w:lang w:val="en-US" w:eastAsia="zh-CN"/>
        </w:rPr>
        <w:t>支持</w:t>
      </w:r>
      <w:r>
        <w:rPr>
          <w:rFonts w:hint="eastAsia" w:ascii="仿宋_GB2312" w:hAnsi="仿宋_GB2312" w:eastAsia="仿宋_GB2312" w:cs="仿宋_GB2312"/>
          <w:kern w:val="0"/>
          <w:sz w:val="32"/>
          <w:szCs w:val="32"/>
        </w:rPr>
        <w:t>服务</w:t>
      </w:r>
      <w:r>
        <w:rPr>
          <w:rFonts w:ascii="仿宋_GB2312" w:hAnsi="仿宋_GB2312" w:eastAsia="仿宋_GB2312" w:cs="仿宋_GB2312"/>
          <w:kern w:val="0"/>
          <w:sz w:val="32"/>
          <w:szCs w:val="32"/>
        </w:rPr>
        <w:t>（含社交媒体、新</w:t>
      </w:r>
      <w:r>
        <w:rPr>
          <w:rFonts w:hint="eastAsia" w:ascii="仿宋_GB2312" w:hAnsi="仿宋_GB2312" w:eastAsia="仿宋_GB2312" w:cs="仿宋_GB2312"/>
          <w:kern w:val="0"/>
          <w:sz w:val="32"/>
          <w:szCs w:val="32"/>
        </w:rPr>
        <w:t>闻网站、论坛等</w:t>
      </w:r>
      <w:r>
        <w:rPr>
          <w:rFonts w:hint="eastAsia" w:ascii="___WRD_EMBED_SUB_45" w:hAnsi="___WRD_EMBED_SUB_45" w:eastAsia="___WRD_EMBED_SUB_45" w:cs="___WRD_EMBED_SUB_45"/>
          <w:kern w:val="0"/>
          <w:sz w:val="32"/>
          <w:szCs w:val="32"/>
        </w:rPr>
        <w:t>）</w:t>
      </w:r>
      <w:r>
        <w:rPr>
          <w:rFonts w:hint="eastAsia" w:ascii="仿宋_GB2312" w:hAnsi="仿宋_GB2312" w:eastAsia="仿宋_GB2312" w:cs="仿宋_GB2312"/>
          <w:kern w:val="0"/>
          <w:sz w:val="32"/>
          <w:szCs w:val="32"/>
        </w:rPr>
        <w:t>，包括实时舆情追踪、风险预警及危机应对策略定制</w:t>
      </w:r>
      <w:r>
        <w:rPr>
          <w:rFonts w:hint="eastAsia" w:ascii="仿宋_GB2312" w:hAnsi="仿宋_GB2312" w:eastAsia="仿宋_GB2312" w:cs="仿宋_GB2312"/>
          <w:kern w:val="0"/>
          <w:sz w:val="32"/>
          <w:szCs w:val="32"/>
          <w:lang w:val="en-US" w:eastAsia="zh-CN"/>
        </w:rPr>
        <w:t>等</w:t>
      </w:r>
      <w:r>
        <w:rPr>
          <w:rFonts w:hint="eastAsia" w:ascii="仿宋_GB2312" w:hAnsi="仿宋_GB2312" w:eastAsia="仿宋_GB2312" w:cs="仿宋_GB2312"/>
          <w:kern w:val="0"/>
          <w:sz w:val="32"/>
          <w:szCs w:val="32"/>
        </w:rPr>
        <w:t>；</w:t>
      </w:r>
    </w:p>
    <w:p w14:paraId="4CB11262">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新</w:t>
      </w:r>
      <w:r>
        <w:rPr>
          <w:rFonts w:hint="eastAsia" w:ascii="仿宋_GB2312" w:hAnsi="仿宋_GB2312" w:eastAsia="仿宋_GB2312" w:cs="仿宋_GB2312"/>
          <w:kern w:val="0"/>
          <w:sz w:val="32"/>
          <w:szCs w:val="32"/>
        </w:rPr>
        <w:t>媒体整合推广：提供新媒体平台资源整合及推广服务，</w:t>
      </w:r>
      <w:r>
        <w:rPr>
          <w:rFonts w:hint="eastAsia" w:ascii="仿宋_GB2312" w:hAnsi="仿宋_GB2312" w:eastAsia="仿宋_GB2312" w:cs="仿宋_GB2312"/>
          <w:kern w:val="0"/>
          <w:sz w:val="32"/>
          <w:szCs w:val="32"/>
          <w:lang w:val="en-US" w:eastAsia="zh-CN"/>
        </w:rPr>
        <w:t>具体包括</w:t>
      </w:r>
      <w:r>
        <w:rPr>
          <w:rFonts w:hint="eastAsia" w:ascii="仿宋_GB2312" w:hAnsi="仿宋_GB2312" w:eastAsia="仿宋_GB2312" w:cs="仿宋_GB2312"/>
          <w:kern w:val="0"/>
          <w:sz w:val="32"/>
          <w:szCs w:val="32"/>
        </w:rPr>
        <w:t>内容策划、</w:t>
      </w:r>
      <w:r>
        <w:rPr>
          <w:rFonts w:hint="eastAsia" w:ascii="仿宋_GB2312" w:hAnsi="仿宋_GB2312" w:eastAsia="仿宋_GB2312" w:cs="仿宋_GB2312"/>
          <w:kern w:val="0"/>
          <w:sz w:val="32"/>
          <w:szCs w:val="32"/>
          <w:lang w:val="en-US" w:eastAsia="zh-CN"/>
        </w:rPr>
        <w:t>视觉设计、文案撰写、媒体采购、发布执行、数据监测及</w:t>
      </w:r>
      <w:r>
        <w:rPr>
          <w:rFonts w:hint="eastAsia" w:ascii="仿宋_GB2312" w:hAnsi="仿宋_GB2312" w:eastAsia="仿宋_GB2312" w:cs="仿宋_GB2312"/>
          <w:kern w:val="0"/>
          <w:sz w:val="32"/>
          <w:szCs w:val="32"/>
        </w:rPr>
        <w:t>效果</w:t>
      </w:r>
      <w:r>
        <w:rPr>
          <w:rFonts w:hint="eastAsia" w:ascii="仿宋_GB2312" w:hAnsi="仿宋_GB2312" w:eastAsia="仿宋_GB2312" w:cs="仿宋_GB2312"/>
          <w:kern w:val="0"/>
          <w:sz w:val="32"/>
          <w:szCs w:val="32"/>
          <w:lang w:val="en-US" w:eastAsia="zh-CN"/>
        </w:rPr>
        <w:t>分析报告等</w:t>
      </w:r>
      <w:r>
        <w:rPr>
          <w:rFonts w:hint="eastAsia" w:ascii="仿宋_GB2312" w:hAnsi="仿宋_GB2312" w:eastAsia="仿宋_GB2312" w:cs="仿宋_GB2312"/>
          <w:kern w:val="0"/>
          <w:sz w:val="32"/>
          <w:szCs w:val="32"/>
        </w:rPr>
        <w:t>。</w:t>
      </w:r>
    </w:p>
    <w:p w14:paraId="5F947C36">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3.服务清单：详见</w:t>
      </w:r>
      <w:r>
        <w:rPr>
          <w:rFonts w:hint="eastAsia" w:ascii="仿宋_GB2312" w:hAnsi="仿宋_GB2312" w:eastAsia="仿宋_GB2312" w:cs="仿宋_GB2312"/>
          <w:kern w:val="0"/>
          <w:sz w:val="32"/>
          <w:szCs w:val="32"/>
          <w:lang w:val="en-US" w:eastAsia="zh-CN"/>
        </w:rPr>
        <w:t>合同</w:t>
      </w:r>
      <w:r>
        <w:rPr>
          <w:rFonts w:hint="eastAsia" w:ascii="仿宋_GB2312" w:hAnsi="仿宋_GB2312" w:eastAsia="仿宋_GB2312" w:cs="仿宋_GB2312"/>
          <w:kern w:val="0"/>
          <w:sz w:val="32"/>
          <w:szCs w:val="32"/>
        </w:rPr>
        <w:t>附件</w:t>
      </w: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w:t>
      </w:r>
    </w:p>
    <w:p w14:paraId="6395A2BA">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4.服务用途：用于</w:t>
      </w:r>
      <w:permStart w:id="11"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甲方及其下属子公司在营、在售项目</w:t>
      </w:r>
      <w:r>
        <w:rPr>
          <w:rFonts w:hint="eastAsia" w:ascii="仿宋_GB2312" w:hAnsi="仿宋_GB2312" w:eastAsia="仿宋_GB2312" w:cs="仿宋_GB2312"/>
          <w:sz w:val="32"/>
          <w:szCs w:val="32"/>
        </w:rPr>
        <w:t xml:space="preserve">] </w:t>
      </w:r>
      <w:permEnd w:id="11"/>
      <w:r>
        <w:rPr>
          <w:rFonts w:hint="eastAsia" w:ascii="仿宋_GB2312" w:hAnsi="仿宋_GB2312" w:eastAsia="仿宋_GB2312" w:cs="仿宋_GB2312"/>
          <w:sz w:val="32"/>
          <w:szCs w:val="32"/>
        </w:rPr>
        <w:t>的网络舆情监控服务及</w:t>
      </w:r>
      <w:r>
        <w:rPr>
          <w:rFonts w:hint="eastAsia" w:ascii="仿宋_GB2312" w:hAnsi="仿宋_GB2312" w:eastAsia="仿宋_GB2312" w:cs="仿宋_GB2312"/>
          <w:sz w:val="32"/>
          <w:szCs w:val="32"/>
          <w:lang w:val="en-US" w:eastAsia="zh-CN"/>
        </w:rPr>
        <w:t>新媒体</w:t>
      </w:r>
      <w:r>
        <w:rPr>
          <w:rFonts w:hint="eastAsia" w:ascii="仿宋_GB2312" w:hAnsi="仿宋_GB2312" w:eastAsia="仿宋_GB2312" w:cs="仿宋_GB2312"/>
          <w:sz w:val="32"/>
          <w:szCs w:val="32"/>
        </w:rPr>
        <w:t>整合推广服务。</w:t>
      </w:r>
    </w:p>
    <w:p w14:paraId="29A859C3">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5.服务团队：乙方需根据甲方要求设置小组团队开展项目服务，小组团队至少为项目小组团队至少为1项目负责人+1监测专员+1项目策划+1编辑，甲方有权随时要求乙方调整小组人员。</w:t>
      </w:r>
    </w:p>
    <w:p w14:paraId="04EADED7">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0"/>
        <w:rPr>
          <w:rFonts w:ascii="黑体" w:hAnsi="黑体" w:eastAsia="黑体" w:cs="黑体"/>
          <w:kern w:val="0"/>
          <w:sz w:val="32"/>
          <w:szCs w:val="32"/>
        </w:rPr>
      </w:pPr>
      <w:r>
        <w:rPr>
          <w:rFonts w:hint="eastAsia" w:ascii="黑体" w:hAnsi="黑体" w:eastAsia="黑体" w:cs="黑体"/>
          <w:kern w:val="0"/>
          <w:sz w:val="32"/>
          <w:szCs w:val="32"/>
        </w:rPr>
        <w:t>二、服务期限</w:t>
      </w:r>
    </w:p>
    <w:p w14:paraId="5C6498B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服务期限：自合同签订之日起至</w:t>
      </w:r>
      <w:permStart w:id="12" w:edGrp="everyone"/>
      <w:r>
        <w:rPr>
          <w:rFonts w:hint="eastAsia" w:ascii="仿宋_GB2312" w:hAnsi="仿宋_GB2312" w:eastAsia="仿宋_GB2312" w:cs="仿宋_GB2312"/>
          <w:kern w:val="0"/>
          <w:sz w:val="32"/>
          <w:szCs w:val="32"/>
        </w:rPr>
        <w:t xml:space="preserve">      年    月    日</w:t>
      </w:r>
      <w:permEnd w:id="12"/>
      <w:r>
        <w:rPr>
          <w:rStyle w:val="43"/>
          <w:rFonts w:hint="eastAsia" w:ascii="仿宋_GB2312" w:hAnsi="仿宋_GB2312" w:eastAsia="仿宋_GB2312" w:cs="仿宋_GB2312"/>
          <w:spacing w:val="6"/>
          <w:sz w:val="32"/>
          <w:szCs w:val="32"/>
        </w:rPr>
        <w:t>止</w:t>
      </w:r>
      <w:r>
        <w:rPr>
          <w:rFonts w:hint="eastAsia" w:ascii="仿宋_GB2312" w:hAnsi="仿宋_GB2312" w:eastAsia="仿宋_GB2312" w:cs="仿宋_GB2312"/>
          <w:kern w:val="0"/>
          <w:sz w:val="32"/>
          <w:szCs w:val="32"/>
        </w:rPr>
        <w:t>；双方可根据需要续签合同</w:t>
      </w:r>
      <w:r>
        <w:rPr>
          <w:rFonts w:hint="eastAsia" w:ascii="仿宋_GB2312" w:hAnsi="仿宋_GB2312" w:eastAsia="仿宋_GB2312" w:cs="仿宋_GB2312"/>
          <w:kern w:val="0"/>
          <w:sz w:val="32"/>
          <w:szCs w:val="32"/>
          <w:highlight w:val="none"/>
        </w:rPr>
        <w:t>。</w:t>
      </w:r>
    </w:p>
    <w:p w14:paraId="3A378FE5">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0"/>
        <w:rPr>
          <w:rFonts w:ascii="黑体" w:hAnsi="黑体" w:eastAsia="黑体" w:cs="黑体"/>
          <w:kern w:val="0"/>
          <w:sz w:val="32"/>
          <w:szCs w:val="32"/>
        </w:rPr>
      </w:pPr>
      <w:r>
        <w:rPr>
          <w:rFonts w:hint="eastAsia" w:ascii="黑体" w:hAnsi="黑体" w:eastAsia="黑体" w:cs="黑体"/>
          <w:kern w:val="0"/>
          <w:sz w:val="32"/>
          <w:szCs w:val="32"/>
        </w:rPr>
        <w:t>三、合同金额及支付方式</w:t>
      </w:r>
    </w:p>
    <w:p w14:paraId="6C5A9DD0">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费用构成与结算原则</w:t>
      </w:r>
    </w:p>
    <w:p w14:paraId="1893E84D">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本合同</w:t>
      </w:r>
      <w:r>
        <w:rPr>
          <w:rFonts w:hint="eastAsia" w:ascii="仿宋_GB2312" w:hAnsi="仿宋_GB2312" w:eastAsia="仿宋_GB2312" w:cs="仿宋_GB2312"/>
          <w:sz w:val="32"/>
          <w:szCs w:val="32"/>
          <w:lang w:val="en-US" w:eastAsia="zh-CN"/>
        </w:rPr>
        <w:t>预估</w:t>
      </w:r>
      <w:r>
        <w:rPr>
          <w:rFonts w:hint="eastAsia" w:ascii="仿宋_GB2312" w:hAnsi="仿宋_GB2312" w:eastAsia="仿宋_GB2312" w:cs="仿宋_GB2312"/>
          <w:sz w:val="32"/>
          <w:szCs w:val="32"/>
        </w:rPr>
        <w:t>含税总价为</w:t>
      </w:r>
      <w:r>
        <w:rPr>
          <w:rFonts w:hint="eastAsia" w:ascii="仿宋_GB2312" w:hAnsi="仿宋_GB2312" w:eastAsia="仿宋_GB2312" w:cs="仿宋_GB2312"/>
          <w:kern w:val="0"/>
          <w:sz w:val="32"/>
          <w:szCs w:val="32"/>
        </w:rPr>
        <w:t>人民币</w:t>
      </w:r>
      <w:permStart w:id="13" w:edGrp="everyone"/>
      <w:r>
        <w:rPr>
          <w:rFonts w:hint="eastAsia" w:ascii="仿宋_GB2312" w:hAnsi="仿宋_GB2312" w:eastAsia="仿宋_GB2312" w:cs="仿宋_GB2312"/>
          <w:sz w:val="32"/>
          <w:szCs w:val="32"/>
        </w:rPr>
        <w:t>¥00.00元</w:t>
      </w:r>
      <w:permEnd w:id="13"/>
      <w:r>
        <w:rPr>
          <w:rFonts w:hint="eastAsia" w:ascii="仿宋_GB2312" w:hAnsi="仿宋_GB2312" w:eastAsia="仿宋_GB2312" w:cs="仿宋_GB2312"/>
          <w:sz w:val="32"/>
          <w:szCs w:val="32"/>
        </w:rPr>
        <w:t>（大写：</w:t>
      </w:r>
      <w:permStart w:id="14" w:edGrp="everyone"/>
      <w:r>
        <w:rPr>
          <w:rFonts w:hint="eastAsia" w:ascii="仿宋_GB2312" w:hAnsi="仿宋_GB2312" w:eastAsia="仿宋_GB2312" w:cs="仿宋_GB2312"/>
          <w:sz w:val="32"/>
          <w:szCs w:val="32"/>
        </w:rPr>
        <w:t>含税价</w:t>
      </w:r>
      <w:permEnd w:id="14"/>
      <w:r>
        <w:rPr>
          <w:rFonts w:hint="eastAsia" w:ascii="仿宋_GB2312" w:hAnsi="仿宋_GB2312" w:eastAsia="仿宋_GB2312" w:cs="仿宋_GB2312"/>
          <w:sz w:val="32"/>
          <w:szCs w:val="32"/>
        </w:rPr>
        <w:t>，下称“合同总价”），其中不含税金额</w:t>
      </w:r>
      <w:permStart w:id="15" w:edGrp="everyone"/>
      <w:r>
        <w:rPr>
          <w:rFonts w:hint="eastAsia" w:ascii="仿宋_GB2312" w:hAnsi="仿宋_GB2312" w:eastAsia="仿宋_GB2312" w:cs="仿宋_GB2312"/>
          <w:sz w:val="32"/>
          <w:szCs w:val="32"/>
        </w:rPr>
        <w:t>¥00.00元</w:t>
      </w:r>
      <w:permEnd w:id="15"/>
      <w:r>
        <w:rPr>
          <w:rFonts w:hint="eastAsia" w:ascii="仿宋_GB2312" w:hAnsi="仿宋_GB2312" w:eastAsia="仿宋_GB2312" w:cs="仿宋_GB2312"/>
          <w:sz w:val="32"/>
          <w:szCs w:val="32"/>
        </w:rPr>
        <w:t>（大写：</w:t>
      </w:r>
      <w:permStart w:id="16" w:edGrp="everyone"/>
      <w:r>
        <w:rPr>
          <w:rFonts w:hint="eastAsia" w:ascii="仿宋_GB2312" w:hAnsi="仿宋_GB2312" w:eastAsia="仿宋_GB2312" w:cs="仿宋_GB2312"/>
          <w:sz w:val="32"/>
          <w:szCs w:val="32"/>
        </w:rPr>
        <w:t xml:space="preserve">      </w:t>
      </w:r>
      <w:permEnd w:id="16"/>
      <w:r>
        <w:rPr>
          <w:rFonts w:hint="eastAsia" w:ascii="仿宋_GB2312" w:hAnsi="仿宋_GB2312" w:eastAsia="仿宋_GB2312" w:cs="仿宋_GB2312"/>
          <w:sz w:val="32"/>
          <w:szCs w:val="32"/>
        </w:rPr>
        <w:t>，税率</w:t>
      </w:r>
      <w:permStart w:id="17" w:edGrp="everyone"/>
      <w:r>
        <w:rPr>
          <w:rFonts w:hint="eastAsia" w:ascii="仿宋_GB2312" w:hAnsi="仿宋_GB2312" w:eastAsia="仿宋_GB2312" w:cs="仿宋_GB2312"/>
          <w:sz w:val="32"/>
          <w:szCs w:val="32"/>
        </w:rPr>
        <w:t xml:space="preserve">    % </w:t>
      </w:r>
      <w:permEnd w:id="17"/>
      <w:r>
        <w:rPr>
          <w:rFonts w:hint="eastAsia" w:ascii="仿宋_GB2312" w:hAnsi="仿宋_GB2312" w:eastAsia="仿宋_GB2312" w:cs="仿宋_GB2312"/>
          <w:sz w:val="32"/>
          <w:szCs w:val="32"/>
        </w:rPr>
        <w:t>，税额</w:t>
      </w:r>
      <w:permStart w:id="18" w:edGrp="everyone"/>
      <w:r>
        <w:rPr>
          <w:rFonts w:hint="eastAsia" w:ascii="仿宋_GB2312" w:hAnsi="仿宋_GB2312" w:eastAsia="仿宋_GB2312" w:cs="仿宋_GB2312"/>
          <w:sz w:val="32"/>
          <w:szCs w:val="32"/>
        </w:rPr>
        <w:t>¥00.00元（</w:t>
      </w:r>
      <w:permEnd w:id="18"/>
      <w:r>
        <w:rPr>
          <w:rFonts w:hint="eastAsia" w:ascii="仿宋_GB2312" w:hAnsi="仿宋_GB2312" w:eastAsia="仿宋_GB2312" w:cs="仿宋_GB2312"/>
          <w:sz w:val="32"/>
          <w:szCs w:val="32"/>
        </w:rPr>
        <w:t>大写：</w:t>
      </w:r>
      <w:permStart w:id="19" w:edGrp="everyone"/>
      <w:r>
        <w:rPr>
          <w:rFonts w:hint="eastAsia" w:ascii="仿宋_GB2312" w:hAnsi="仿宋_GB2312" w:eastAsia="仿宋_GB2312" w:cs="仿宋_GB2312"/>
          <w:sz w:val="32"/>
          <w:szCs w:val="32"/>
        </w:rPr>
        <w:t xml:space="preserve">      </w:t>
      </w:r>
      <w:permEnd w:id="19"/>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本合同总价项下费用由以下两部分构成，最终结算总价以双方依据本合同确认的实际发生金额为准：</w:t>
      </w:r>
    </w:p>
    <w:p w14:paraId="7A99D23F">
      <w:pPr>
        <w:keepNext w:val="0"/>
        <w:keepLines w:val="0"/>
        <w:pageBreakBefore w:val="0"/>
        <w:numPr>
          <w:ilvl w:val="0"/>
          <w:numId w:val="2"/>
        </w:numPr>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舆情监测服务费：为固定包干价，总金额为人民币</w:t>
      </w:r>
      <w:permStart w:id="20" w:edGrp="everyone"/>
      <w:r>
        <w:rPr>
          <w:rFonts w:hint="eastAsia" w:ascii="仿宋_GB2312" w:hAnsi="仿宋_GB2312" w:eastAsia="仿宋_GB2312" w:cs="仿宋_GB2312"/>
          <w:sz w:val="32"/>
          <w:szCs w:val="32"/>
        </w:rPr>
        <w:t>¥00.00元</w:t>
      </w:r>
      <w:permEnd w:id="20"/>
      <w:r>
        <w:rPr>
          <w:rFonts w:hint="eastAsia" w:ascii="仿宋_GB2312" w:hAnsi="仿宋_GB2312" w:eastAsia="仿宋_GB2312" w:cs="仿宋_GB2312"/>
          <w:sz w:val="32"/>
          <w:szCs w:val="32"/>
        </w:rPr>
        <w:t>（大写：</w:t>
      </w:r>
      <w:permStart w:id="21" w:edGrp="everyone"/>
      <w:r>
        <w:rPr>
          <w:rFonts w:hint="eastAsia" w:ascii="仿宋_GB2312" w:hAnsi="仿宋_GB2312" w:eastAsia="仿宋_GB2312" w:cs="仿宋_GB2312"/>
          <w:sz w:val="32"/>
          <w:szCs w:val="32"/>
        </w:rPr>
        <w:t>含税价</w:t>
      </w:r>
      <w:r>
        <w:rPr>
          <w:rFonts w:hint="eastAsia" w:ascii="仿宋_GB2312" w:hAnsi="仿宋_GB2312" w:eastAsia="仿宋_GB2312" w:cs="仿宋_GB2312"/>
          <w:sz w:val="32"/>
          <w:szCs w:val="32"/>
          <w:lang w:eastAsia="zh-CN"/>
        </w:rPr>
        <w:t>）</w:t>
      </w:r>
      <w:permEnd w:id="21"/>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该费用在合同期内不因服务频次或工作量变化而调整。</w:t>
      </w:r>
      <w:r>
        <w:rPr>
          <w:rFonts w:hint="eastAsia" w:ascii="仿宋_GB2312" w:hAnsi="仿宋_GB2312" w:eastAsia="仿宋_GB2312" w:cs="仿宋_GB2312"/>
          <w:sz w:val="32"/>
          <w:szCs w:val="32"/>
          <w:lang w:val="en-US" w:eastAsia="zh-CN"/>
        </w:rPr>
        <w:t>舆情监测服务费按季度支付，由项目公司按照各自应承担部分向乙方每季度支付舆情监测服务费总金额12.5%的费用。</w:t>
      </w:r>
    </w:p>
    <w:p w14:paraId="7D1FEEC7">
      <w:pPr>
        <w:keepNext w:val="0"/>
        <w:keepLines w:val="0"/>
        <w:pageBreakBefore w:val="0"/>
        <w:numPr>
          <w:ilvl w:val="0"/>
          <w:numId w:val="2"/>
        </w:numPr>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媒体整合推广服务费（本费用为附件1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服务清单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内除舆情监测服务的其他服务内容）：为据实结算费用。该部分费用以附件1《服务清单》中的单价为基础，根据甲方书面确认的《季度推广执行计划》及实际发生的投放量进行结算。本条款中的预估金额不作为最终结算的支付上限或下限。</w:t>
      </w:r>
    </w:p>
    <w:p w14:paraId="4BD329B5">
      <w:pPr>
        <w:keepNext w:val="0"/>
        <w:keepLines w:val="0"/>
        <w:pageBreakBefore w:val="0"/>
        <w:numPr>
          <w:ilvl w:val="0"/>
          <w:numId w:val="2"/>
        </w:numPr>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合同总价包括</w:t>
      </w:r>
      <w:r>
        <w:rPr>
          <w:rFonts w:hint="eastAsia" w:ascii="仿宋_GB2312" w:hAnsi="仿宋_GB2312" w:eastAsia="仿宋_GB2312" w:cs="仿宋_GB2312"/>
          <w:sz w:val="32"/>
          <w:szCs w:val="32"/>
          <w:lang w:val="en-US" w:eastAsia="zh-CN"/>
        </w:rPr>
        <w:t>服务费、</w:t>
      </w:r>
      <w:r>
        <w:rPr>
          <w:rFonts w:hint="eastAsia" w:ascii="仿宋_GB2312" w:hAnsi="仿宋_GB2312" w:eastAsia="仿宋_GB2312" w:cs="仿宋_GB2312"/>
          <w:sz w:val="32"/>
          <w:szCs w:val="32"/>
        </w:rPr>
        <w:t>广告费、投流费（如有）、制作费、人工费、差旅费、交通费、伙食费、修改费、增值税额及其他需乙方承担的税费、保险等</w:t>
      </w:r>
      <w:r>
        <w:rPr>
          <w:rFonts w:hint="eastAsia" w:ascii="仿宋_GB2312" w:hAnsi="仿宋_GB2312" w:eastAsia="仿宋_GB2312" w:cs="仿宋_GB2312"/>
          <w:sz w:val="32"/>
          <w:szCs w:val="32"/>
          <w:lang w:val="en-US" w:eastAsia="zh-CN"/>
        </w:rPr>
        <w:t>附件1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服务清单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内资源</w:t>
      </w:r>
      <w:r>
        <w:rPr>
          <w:rFonts w:hint="eastAsia" w:ascii="仿宋_GB2312" w:hAnsi="仿宋_GB2312" w:eastAsia="仿宋_GB2312" w:cs="仿宋_GB2312"/>
          <w:sz w:val="32"/>
          <w:szCs w:val="32"/>
        </w:rPr>
        <w:t>一切直接和间接费用；除此以外，未经甲方书面同意，乙方不得再以任何形式和理由要求甲方</w:t>
      </w:r>
      <w:r>
        <w:rPr>
          <w:rFonts w:hint="eastAsia" w:ascii="仿宋_GB2312" w:hAnsi="仿宋_GB2312" w:eastAsia="仿宋_GB2312" w:cs="仿宋_GB2312"/>
          <w:sz w:val="32"/>
          <w:szCs w:val="32"/>
          <w:lang w:val="en-US" w:eastAsia="zh-CN"/>
        </w:rPr>
        <w:t>或项目公司</w:t>
      </w:r>
      <w:r>
        <w:rPr>
          <w:rFonts w:hint="eastAsia" w:ascii="仿宋_GB2312" w:hAnsi="仿宋_GB2312" w:eastAsia="仿宋_GB2312" w:cs="仿宋_GB2312"/>
          <w:sz w:val="32"/>
          <w:szCs w:val="32"/>
        </w:rPr>
        <w:t>支付其他任何费用。</w:t>
      </w:r>
    </w:p>
    <w:p w14:paraId="438CC442">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2.结算</w:t>
      </w:r>
    </w:p>
    <w:p w14:paraId="2887DCF7">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（1）结算费用由</w:t>
      </w:r>
      <w:r>
        <w:rPr>
          <w:rFonts w:hint="eastAsia" w:ascii="仿宋_GB2312" w:hAnsi="仿宋_GB2312" w:eastAsia="仿宋_GB2312" w:cs="仿宋_GB2312"/>
          <w:sz w:val="32"/>
          <w:szCs w:val="32"/>
          <w:lang w:val="en-US" w:eastAsia="zh-CN"/>
        </w:rPr>
        <w:t>甲方或</w:t>
      </w:r>
      <w:r>
        <w:rPr>
          <w:rFonts w:hint="eastAsia" w:ascii="仿宋_GB2312" w:hAnsi="仿宋_GB2312" w:eastAsia="仿宋_GB2312" w:cs="仿宋_GB2312"/>
          <w:sz w:val="32"/>
          <w:szCs w:val="32"/>
        </w:rPr>
        <w:t>各项目开发建设主体即海口江东新区城市投资有限公司、海口市恒睿安居置业有限公司、海南省桂林洋房地产开发总公司等（以下简称项目公司）承担。本合同中产生的相关费用均由</w:t>
      </w:r>
      <w:r>
        <w:rPr>
          <w:rFonts w:hint="eastAsia" w:ascii="仿宋_GB2312" w:hAnsi="仿宋_GB2312" w:eastAsia="仿宋_GB2312" w:cs="仿宋_GB2312"/>
          <w:sz w:val="32"/>
          <w:szCs w:val="32"/>
          <w:lang w:val="en-US" w:eastAsia="zh-CN"/>
        </w:rPr>
        <w:t>甲方/</w:t>
      </w:r>
      <w:r>
        <w:rPr>
          <w:rFonts w:hint="eastAsia" w:ascii="仿宋_GB2312" w:hAnsi="仿宋_GB2312" w:eastAsia="仿宋_GB2312" w:cs="仿宋_GB2312"/>
          <w:sz w:val="32"/>
          <w:szCs w:val="32"/>
        </w:rPr>
        <w:t>各项目公司自行进行支付。</w:t>
      </w:r>
      <w:r>
        <w:rPr>
          <w:rFonts w:hint="eastAsia" w:ascii="仿宋_GB2312" w:hAnsi="仿宋_GB2312" w:eastAsia="仿宋_GB2312" w:cs="仿宋_GB2312"/>
          <w:sz w:val="32"/>
          <w:szCs w:val="32"/>
          <w:lang w:eastAsia="zh-CN"/>
        </w:rPr>
        <w:t>若</w:t>
      </w:r>
      <w:r>
        <w:rPr>
          <w:rFonts w:hint="eastAsia" w:ascii="仿宋_GB2312" w:hAnsi="仿宋_GB2312" w:eastAsia="仿宋_GB2312" w:cs="仿宋_GB2312"/>
          <w:sz w:val="32"/>
          <w:szCs w:val="32"/>
        </w:rPr>
        <w:t>单次投放服务涉及多个项目，乙方需在</w:t>
      </w:r>
      <w:r>
        <w:rPr>
          <w:rFonts w:hint="eastAsia" w:ascii="仿宋_GB2312" w:hAnsi="仿宋_GB2312" w:eastAsia="仿宋_GB2312" w:cs="仿宋_GB2312"/>
          <w:sz w:val="32"/>
          <w:szCs w:val="32"/>
          <w:lang w:val="en-US" w:eastAsia="zh-CN"/>
        </w:rPr>
        <w:t>投放</w:t>
      </w:r>
      <w:r>
        <w:rPr>
          <w:rFonts w:hint="eastAsia" w:ascii="仿宋_GB2312" w:hAnsi="仿宋_GB2312" w:eastAsia="仿宋_GB2312" w:cs="仿宋_GB2312"/>
          <w:sz w:val="32"/>
          <w:szCs w:val="32"/>
        </w:rPr>
        <w:t>前提供《费用分摊方案》，明确各项目分摊比例及金额，经甲方确认后作为后续结算依据；结算时乙方需按分摊金额向</w:t>
      </w:r>
      <w:r>
        <w:rPr>
          <w:rFonts w:hint="eastAsia" w:ascii="仿宋_GB2312" w:hAnsi="仿宋_GB2312" w:eastAsia="仿宋_GB2312" w:cs="仿宋_GB2312"/>
          <w:sz w:val="32"/>
          <w:szCs w:val="32"/>
          <w:lang w:val="en-US" w:eastAsia="zh-CN"/>
        </w:rPr>
        <w:t>甲方/</w:t>
      </w:r>
      <w:r>
        <w:rPr>
          <w:rFonts w:hint="eastAsia" w:ascii="仿宋_GB2312" w:hAnsi="仿宋_GB2312" w:eastAsia="仿宋_GB2312" w:cs="仿宋_GB2312"/>
          <w:sz w:val="32"/>
          <w:szCs w:val="32"/>
        </w:rPr>
        <w:t>各项目公司开具合法合规等额增值税专用发票、甲方签字确认的各项目对应结算资料等，</w:t>
      </w:r>
      <w:r>
        <w:rPr>
          <w:rFonts w:hint="eastAsia" w:ascii="仿宋_GB2312" w:hAnsi="仿宋_GB2312" w:eastAsia="仿宋_GB2312" w:cs="仿宋_GB2312"/>
          <w:sz w:val="32"/>
          <w:szCs w:val="32"/>
          <w:lang w:val="en-US" w:eastAsia="zh-CN"/>
        </w:rPr>
        <w:t>甲方/</w:t>
      </w:r>
      <w:r>
        <w:rPr>
          <w:rFonts w:hint="eastAsia" w:ascii="仿宋_GB2312" w:hAnsi="仿宋_GB2312" w:eastAsia="仿宋_GB2312" w:cs="仿宋_GB2312"/>
          <w:sz w:val="32"/>
          <w:szCs w:val="32"/>
        </w:rPr>
        <w:t>各项目公司凭上述材料及文件仅对本项目分摊的费用承担付款责任，与乙方办理结算。</w:t>
      </w:r>
      <w:r>
        <w:rPr>
          <w:rFonts w:hint="eastAsia" w:ascii="仿宋_GB2312" w:hAnsi="仿宋_GB2312" w:eastAsia="仿宋_GB2312" w:cs="仿宋_GB2312"/>
          <w:sz w:val="32"/>
          <w:szCs w:val="32"/>
          <w:lang w:val="en-US" w:eastAsia="zh-CN"/>
        </w:rPr>
        <w:t>项目公司与甲方对各费用不承担连带清偿责任，乙方不可向其他费用主体主张不属于其承担的费用</w:t>
      </w:r>
      <w:r>
        <w:rPr>
          <w:rFonts w:hint="eastAsia" w:ascii="仿宋_GB2312" w:hAnsi="仿宋_GB2312" w:eastAsia="仿宋_GB2312" w:cs="仿宋_GB2312"/>
          <w:bCs/>
          <w:kern w:val="0"/>
          <w:sz w:val="32"/>
          <w:szCs w:val="32"/>
        </w:rPr>
        <w:t>。</w:t>
      </w:r>
    </w:p>
    <w:p w14:paraId="4D42F76A">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（2）结算方式：</w:t>
      </w:r>
      <w:r>
        <w:rPr>
          <w:rFonts w:hint="eastAsia" w:ascii="仿宋_GB2312" w:hAnsi="仿宋_GB2312" w:eastAsia="仿宋_GB2312" w:cs="仿宋_GB2312"/>
          <w:sz w:val="32"/>
          <w:szCs w:val="32"/>
          <w:lang w:eastAsia="zh"/>
        </w:rPr>
        <w:t>甲方/项目公司与乙</w:t>
      </w:r>
      <w:r>
        <w:rPr>
          <w:rFonts w:hint="eastAsia" w:ascii="仿宋_GB2312" w:hAnsi="仿宋_GB2312" w:eastAsia="仿宋_GB2312" w:cs="仿宋_GB2312"/>
          <w:sz w:val="32"/>
          <w:szCs w:val="32"/>
        </w:rPr>
        <w:t>方同意按照实际产生的费用进行结算，结算金额以双方盖章确认《服务报告》为准。如因服务开展需要，取消或增加服务，最终将按照确定的各项服务报价及实际服务清单，凭经甲方/项目公司盖章确认的《服务报告》据实结算。</w:t>
      </w:r>
    </w:p>
    <w:p w14:paraId="084C9D7D">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结算依据与流程</w:t>
      </w:r>
    </w:p>
    <w:p w14:paraId="44A4EA47">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1）采用季度结算方式，结算时，乙方应提供经甲方项目负责人签字/盖章确认的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服务报告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该报告须包含并作为附件：</w:t>
      </w:r>
    </w:p>
    <w:p w14:paraId="59BE151E">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a）经双方确认的《费用分摊方案》《季度推广计划》（含推广项目名称、推广时间、所使用资源及费用承担主体等内容）；</w:t>
      </w:r>
    </w:p>
    <w:p w14:paraId="392A362F">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b）各次推广活动的《投放执行确认单》（需有甲方确认记录）及完整的第三方投放平台数据后台截图或相关证明文件；</w:t>
      </w:r>
    </w:p>
    <w:p w14:paraId="5334D472">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c）《季度舆情监测分析报告》。</w:t>
      </w:r>
    </w:p>
    <w:p w14:paraId="53A5A9B4">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2）结算金额以附件1《服务清单》中的单价和前述经验收确认的实际投放数量、服务周期为依据进行计算。新增资源的结算结果按本合同第三条第3款执行。</w:t>
      </w:r>
    </w:p>
    <w:p w14:paraId="734B5640">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服务范围变更与新增采购：</w:t>
      </w:r>
    </w:p>
    <w:p w14:paraId="27CE2F40">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（1）本合同履行期间，如因甲方原因需采购新增媒体资源，双方应另行协商并签署书面补充协议。新增资源的定价原则如下：</w:t>
      </w:r>
    </w:p>
    <w:p w14:paraId="6E1234A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1）若新增资源在本合同附件1《服务清单》已有约定，则按该清单内约定的价格执行。</w:t>
      </w:r>
    </w:p>
    <w:p w14:paraId="6F4E743D">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2）若新增资源未在《服务清单》内约定，甲方有权进行市场询价。双方应以甲方最终书面确认的价格及资源明细为准，签署补充协议。</w:t>
      </w:r>
    </w:p>
    <w:p w14:paraId="1B401C0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除前款约定的书面补充协议外，未经甲方事先书面审核及书面同意，乙方不得为甲方采购或投放任何新增媒体资源。对于任何未经甲方同意的投放，甲方有权不予认可，且不承担任何费用，该等费用由乙方自行承担。若因此给甲方造成损失的，乙方应予以赔偿。</w:t>
      </w:r>
    </w:p>
    <w:p w14:paraId="5B4FDDC0">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（3）季度推广执行计划及预算审核机制：</w:t>
      </w:r>
    </w:p>
    <w:p w14:paraId="1ED334E6">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每季度初，乙方应根据甲方项目推广需求编制《季度推广执行计划及预算书》，细化至各投放平台、内容形式、预估单价、数量及总预算，报送甲方审核；未经甲方书面批准，乙方不得擅自执行当季推广计划或产生任何费用；甲方应在收到完整方案后5个工作日内完成审核确认或提出修改意见。</w:t>
      </w:r>
    </w:p>
    <w:p w14:paraId="05197DD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2）超预算及预算内变更处理规则：</w:t>
      </w:r>
    </w:p>
    <w:p w14:paraId="3364830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①当季实际执行费用原则上不得超过甲方书面确认的当季推广预算总额；</w:t>
      </w:r>
    </w:p>
    <w:p w14:paraId="523BAFF6">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②若当季执行计划涉及新增媒体资源或超出原附件1《服务清单》范围的服务内容，适用本合同第三条第3款“服务范围变更与新增采购”之约定，乙方须另行提交新增资源采购申请，经甲方书面确认并签署补充协议后方可执行；未经批准擅自采购或投放的，甲方不予认可、不承担任何费用，该费用由乙方自行承担；</w:t>
      </w:r>
    </w:p>
    <w:p w14:paraId="675B13EB">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③若在预算总额不变的前提下，需对当季已批准计划内的投放平台、排期或资源配比进行调整，乙方应至少提前3个工作日提交书面调整方案，经甲方书面确认后方可执行；</w:t>
      </w:r>
    </w:p>
    <w:p w14:paraId="6858A2DC">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④确因市场变化或临时重大节点需追加预算的，乙方应至少提前3个工作日提交《预算追加申请》，说明原因、追加金额及资源明细，经甲方书面批准后方可执行；未经批准的超支部分，甲方不予认可、不承担任何费用；</w:t>
      </w:r>
    </w:p>
    <w:p w14:paraId="4187D697">
      <w:pPr>
        <w:keepNext w:val="0"/>
        <w:keepLines w:val="0"/>
        <w:pageBreakBefore w:val="0"/>
        <w:numPr>
          <w:ilvl w:val="-1"/>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⑤当季预算如有结余，经甲方同意可结转至下一季度使用，或由甲方核减该部分费用。</w:t>
      </w:r>
    </w:p>
    <w:p w14:paraId="49CC3B7C">
      <w:pPr>
        <w:keepNext w:val="0"/>
        <w:keepLines w:val="0"/>
        <w:pageBreakBefore w:val="0"/>
        <w:numPr>
          <w:ilvl w:val="-1"/>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4.质量保证金机制</w:t>
      </w:r>
    </w:p>
    <w:p w14:paraId="1EF2790D">
      <w:pPr>
        <w:keepNext w:val="0"/>
        <w:keepLines w:val="0"/>
        <w:pageBreakBefore w:val="0"/>
        <w:widowControl/>
        <w:numPr>
          <w:ilvl w:val="-1"/>
          <w:numId w:val="0"/>
        </w:numPr>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为担保本合同顺利履行，乙方同意向甲方及项目公司提供质量保证金（下称“质保金”）。质保金的相关机制约定如下：</w:t>
      </w:r>
    </w:p>
    <w:p w14:paraId="723DC066">
      <w:pPr>
        <w:keepNext w:val="0"/>
        <w:keepLines w:val="0"/>
        <w:pageBreakBefore w:val="0"/>
        <w:widowControl/>
        <w:numPr>
          <w:ilvl w:val="0"/>
          <w:numId w:val="3"/>
        </w:numPr>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质保金总额上限：</w:t>
      </w:r>
    </w:p>
    <w:p w14:paraId="7792E695">
      <w:pPr>
        <w:keepNext w:val="0"/>
        <w:keepLines w:val="0"/>
        <w:pageBreakBefore w:val="0"/>
        <w:widowControl/>
        <w:numPr>
          <w:ilvl w:val="0"/>
          <w:numId w:val="4"/>
        </w:numPr>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舆情监测服务费质保金：上限为固定包干价的10%，即人民币[ ￥00.00 ]元。</w:t>
      </w:r>
    </w:p>
    <w:p w14:paraId="30BF6CBF">
      <w:pPr>
        <w:keepNext w:val="0"/>
        <w:keepLines w:val="0"/>
        <w:pageBreakBefore w:val="0"/>
        <w:widowControl/>
        <w:numPr>
          <w:ilvl w:val="0"/>
          <w:numId w:val="4"/>
        </w:numPr>
        <w:kinsoku/>
        <w:wordWrap/>
        <w:overflowPunct/>
        <w:topLinePunct w:val="0"/>
        <w:autoSpaceDE/>
        <w:autoSpaceDN/>
        <w:bidi w:val="0"/>
        <w:adjustRightInd/>
        <w:snapToGrid/>
        <w:spacing w:before="100" w:beforeAutospacing="0" w:line="560" w:lineRule="exact"/>
        <w:ind w:firstLine="640" w:firstLineChars="200"/>
        <w:textAlignment w:val="auto"/>
        <w:rPr>
          <w:rFonts w:hint="default" w:ascii="仿宋_GB2312" w:hAnsi="仿宋_GB2312" w:eastAsia="仿宋_GB2312" w:cs="仿宋_GB2312"/>
          <w:bCs/>
          <w:color w:val="auto"/>
          <w:kern w:val="0"/>
          <w:sz w:val="32"/>
          <w:szCs w:val="32"/>
          <w:lang w:val="en-US" w:eastAsia="zh-CN"/>
        </w:rPr>
      </w:pPr>
      <w:r>
        <w:rPr>
          <w:rFonts w:hint="default" w:ascii="仿宋_GB2312" w:hAnsi="仿宋_GB2312" w:eastAsia="仿宋_GB2312" w:cs="仿宋_GB2312"/>
          <w:bCs/>
          <w:color w:val="auto"/>
          <w:kern w:val="0"/>
          <w:sz w:val="32"/>
          <w:szCs w:val="32"/>
          <w:lang w:val="en-US" w:eastAsia="zh-CN"/>
        </w:rPr>
        <w:t>新媒体整合推广服务费质保金：上限为本合同预估总价中该部分费用的10%，即人民币【填写预估推广费10%】元。</w:t>
      </w:r>
    </w:p>
    <w:p w14:paraId="3E170284">
      <w:pPr>
        <w:keepNext w:val="0"/>
        <w:keepLines w:val="0"/>
        <w:pageBreakBefore w:val="0"/>
        <w:widowControl/>
        <w:numPr>
          <w:ilvl w:val="0"/>
          <w:numId w:val="4"/>
        </w:numPr>
        <w:kinsoku/>
        <w:wordWrap/>
        <w:overflowPunct/>
        <w:topLinePunct w:val="0"/>
        <w:autoSpaceDE/>
        <w:autoSpaceDN/>
        <w:bidi w:val="0"/>
        <w:adjustRightInd/>
        <w:snapToGrid/>
        <w:spacing w:before="100" w:beforeAutospacing="0" w:line="560" w:lineRule="exact"/>
        <w:ind w:firstLine="640" w:firstLineChars="200"/>
        <w:textAlignment w:val="auto"/>
        <w:rPr>
          <w:rFonts w:hint="default" w:ascii="仿宋_GB2312" w:hAnsi="仿宋_GB2312" w:eastAsia="仿宋_GB2312" w:cs="仿宋_GB2312"/>
          <w:bCs/>
          <w:color w:val="auto"/>
          <w:kern w:val="0"/>
          <w:sz w:val="32"/>
          <w:szCs w:val="32"/>
          <w:lang w:val="en-US" w:eastAsia="zh-CN"/>
        </w:rPr>
      </w:pPr>
      <w:r>
        <w:rPr>
          <w:rFonts w:hint="default" w:ascii="仿宋_GB2312" w:hAnsi="仿宋_GB2312" w:eastAsia="仿宋_GB2312" w:cs="仿宋_GB2312"/>
          <w:bCs/>
          <w:color w:val="auto"/>
          <w:kern w:val="0"/>
          <w:sz w:val="32"/>
          <w:szCs w:val="32"/>
          <w:lang w:val="en-US" w:eastAsia="zh-CN"/>
        </w:rPr>
        <w:t>质保金上限一经确定，在合同履行过程中不因新媒体整合推广服务费实际结算额的增减而调整。</w:t>
      </w:r>
    </w:p>
    <w:p w14:paraId="3DB7B065">
      <w:pPr>
        <w:keepNext w:val="0"/>
        <w:keepLines w:val="0"/>
        <w:pageBreakBefore w:val="0"/>
        <w:widowControl/>
        <w:numPr>
          <w:ilvl w:val="-1"/>
          <w:numId w:val="0"/>
        </w:numPr>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（2）质保金的预留：</w:t>
      </w:r>
    </w:p>
    <w:p w14:paraId="5DFF544F">
      <w:pPr>
        <w:keepNext w:val="0"/>
        <w:keepLines w:val="0"/>
        <w:pageBreakBefore w:val="0"/>
        <w:widowControl/>
        <w:numPr>
          <w:ilvl w:val="0"/>
          <w:numId w:val="5"/>
        </w:numPr>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各项目公司按其所承担的费用金额分别预留。</w:t>
      </w:r>
    </w:p>
    <w:p w14:paraId="7E5A0E3F">
      <w:pPr>
        <w:keepNext w:val="0"/>
        <w:keepLines w:val="0"/>
        <w:pageBreakBefore w:val="0"/>
        <w:widowControl/>
        <w:numPr>
          <w:ilvl w:val="0"/>
          <w:numId w:val="5"/>
        </w:numPr>
        <w:kinsoku/>
        <w:wordWrap/>
        <w:overflowPunct/>
        <w:topLinePunct w:val="0"/>
        <w:autoSpaceDE/>
        <w:autoSpaceDN/>
        <w:bidi w:val="0"/>
        <w:adjustRightInd/>
        <w:snapToGrid/>
        <w:spacing w:before="100" w:beforeAutospacing="0" w:line="560" w:lineRule="exact"/>
        <w:ind w:firstLine="640" w:firstLineChars="200"/>
        <w:textAlignment w:val="auto"/>
        <w:rPr>
          <w:rFonts w:hint="default"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舆情监测服务费：每季度结算支付时，甲方/各项目公司按当季舆情服务费金额的90%支付，剩余10%自动留存为质保金。当该项目公司为舆情监测服务累计留存的质保金</w:t>
      </w:r>
      <w:r>
        <w:rPr>
          <w:rFonts w:hint="eastAsia" w:ascii="仿宋_GB2312" w:hAnsi="仿宋_GB2312" w:eastAsia="仿宋_GB2312" w:cs="仿宋_GB2312"/>
          <w:bCs/>
          <w:color w:val="auto"/>
          <w:kern w:val="0"/>
          <w:sz w:val="32"/>
          <w:szCs w:val="32"/>
          <w:lang w:val="en-US" w:eastAsia="zh"/>
          <w:woUserID w:val="2"/>
        </w:rPr>
        <w:t>达到</w:t>
      </w:r>
      <w:r>
        <w:rPr>
          <w:rFonts w:hint="eastAsia" w:ascii="仿宋_GB2312" w:hAnsi="仿宋_GB2312" w:eastAsia="仿宋_GB2312" w:cs="仿宋_GB2312"/>
          <w:bCs/>
          <w:color w:val="auto"/>
          <w:kern w:val="0"/>
          <w:sz w:val="32"/>
          <w:szCs w:val="32"/>
          <w:lang w:val="en-US" w:eastAsia="zh-CN"/>
        </w:rPr>
        <w:t>本合同第三条第4款第（1）项约定的质保金总额上限后，后续季度甲方/项目公司应按当季度结算金额的100%支付，不再额外预留。</w:t>
      </w:r>
    </w:p>
    <w:p w14:paraId="591BA06B">
      <w:pPr>
        <w:keepNext w:val="0"/>
        <w:keepLines w:val="0"/>
        <w:pageBreakBefore w:val="0"/>
        <w:widowControl/>
        <w:numPr>
          <w:ilvl w:val="0"/>
          <w:numId w:val="5"/>
        </w:numPr>
        <w:kinsoku/>
        <w:wordWrap/>
        <w:overflowPunct/>
        <w:topLinePunct w:val="0"/>
        <w:autoSpaceDE/>
        <w:autoSpaceDN/>
        <w:bidi w:val="0"/>
        <w:adjustRightInd/>
        <w:snapToGrid/>
        <w:spacing w:before="100" w:beforeAutospacing="0" w:line="560" w:lineRule="exact"/>
        <w:ind w:firstLine="640" w:firstLineChars="200"/>
        <w:textAlignment w:val="auto"/>
        <w:rPr>
          <w:rFonts w:hint="default" w:ascii="仿宋_GB2312" w:hAnsi="仿宋_GB2312" w:eastAsia="仿宋_GB2312" w:cs="仿宋_GB2312"/>
          <w:bCs/>
          <w:color w:val="auto"/>
          <w:kern w:val="0"/>
          <w:sz w:val="32"/>
          <w:szCs w:val="32"/>
          <w:lang w:val="en-US" w:eastAsia="zh-CN"/>
        </w:rPr>
      </w:pPr>
      <w:r>
        <w:rPr>
          <w:rFonts w:hint="default" w:ascii="仿宋_GB2312" w:hAnsi="仿宋_GB2312" w:eastAsia="仿宋_GB2312" w:cs="仿宋_GB2312"/>
          <w:bCs/>
          <w:color w:val="auto"/>
          <w:kern w:val="0"/>
          <w:sz w:val="32"/>
          <w:szCs w:val="32"/>
          <w:lang w:val="en-US" w:eastAsia="zh-CN"/>
        </w:rPr>
        <w:t>新媒体整合推广服务费质保金：每季度结算支付时，</w:t>
      </w:r>
      <w:r>
        <w:rPr>
          <w:rFonts w:hint="eastAsia" w:ascii="仿宋_GB2312" w:hAnsi="仿宋_GB2312" w:eastAsia="仿宋_GB2312" w:cs="仿宋_GB2312"/>
          <w:bCs/>
          <w:color w:val="auto"/>
          <w:kern w:val="0"/>
          <w:sz w:val="32"/>
          <w:szCs w:val="32"/>
          <w:lang w:val="en-US" w:eastAsia="zh-CN"/>
        </w:rPr>
        <w:t>甲方/项目公司按当季度经确认的结算金额的90%支付，剩余10%自动留存为质保金。当该项目公司为本合同项下所有服务累计留存的质保金总额，达到本合同第三条第4款第（1）项约定的质保金总额上限后，后续季度甲方/项目公司应按当季度结算金额的100%支付，不再额外预留。</w:t>
      </w:r>
    </w:p>
    <w:p w14:paraId="31864289">
      <w:pPr>
        <w:keepNext w:val="0"/>
        <w:keepLines w:val="0"/>
        <w:pageBreakBefore w:val="0"/>
        <w:widowControl/>
        <w:numPr>
          <w:ilvl w:val="-1"/>
          <w:numId w:val="0"/>
        </w:numPr>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（3）质保金的返还：</w:t>
      </w:r>
    </w:p>
    <w:p w14:paraId="3756596E">
      <w:pPr>
        <w:keepNext w:val="0"/>
        <w:keepLines w:val="0"/>
        <w:pageBreakBefore w:val="0"/>
        <w:widowControl/>
        <w:numPr>
          <w:ilvl w:val="-1"/>
          <w:numId w:val="0"/>
        </w:numPr>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1）自本合同生效之日起满一年，且乙方在已履行的服务中不存在依据本合同第八条第6款认定的严重违约行为的，乙方可申请返还新媒体整合推广服务费已留存质保金的50%。</w:t>
      </w:r>
    </w:p>
    <w:p w14:paraId="7F2264E1">
      <w:pPr>
        <w:keepNext w:val="0"/>
        <w:keepLines w:val="0"/>
        <w:pageBreakBefore w:val="0"/>
        <w:widowControl/>
        <w:numPr>
          <w:ilvl w:val="-1"/>
          <w:numId w:val="0"/>
        </w:numPr>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2）全部服务期限届满且乙方在各项目项下均无未处理的违约扣款事项的，甲方/项目公司在收到乙方书面返还申请及合格发票后30个工作日内，将各自留存的质保金余额无息一次性退还。</w:t>
      </w:r>
    </w:p>
    <w:p w14:paraId="55DA81E1">
      <w:pPr>
        <w:keepNext w:val="0"/>
        <w:keepLines w:val="0"/>
        <w:pageBreakBefore w:val="0"/>
        <w:widowControl/>
        <w:numPr>
          <w:ilvl w:val="0"/>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Cs/>
          <w:color w:val="auto"/>
          <w:kern w:val="0"/>
          <w:sz w:val="32"/>
          <w:szCs w:val="32"/>
          <w:lang w:val="en-US" w:eastAsia="zh-CN"/>
        </w:rPr>
        <w:t>（4）质保金的扣除和</w:t>
      </w:r>
      <w:r>
        <w:rPr>
          <w:rFonts w:hint="default" w:ascii="仿宋_GB2312" w:hAnsi="仿宋_GB2312" w:eastAsia="仿宋_GB2312" w:cs="仿宋_GB2312"/>
          <w:bCs/>
          <w:color w:val="auto"/>
          <w:kern w:val="0"/>
          <w:sz w:val="32"/>
          <w:szCs w:val="32"/>
          <w:lang w:val="en-US" w:eastAsia="zh-CN"/>
        </w:rPr>
        <w:t>补足：乙方发生本合同约定的违约行为时，无论该违约行为属于舆情监测服务还是新媒体整合推广服务，甲方均有权直接从违约行为所对应的项目公司留存的全部质保金（包括舆情监测服务费质保金和新媒体整合推广服务费质保金）中抵扣相应违约金及赔偿金。若该项目公司留存的质保金余额不足以抵扣的，差额部分乙方应在收到甲方书面通知后10个工作日内另行补足；逾期未补足的，甲方有权从对该项目公司的后续应付费用中直接扣除，或继续向乙方追偿。</w:t>
      </w:r>
      <w:r>
        <w:rPr>
          <w:rFonts w:hint="eastAsia" w:ascii="仿宋_GB2312" w:hAnsi="仿宋_GB2312" w:eastAsia="仿宋_GB2312" w:cs="仿宋_GB2312"/>
          <w:bCs/>
          <w:color w:val="auto"/>
          <w:kern w:val="0"/>
          <w:sz w:val="32"/>
          <w:szCs w:val="32"/>
          <w:lang w:val="en-US" w:eastAsia="zh-CN"/>
        </w:rPr>
        <w:t>若因扣除质保金后导致质保金余额减少的，乙方应在收到甲方/项目公司书面通知后【10】个工作日内，将质保金补足至第三条第4款第（1）项约定的上限。逾期未补足的，甲方/项目公司有权从对乙方的后续应付款项中直接扣除。</w:t>
      </w:r>
    </w:p>
    <w:p w14:paraId="7259D269">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4.</w:t>
      </w:r>
      <w:r>
        <w:rPr>
          <w:rFonts w:hint="eastAsia" w:ascii="仿宋_GB2312" w:hAnsi="仿宋_GB2312" w:eastAsia="仿宋_GB2312" w:cs="仿宋_GB2312"/>
          <w:kern w:val="0"/>
          <w:sz w:val="32"/>
          <w:szCs w:val="32"/>
          <w:lang w:val="en-US" w:eastAsia="zh-CN"/>
        </w:rPr>
        <w:t>结算与</w:t>
      </w:r>
      <w:r>
        <w:rPr>
          <w:rFonts w:hint="eastAsia" w:ascii="仿宋_GB2312" w:hAnsi="仿宋_GB2312" w:eastAsia="仿宋_GB2312" w:cs="仿宋_GB2312"/>
          <w:sz w:val="32"/>
          <w:szCs w:val="32"/>
        </w:rPr>
        <w:t>支付</w:t>
      </w:r>
      <w:r>
        <w:rPr>
          <w:rFonts w:hint="eastAsia" w:ascii="仿宋_GB2312" w:hAnsi="仿宋_GB2312" w:eastAsia="仿宋_GB2312" w:cs="仿宋_GB2312"/>
          <w:sz w:val="32"/>
          <w:szCs w:val="32"/>
          <w:lang w:val="en-US" w:eastAsia="zh-CN"/>
        </w:rPr>
        <w:t>流程</w:t>
      </w:r>
    </w:p>
    <w:p w14:paraId="0BD2852B">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（1）结算周期与依据：本合同价款采用季度据实结算方式支付，每季度结束后【10】个工作日内，乙方应汇总该季度已完成并经验收的服务，向甲方提交《服务报告》及完整的结算资料，包括但不限于：</w:t>
      </w:r>
    </w:p>
    <w:p w14:paraId="3A12872F">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1）经双方确认的当季度《季度推广计划》及《季度舆情监控分析报告》；</w:t>
      </w:r>
    </w:p>
    <w:p w14:paraId="77D81BC1">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2）经甲方项目负责人签字或盖章确认的各次《投放执行确认单》及投放数据证明；</w:t>
      </w:r>
    </w:p>
    <w:p w14:paraId="6BB72885">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3）其他能证明服务已完成且合格的依据。</w:t>
      </w:r>
    </w:p>
    <w:p w14:paraId="7DDB07A7">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甲方应在收到完整结算资料后【10】个工作日内完成审核确认或提出书面异议。双方确认的结算金额作为当期付款的依据。</w:t>
      </w:r>
    </w:p>
    <w:p w14:paraId="08AC63F4">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（2）付款条件与比例：</w:t>
      </w:r>
    </w:p>
    <w:p w14:paraId="5C6503F9">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1）甲方/项目公司在双方共同书面确认当期结算金额后，根据本合同第三条</w:t>
      </w:r>
      <w:r>
        <w:rPr>
          <w:rFonts w:hint="eastAsia" w:ascii="仿宋_GB2312" w:hAnsi="仿宋_GB2312" w:eastAsia="仿宋_GB2312" w:cs="仿宋_GB2312"/>
          <w:color w:val="auto"/>
          <w:sz w:val="32"/>
          <w:szCs w:val="32"/>
          <w:lang w:val="en-US" w:eastAsia="zh-CN"/>
        </w:rPr>
        <w:t>第4</w:t>
      </w:r>
      <w:r>
        <w:rPr>
          <w:rFonts w:hint="eastAsia" w:ascii="仿宋_GB2312" w:hAnsi="仿宋_GB2312" w:eastAsia="仿宋_GB2312" w:cs="仿宋_GB2312"/>
          <w:bCs/>
          <w:color w:val="auto"/>
          <w:kern w:val="0"/>
          <w:sz w:val="32"/>
          <w:szCs w:val="32"/>
          <w:lang w:val="en-US" w:eastAsia="zh-CN"/>
        </w:rPr>
        <w:t>款第</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sz w:val="32"/>
          <w:szCs w:val="32"/>
          <w:lang w:val="en-US" w:eastAsia="zh-CN"/>
        </w:rPr>
        <w:t>项的质保金预留规则，若当期需扣除违约金或赔偿金，甲方/项目公司应事先向乙方提供书面通知，说明扣款事由及金额。乙方对扣款无异议或在收到通知后【10】个工作日内未提出书面异议的，甲方可进行扣除。若乙方对扣款有异议，双方应在【5】个工作日内先行协商解决，协商期间，甲方应将无争议部分的款项先行支付。</w:t>
      </w:r>
    </w:p>
    <w:p w14:paraId="58E0E31A">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2）乙方依据甲方/项目公司书面确认的当期应付净额，向各项目公司分别开具合法有效的增值税专用发票。</w:t>
      </w:r>
    </w:p>
    <w:p w14:paraId="3FF89EC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3）各项目公司在收到乙方开具的合规发票及齐全的请款文件后【30】个工作日内，向乙方支付相应款项。</w:t>
      </w:r>
    </w:p>
    <w:p w14:paraId="67073E99">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）支付方式：银行对公转账。</w:t>
      </w:r>
    </w:p>
    <w:p w14:paraId="0827CF7C">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5.合同终止与清算</w:t>
      </w:r>
    </w:p>
    <w:p w14:paraId="401D199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本合同无论因何种原因终止或提前解除，</w:t>
      </w:r>
      <w:r>
        <w:rPr>
          <w:rFonts w:hint="eastAsia" w:ascii="仿宋_GB2312" w:hAnsi="仿宋_GB2312" w:eastAsia="仿宋_GB2312" w:cs="仿宋_GB2312"/>
          <w:kern w:val="0"/>
          <w:sz w:val="32"/>
          <w:szCs w:val="32"/>
        </w:rPr>
        <w:t>双方需在[</w:t>
      </w:r>
      <w:r>
        <w:rPr>
          <w:rFonts w:hint="eastAsia" w:ascii="仿宋_GB2312" w:hAnsi="仿宋_GB2312" w:eastAsia="仿宋_GB2312" w:cs="仿宋_GB2312"/>
          <w:kern w:val="0"/>
          <w:sz w:val="32"/>
          <w:szCs w:val="32"/>
          <w:lang w:val="en-US" w:eastAsia="zh-CN"/>
        </w:rPr>
        <w:t>30</w:t>
      </w:r>
      <w:r>
        <w:rPr>
          <w:rFonts w:hint="eastAsia" w:ascii="仿宋_GB2312" w:hAnsi="仿宋_GB2312" w:eastAsia="仿宋_GB2312" w:cs="仿宋_GB2312"/>
          <w:kern w:val="0"/>
          <w:sz w:val="32"/>
          <w:szCs w:val="32"/>
        </w:rPr>
        <w:t>]个工作日内完成财务清算：</w:t>
      </w:r>
    </w:p>
    <w:p w14:paraId="794482F9">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已完成且验收通过的服务，按本合同约定</w:t>
      </w:r>
      <w:r>
        <w:rPr>
          <w:rFonts w:hint="eastAsia" w:ascii="仿宋_GB2312" w:hAnsi="仿宋_GB2312" w:eastAsia="仿宋_GB2312" w:cs="仿宋_GB2312"/>
          <w:kern w:val="0"/>
          <w:sz w:val="32"/>
          <w:szCs w:val="32"/>
          <w:lang w:val="en-US" w:eastAsia="zh-CN"/>
        </w:rPr>
        <w:t>进行</w:t>
      </w:r>
      <w:r>
        <w:rPr>
          <w:rFonts w:hint="eastAsia" w:ascii="仿宋_GB2312" w:hAnsi="仿宋_GB2312" w:eastAsia="仿宋_GB2312" w:cs="仿宋_GB2312"/>
          <w:kern w:val="0"/>
          <w:sz w:val="32"/>
          <w:szCs w:val="32"/>
        </w:rPr>
        <w:t>结算付款；</w:t>
      </w:r>
    </w:p>
    <w:p w14:paraId="7EF0A053">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已开始但未完成的服务，</w:t>
      </w:r>
      <w:r>
        <w:rPr>
          <w:rFonts w:hint="eastAsia" w:ascii="仿宋_GB2312" w:hAnsi="仿宋_GB2312" w:eastAsia="仿宋_GB2312" w:cs="仿宋_GB2312"/>
          <w:color w:val="auto"/>
          <w:kern w:val="0"/>
          <w:sz w:val="32"/>
          <w:szCs w:val="32"/>
        </w:rPr>
        <w:t>按</w:t>
      </w:r>
      <w:r>
        <w:rPr>
          <w:rFonts w:hint="eastAsia" w:ascii="仿宋_GB2312" w:hAnsi="仿宋_GB2312" w:eastAsia="仿宋_GB2312" w:cs="仿宋_GB2312"/>
          <w:color w:val="auto"/>
          <w:kern w:val="0"/>
          <w:sz w:val="32"/>
          <w:szCs w:val="32"/>
          <w:lang w:val="en-US" w:eastAsia="zh-CN"/>
        </w:rPr>
        <w:t>下述标准计算并结算：</w:t>
      </w:r>
    </w:p>
    <w:p w14:paraId="440136D4">
      <w:pPr>
        <w:keepNext w:val="0"/>
        <w:keepLines w:val="0"/>
        <w:pageBreakBefore w:val="0"/>
        <w:numPr>
          <w:ilvl w:val="-1"/>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1）投放类服务（如朋友圈广告、媒体硬广等）</w:t>
      </w:r>
    </w:p>
    <w:p w14:paraId="7BFBEADE">
      <w:pPr>
        <w:keepNext w:val="0"/>
        <w:keepLines w:val="0"/>
        <w:pageBreakBefore w:val="0"/>
        <w:widowControl w:val="0"/>
        <w:numPr>
          <w:ilvl w:val="0"/>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·计量单位：以自然日为计算单元，不足1日按1日计；</w:t>
      </w:r>
    </w:p>
    <w:p w14:paraId="1A4C8A50">
      <w:pPr>
        <w:keepNext w:val="0"/>
        <w:keepLines w:val="0"/>
        <w:pageBreakBefore w:val="0"/>
        <w:widowControl w:val="0"/>
        <w:numPr>
          <w:ilvl w:val="0"/>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·结算公式：（实际已投放自然日数÷计划投放总自然日数）×该服务项含税单价；</w:t>
      </w:r>
    </w:p>
    <w:p w14:paraId="1E7556A3">
      <w:pPr>
        <w:keepNext w:val="0"/>
        <w:keepLines w:val="0"/>
        <w:pageBreakBefore w:val="0"/>
        <w:widowControl w:val="0"/>
        <w:numPr>
          <w:ilvl w:val="0"/>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·验收前提：实际投放内容须已按双方确认的投放确认单/排期/方案完整上线，并以第三方平台后台截图或媒体出具的投放证明作为验收依据。</w:t>
      </w:r>
    </w:p>
    <w:p w14:paraId="3CAD601D">
      <w:pPr>
        <w:keepNext w:val="0"/>
        <w:keepLines w:val="0"/>
        <w:pageBreakBefore w:val="0"/>
        <w:widowControl w:val="0"/>
        <w:numPr>
          <w:ilvl w:val="0"/>
          <w:numId w:val="0"/>
        </w:numPr>
        <w:kinsoku/>
        <w:wordWrap/>
        <w:overflowPunct/>
        <w:topLinePunct w:val="0"/>
        <w:autoSpaceDE/>
        <w:autoSpaceDN/>
        <w:bidi w:val="0"/>
        <w:adjustRightInd/>
        <w:snapToGrid/>
        <w:spacing w:before="100" w:beforeAutospacing="0" w:line="560" w:lineRule="exact"/>
        <w:ind w:left="0" w:leftChars="0"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2）内容制作与服务交付类（如原创文案、视频、舆情报告、活动执行等）</w:t>
      </w:r>
    </w:p>
    <w:p w14:paraId="0CD85110">
      <w:pPr>
        <w:keepNext w:val="0"/>
        <w:keepLines w:val="0"/>
        <w:pageBreakBefore w:val="0"/>
        <w:widowControl w:val="0"/>
        <w:numPr>
          <w:ilvl w:val="0"/>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·计量单位：以服务成果项为单位，每项成果的交付标准以附件1《服务清单》及当次《推广执行计划》/《服务任务书》中约定的交付物清单为准；</w:t>
      </w:r>
    </w:p>
    <w:p w14:paraId="4BBB9D37">
      <w:pPr>
        <w:keepNext w:val="0"/>
        <w:keepLines w:val="0"/>
        <w:pageBreakBefore w:val="0"/>
        <w:widowControl w:val="0"/>
        <w:numPr>
          <w:ilvl w:val="0"/>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rPr>
          <w:rFonts w:ascii="Segoe UI" w:hAnsi="Segoe UI" w:eastAsia="Segoe UI" w:cs="Segoe UI"/>
          <w:i w:val="0"/>
          <w:iCs w:val="0"/>
          <w:caps w:val="0"/>
          <w:color w:val="auto"/>
          <w:spacing w:val="0"/>
          <w:sz w:val="16"/>
          <w:szCs w:val="16"/>
          <w:shd w:val="clear" w:fill="FFFFFF"/>
        </w:rPr>
      </w:pPr>
      <w:r>
        <w:rPr>
          <w:rFonts w:hint="eastAsia" w:ascii="仿宋_GB2312" w:hAnsi="仿宋_GB2312" w:eastAsia="仿宋_GB2312" w:cs="仿宋_GB2312"/>
          <w:color w:val="auto"/>
          <w:kern w:val="0"/>
          <w:sz w:val="32"/>
          <w:szCs w:val="32"/>
          <w:lang w:val="en-US" w:eastAsia="zh-CN"/>
        </w:rPr>
        <w:t>·结算公式：（已通过甲方验收的服务成果项数÷计划交付总服务成果项数）× 该服务项含税单价；</w:t>
      </w:r>
    </w:p>
    <w:p w14:paraId="3EE980C4">
      <w:pPr>
        <w:keepNext w:val="0"/>
        <w:keepLines w:val="0"/>
        <w:pageBreakBefore w:val="0"/>
        <w:widowControl w:val="0"/>
        <w:numPr>
          <w:ilvl w:val="0"/>
          <w:numId w:val="0"/>
        </w:numPr>
        <w:kinsoku/>
        <w:wordWrap/>
        <w:overflowPunct/>
        <w:topLinePunct w:val="0"/>
        <w:autoSpaceDE/>
        <w:autoSpaceDN/>
        <w:bidi w:val="0"/>
        <w:adjustRightInd/>
        <w:snapToGrid/>
        <w:spacing w:before="100" w:beforeAutospacing="0" w:line="560" w:lineRule="exact"/>
        <w:ind w:firstLine="640" w:firstLineChars="200"/>
        <w:jc w:val="left"/>
        <w:textAlignment w:val="auto"/>
      </w:pPr>
      <w:r>
        <w:rPr>
          <w:rFonts w:hint="eastAsia" w:ascii="仿宋_GB2312" w:hAnsi="仿宋_GB2312" w:eastAsia="仿宋_GB2312" w:cs="仿宋_GB2312"/>
          <w:color w:val="auto"/>
          <w:kern w:val="0"/>
          <w:sz w:val="32"/>
          <w:szCs w:val="32"/>
          <w:lang w:val="en-US" w:eastAsia="zh-CN"/>
        </w:rPr>
        <w:t>·未验收成果</w:t>
      </w:r>
      <w:r>
        <w:rPr>
          <w:rFonts w:hint="default" w:ascii="仿宋_GB2312" w:hAnsi="仿宋_GB2312" w:eastAsia="仿宋_GB2312" w:cs="仿宋_GB2312"/>
          <w:color w:val="auto"/>
          <w:kern w:val="0"/>
          <w:sz w:val="32"/>
          <w:szCs w:val="32"/>
          <w:lang w:val="en-US" w:eastAsia="zh-CN"/>
        </w:rPr>
        <w:t>：已提交但未经甲方书面验收通过的服务成果，不计入“已交付”范围，甲方</w:t>
      </w:r>
      <w:r>
        <w:rPr>
          <w:rFonts w:hint="eastAsia" w:ascii="仿宋_GB2312" w:hAnsi="仿宋_GB2312" w:eastAsia="仿宋_GB2312" w:cs="仿宋_GB2312"/>
          <w:color w:val="auto"/>
          <w:kern w:val="0"/>
          <w:sz w:val="32"/>
          <w:szCs w:val="32"/>
        </w:rPr>
        <w:t>/项目公司</w:t>
      </w:r>
      <w:r>
        <w:rPr>
          <w:rFonts w:hint="default" w:ascii="仿宋_GB2312" w:hAnsi="仿宋_GB2312" w:eastAsia="仿宋_GB2312" w:cs="仿宋_GB2312"/>
          <w:color w:val="auto"/>
          <w:kern w:val="0"/>
          <w:sz w:val="32"/>
          <w:szCs w:val="32"/>
          <w:lang w:val="en-US" w:eastAsia="zh-CN"/>
        </w:rPr>
        <w:t>不予支付费用。</w:t>
      </w:r>
    </w:p>
    <w:p w14:paraId="3F1C05E3">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未开始的服务，乙方不得主张</w:t>
      </w:r>
      <w:r>
        <w:rPr>
          <w:rFonts w:hint="eastAsia" w:ascii="仿宋_GB2312" w:hAnsi="仿宋_GB2312" w:eastAsia="仿宋_GB2312" w:cs="仿宋_GB2312"/>
          <w:kern w:val="0"/>
          <w:sz w:val="32"/>
          <w:szCs w:val="32"/>
          <w:lang w:val="en-US" w:eastAsia="zh-CN"/>
        </w:rPr>
        <w:t>任何</w:t>
      </w:r>
      <w:r>
        <w:rPr>
          <w:rFonts w:hint="eastAsia" w:ascii="仿宋_GB2312" w:hAnsi="仿宋_GB2312" w:eastAsia="仿宋_GB2312" w:cs="仿宋_GB2312"/>
          <w:kern w:val="0"/>
          <w:sz w:val="32"/>
          <w:szCs w:val="32"/>
        </w:rPr>
        <w:t>费用；清算完成后，乙方需在[5]个工作日内开具剩余合规发票，甲方/项目公司在收到发票</w:t>
      </w:r>
      <w:r>
        <w:rPr>
          <w:rFonts w:hint="eastAsia" w:ascii="仿宋_GB2312" w:hAnsi="仿宋_GB2312" w:eastAsia="仿宋_GB2312" w:cs="仿宋_GB2312"/>
          <w:kern w:val="0"/>
          <w:sz w:val="32"/>
          <w:szCs w:val="32"/>
          <w:lang w:val="en-US" w:eastAsia="zh-CN"/>
        </w:rPr>
        <w:t>及请款材料</w:t>
      </w:r>
      <w:r>
        <w:rPr>
          <w:rFonts w:hint="eastAsia" w:ascii="仿宋_GB2312" w:hAnsi="仿宋_GB2312" w:eastAsia="仿宋_GB2312" w:cs="仿宋_GB2312"/>
          <w:kern w:val="0"/>
          <w:sz w:val="32"/>
          <w:szCs w:val="32"/>
        </w:rPr>
        <w:t>后[</w:t>
      </w:r>
      <w:r>
        <w:rPr>
          <w:rFonts w:hint="eastAsia" w:ascii="仿宋_GB2312" w:hAnsi="仿宋_GB2312" w:eastAsia="仿宋_GB2312" w:cs="仿宋_GB2312"/>
          <w:kern w:val="0"/>
          <w:sz w:val="32"/>
          <w:szCs w:val="32"/>
          <w:lang w:val="en-US" w:eastAsia="zh-CN"/>
        </w:rPr>
        <w:t>30</w:t>
      </w:r>
      <w:r>
        <w:rPr>
          <w:rFonts w:hint="eastAsia" w:ascii="仿宋_GB2312" w:hAnsi="仿宋_GB2312" w:eastAsia="仿宋_GB2312" w:cs="仿宋_GB2312"/>
          <w:kern w:val="0"/>
          <w:sz w:val="32"/>
          <w:szCs w:val="32"/>
        </w:rPr>
        <w:t>]个工作日内支付清算款项</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甲方</w:t>
      </w:r>
      <w:r>
        <w:rPr>
          <w:rFonts w:hint="eastAsia" w:ascii="仿宋_GB2312" w:hAnsi="仿宋_GB2312" w:eastAsia="仿宋_GB2312" w:cs="仿宋_GB2312"/>
          <w:kern w:val="0"/>
          <w:sz w:val="32"/>
          <w:szCs w:val="32"/>
        </w:rPr>
        <w:t>/项目公司</w:t>
      </w:r>
      <w:r>
        <w:rPr>
          <w:rFonts w:hint="eastAsia" w:ascii="仿宋_GB2312" w:hAnsi="仿宋_GB2312" w:eastAsia="仿宋_GB2312" w:cs="仿宋_GB2312"/>
          <w:kern w:val="0"/>
          <w:sz w:val="32"/>
          <w:szCs w:val="32"/>
          <w:lang w:val="en-US" w:eastAsia="zh-CN"/>
        </w:rPr>
        <w:t>有</w:t>
      </w:r>
      <w:r>
        <w:rPr>
          <w:rFonts w:hint="eastAsia" w:ascii="仿宋_GB2312" w:hAnsi="仿宋_GB2312" w:eastAsia="仿宋_GB2312" w:cs="仿宋_GB2312"/>
          <w:color w:val="auto"/>
          <w:kern w:val="0"/>
          <w:sz w:val="32"/>
          <w:szCs w:val="32"/>
          <w:lang w:val="en-US" w:eastAsia="zh-CN"/>
        </w:rPr>
        <w:t>权从乙方留存的质量保证金或清算款项中扣</w:t>
      </w:r>
      <w:r>
        <w:rPr>
          <w:rFonts w:hint="eastAsia" w:ascii="仿宋_GB2312" w:hAnsi="仿宋_GB2312" w:eastAsia="仿宋_GB2312" w:cs="仿宋_GB2312"/>
          <w:kern w:val="0"/>
          <w:sz w:val="32"/>
          <w:szCs w:val="32"/>
          <w:lang w:val="en-US" w:eastAsia="zh-CN"/>
        </w:rPr>
        <w:t>除乙方应承担的违约金、赔偿金等）</w:t>
      </w:r>
      <w:r>
        <w:rPr>
          <w:rFonts w:hint="eastAsia" w:ascii="仿宋_GB2312" w:hAnsi="仿宋_GB2312" w:eastAsia="仿宋_GB2312" w:cs="仿宋_GB2312"/>
          <w:kern w:val="0"/>
          <w:sz w:val="32"/>
          <w:szCs w:val="32"/>
        </w:rPr>
        <w:t>。</w:t>
      </w:r>
    </w:p>
    <w:p w14:paraId="7014177C">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若本合同因乙方违约而提前解除的，</w:t>
      </w:r>
      <w:r>
        <w:rPr>
          <w:rFonts w:hint="eastAsia" w:ascii="仿宋_GB2312" w:hAnsi="仿宋_GB2312" w:eastAsia="仿宋_GB2312" w:cs="仿宋_GB2312"/>
          <w:kern w:val="0"/>
          <w:sz w:val="32"/>
          <w:szCs w:val="32"/>
          <w:lang w:val="en-US" w:eastAsia="zh-CN"/>
        </w:rPr>
        <w:t>不影响双方依据本合同对已完成及已开始的服务进行清算。</w:t>
      </w:r>
      <w:r>
        <w:rPr>
          <w:rFonts w:hint="eastAsia" w:ascii="仿宋_GB2312" w:hAnsi="仿宋_GB2312" w:eastAsia="仿宋_GB2312" w:cs="仿宋_GB2312"/>
          <w:kern w:val="0"/>
          <w:sz w:val="32"/>
          <w:szCs w:val="32"/>
        </w:rPr>
        <w:t>甲方/项目公司</w:t>
      </w:r>
      <w:r>
        <w:rPr>
          <w:rFonts w:hint="eastAsia" w:ascii="仿宋_GB2312" w:hAnsi="仿宋_GB2312" w:eastAsia="仿宋_GB2312" w:cs="仿宋_GB2312"/>
          <w:kern w:val="0"/>
          <w:sz w:val="32"/>
          <w:szCs w:val="32"/>
          <w:lang w:val="en-US" w:eastAsia="zh-CN"/>
        </w:rPr>
        <w:t>有权从应付乙方的款项或质保金中直接扣除乙方依据本合同应承担的违约金及赔偿金，不足部分，甲方有权继续向乙方追偿。</w:t>
      </w:r>
    </w:p>
    <w:p w14:paraId="34B5EE3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6</w:t>
      </w:r>
      <w:r>
        <w:rPr>
          <w:rFonts w:hint="eastAsia" w:ascii="仿宋_GB2312" w:hAnsi="仿宋_GB2312" w:eastAsia="仿宋_GB2312" w:cs="仿宋_GB2312"/>
          <w:kern w:val="0"/>
          <w:sz w:val="32"/>
          <w:szCs w:val="32"/>
        </w:rPr>
        <w:t>.如合同有效期内，因包括但不限于法律、行政法规、政府政策修订或变化导致上述增值税税率调整的，除不含税价格保持不变外，增值税税率、税额及含税价格应做相应调整。因乙方原因导致上述增值税税率提高的，含税价格不作调整。</w:t>
      </w:r>
    </w:p>
    <w:p w14:paraId="78FF72C5">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rPr>
        <w:t>7</w:t>
      </w:r>
      <w:r>
        <w:rPr>
          <w:rFonts w:hint="eastAsia" w:ascii="仿宋_GB2312" w:hAnsi="仿宋_GB2312" w:eastAsia="仿宋_GB2312" w:cs="仿宋_GB2312"/>
          <w:kern w:val="0"/>
          <w:sz w:val="32"/>
          <w:szCs w:val="32"/>
        </w:rPr>
        <w:t>.发票开具：</w:t>
      </w:r>
      <w:r>
        <w:rPr>
          <w:rFonts w:hint="eastAsia" w:ascii="仿宋_GB2312" w:hAnsi="仿宋_GB2312" w:eastAsia="仿宋_GB2312" w:cs="仿宋_GB2312"/>
          <w:sz w:val="32"/>
          <w:szCs w:val="32"/>
        </w:rPr>
        <w:t>每次申请付款前[5]个工作日内，由乙方负责</w:t>
      </w:r>
      <w:r>
        <w:rPr>
          <w:rFonts w:hint="eastAsia" w:ascii="仿宋_GB2312" w:hAnsi="仿宋_GB2312" w:eastAsia="仿宋_GB2312" w:cs="仿宋_GB2312"/>
          <w:sz w:val="32"/>
          <w:szCs w:val="32"/>
          <w:lang w:bidi="ar"/>
        </w:rPr>
        <w:t>向</w:t>
      </w:r>
      <w:r>
        <w:rPr>
          <w:rFonts w:hint="eastAsia" w:ascii="仿宋_GB2312" w:hAnsi="仿宋_GB2312" w:eastAsia="仿宋_GB2312" w:cs="仿宋_GB2312"/>
          <w:kern w:val="0"/>
          <w:sz w:val="32"/>
          <w:szCs w:val="32"/>
        </w:rPr>
        <w:t>甲方/项目公司</w:t>
      </w:r>
      <w:r>
        <w:rPr>
          <w:rFonts w:hint="eastAsia" w:ascii="仿宋_GB2312" w:hAnsi="仿宋_GB2312" w:eastAsia="仿宋_GB2312" w:cs="仿宋_GB2312"/>
          <w:sz w:val="32"/>
          <w:szCs w:val="32"/>
          <w:lang w:bidi="ar"/>
        </w:rPr>
        <w:t>先行开具经过防伪税控系统认证的等额、合法有效的增值税专用发票。</w:t>
      </w:r>
      <w:r>
        <w:rPr>
          <w:rFonts w:hint="eastAsia" w:ascii="仿宋_GB2312" w:hAnsi="仿宋_GB2312" w:eastAsia="仿宋_GB2312" w:cs="仿宋_GB2312"/>
          <w:sz w:val="32"/>
          <w:szCs w:val="32"/>
        </w:rPr>
        <w:t>若乙方迟延开具发票或者开具发票不符合合同约定，甲方/项目公司有权延期付款，并不承担任何责任，由此造成的损失由乙方承担，同时乙方不得以此为由拒绝履行合同义务。如遇国家税率调整，则不含税价格不变，合同含税价及税率相应调整，乙方应按纳税义务发生时的税率开具增值税发票，税率变化导致价税金额的变更应在进度及结算金额中进行调整。</w:t>
      </w:r>
    </w:p>
    <w:p w14:paraId="6CA2B092">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.乙方提交虚假发票，甲方有权解除合同。</w:t>
      </w:r>
    </w:p>
    <w:p w14:paraId="0EDE28F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.乙方指定收款账户信息（乙方应确保该账户可正常接收各项目公司的付款，并在每次请款时注明对应的项目公司名称及项目名称）：</w:t>
      </w:r>
    </w:p>
    <w:p w14:paraId="4C94CE1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单    位：</w:t>
      </w:r>
      <w:permStart w:id="22" w:edGrp="everyone"/>
      <w:r>
        <w:rPr>
          <w:rFonts w:hint="eastAsia" w:ascii="仿宋_GB2312" w:hAnsi="仿宋_GB2312" w:eastAsia="仿宋_GB2312" w:cs="仿宋_GB2312"/>
          <w:kern w:val="0"/>
          <w:sz w:val="32"/>
          <w:szCs w:val="32"/>
        </w:rPr>
        <w:t xml:space="preserve">    </w:t>
      </w:r>
      <w:permEnd w:id="22"/>
    </w:p>
    <w:p w14:paraId="53F715B5">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开 户 行：</w:t>
      </w:r>
      <w:permStart w:id="23" w:edGrp="everyone"/>
      <w:r>
        <w:rPr>
          <w:rFonts w:hint="eastAsia" w:ascii="仿宋_GB2312" w:hAnsi="仿宋_GB2312" w:eastAsia="仿宋_GB2312" w:cs="仿宋_GB2312"/>
          <w:kern w:val="0"/>
          <w:sz w:val="32"/>
          <w:szCs w:val="32"/>
        </w:rPr>
        <w:t xml:space="preserve">    </w:t>
      </w:r>
      <w:permEnd w:id="23"/>
    </w:p>
    <w:p w14:paraId="76A47405">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账    号：</w:t>
      </w:r>
      <w:permStart w:id="24" w:edGrp="everyone"/>
      <w:r>
        <w:rPr>
          <w:rFonts w:hint="eastAsia" w:ascii="仿宋_GB2312" w:hAnsi="仿宋_GB2312" w:eastAsia="仿宋_GB2312" w:cs="仿宋_GB2312"/>
          <w:kern w:val="0"/>
          <w:sz w:val="32"/>
          <w:szCs w:val="32"/>
        </w:rPr>
        <w:t xml:space="preserve">    </w:t>
      </w:r>
      <w:permEnd w:id="24"/>
      <w:r>
        <w:rPr>
          <w:rFonts w:hint="eastAsia" w:ascii="仿宋_GB2312" w:hAnsi="仿宋_GB2312" w:eastAsia="仿宋_GB2312" w:cs="仿宋_GB2312"/>
          <w:sz w:val="32"/>
          <w:szCs w:val="32"/>
        </w:rPr>
        <w:t> </w:t>
      </w:r>
    </w:p>
    <w:p w14:paraId="340A0EA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联 系 人：</w:t>
      </w:r>
      <w:permStart w:id="25" w:edGrp="everyone"/>
      <w:r>
        <w:rPr>
          <w:rFonts w:hint="eastAsia" w:ascii="仿宋_GB2312" w:hAnsi="仿宋_GB2312" w:eastAsia="仿宋_GB2312" w:cs="仿宋_GB2312"/>
          <w:kern w:val="0"/>
          <w:sz w:val="32"/>
          <w:szCs w:val="32"/>
        </w:rPr>
        <w:t xml:space="preserve">    </w:t>
      </w:r>
    </w:p>
    <w:permEnd w:id="25"/>
    <w:p w14:paraId="6DCF922C">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联系方式：</w:t>
      </w:r>
      <w:permStart w:id="26" w:edGrp="everyone"/>
      <w:r>
        <w:rPr>
          <w:rFonts w:hint="eastAsia" w:ascii="仿宋_GB2312" w:hAnsi="仿宋_GB2312" w:eastAsia="仿宋_GB2312" w:cs="仿宋_GB2312"/>
          <w:kern w:val="0"/>
          <w:sz w:val="32"/>
          <w:szCs w:val="32"/>
        </w:rPr>
        <w:t xml:space="preserve">    </w:t>
      </w:r>
    </w:p>
    <w:p w14:paraId="1FD2693D">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.甲方指定开票信息：</w:t>
      </w:r>
    </w:p>
    <w:p w14:paraId="1ACE731C">
      <w:pPr>
        <w:keepNext w:val="0"/>
        <w:keepLines w:val="0"/>
        <w:pageBreakBefore w:val="0"/>
        <w:widowControl/>
        <w:kinsoku/>
        <w:wordWrap/>
        <w:overflowPunct/>
        <w:topLinePunct w:val="0"/>
        <w:autoSpaceDE/>
        <w:autoSpaceDN/>
        <w:bidi w:val="0"/>
        <w:adjustRightInd/>
        <w:snapToGrid/>
        <w:spacing w:before="100" w:beforeAutospacing="0" w:line="560" w:lineRule="exact"/>
        <w:ind w:firstLine="643" w:firstLineChars="200"/>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项目名称：江东·梧桐里</w:t>
      </w:r>
    </w:p>
    <w:p w14:paraId="3DB794BD">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公司名称：海口市恒睿安居置业有限公司</w:t>
      </w:r>
    </w:p>
    <w:p w14:paraId="09B86953">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纳税人识别号：91460000MAC4MEAT1D</w:t>
      </w:r>
    </w:p>
    <w:p w14:paraId="7343C862">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地址：海南省海口市江东新区江东大道202号江东发展大厦C座2层</w:t>
      </w:r>
    </w:p>
    <w:p w14:paraId="5940C570">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电话：0898-36323320</w:t>
      </w:r>
    </w:p>
    <w:p w14:paraId="4F8EBB5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开户行：中国工商银行股份有限公司海口世贸支行</w:t>
      </w:r>
    </w:p>
    <w:p w14:paraId="72EA158A">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银行账号：2201027509200655221</w:t>
      </w:r>
    </w:p>
    <w:p w14:paraId="2914D472">
      <w:pPr>
        <w:keepNext w:val="0"/>
        <w:keepLines w:val="0"/>
        <w:pageBreakBefore w:val="0"/>
        <w:widowControl/>
        <w:kinsoku/>
        <w:wordWrap/>
        <w:overflowPunct/>
        <w:topLinePunct w:val="0"/>
        <w:autoSpaceDE/>
        <w:autoSpaceDN/>
        <w:bidi w:val="0"/>
        <w:adjustRightInd/>
        <w:snapToGrid/>
        <w:spacing w:before="100" w:beforeAutospacing="0" w:line="560" w:lineRule="exact"/>
        <w:ind w:firstLine="643" w:firstLineChars="200"/>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项目名称：青春东岸</w:t>
      </w:r>
    </w:p>
    <w:p w14:paraId="6A1E1353">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公司名称：海南省桂林洋房地产开发总公司</w:t>
      </w:r>
    </w:p>
    <w:p w14:paraId="1ABA1E13">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纳税人识别号：9146000020125228XU</w:t>
      </w:r>
    </w:p>
    <w:p w14:paraId="1C509CCC">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地址：海南省海口市桂林洋开发区兴洋大道93号</w:t>
      </w:r>
    </w:p>
    <w:p w14:paraId="747AB0C1">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电话：65710086</w:t>
      </w:r>
    </w:p>
    <w:p w14:paraId="75959B20">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开户行：农行海口桂林洋支行</w:t>
      </w:r>
    </w:p>
    <w:p w14:paraId="2A609AD4">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银行账号：21293001040000782</w:t>
      </w:r>
    </w:p>
    <w:p w14:paraId="48A9C9FE">
      <w:pPr>
        <w:keepNext w:val="0"/>
        <w:keepLines w:val="0"/>
        <w:pageBreakBefore w:val="0"/>
        <w:widowControl/>
        <w:kinsoku/>
        <w:wordWrap/>
        <w:overflowPunct/>
        <w:topLinePunct w:val="0"/>
        <w:autoSpaceDE/>
        <w:autoSpaceDN/>
        <w:bidi w:val="0"/>
        <w:adjustRightInd/>
        <w:snapToGrid/>
        <w:spacing w:before="100" w:beforeAutospacing="0" w:line="560" w:lineRule="exact"/>
        <w:ind w:firstLine="643" w:firstLineChars="200"/>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项目名称：江东·悦海/98亩项目</w:t>
      </w:r>
    </w:p>
    <w:p w14:paraId="7F1D90F2">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公司名称：海口江东新区城市投资有限公司</w:t>
      </w:r>
    </w:p>
    <w:p w14:paraId="1E64A4D2">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纳税人识别号：91460100MA5TPGK18W</w:t>
      </w:r>
    </w:p>
    <w:p w14:paraId="6B41377A">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地址：海南省海口市江东新区江东大道202号江东大厦B</w:t>
      </w:r>
    </w:p>
    <w:p w14:paraId="39166054">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座4层</w:t>
      </w:r>
    </w:p>
    <w:p w14:paraId="40E2E229">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电话：0898-36323320</w:t>
      </w:r>
    </w:p>
    <w:p w14:paraId="2751449D">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开户行：海南农村商业银行股份有限公司海口东海岸支行</w:t>
      </w:r>
    </w:p>
    <w:p w14:paraId="17F22AA1">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银行账号：1014658656611111</w:t>
      </w:r>
      <w:permEnd w:id="26"/>
    </w:p>
    <w:p w14:paraId="292C9FD7">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0"/>
        <w:rPr>
          <w:rFonts w:ascii="仿宋_GB2312" w:hAnsi="仿宋_GB2312" w:eastAsia="仿宋_GB2312" w:cs="仿宋_GB2312"/>
          <w:kern w:val="0"/>
          <w:sz w:val="32"/>
          <w:szCs w:val="32"/>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、服务成果验收</w:t>
      </w:r>
    </w:p>
    <w:p w14:paraId="59A43BE1">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1.服务成果体现形式：服务报告</w:t>
      </w:r>
    </w:p>
    <w:p w14:paraId="3D415FFC">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2.服务成果提交：乙方应于完成合同约定服务工作后[5]个工作日内通过电子文件形式提交甲方审核，甲方审核通过后[7]个工作日内提交纸质版文件至甲方，文件一式[叁]份，甲方持[贰]份，乙方持[壹]份。甲方自收到乙方提交的服务报告之日起[</w:t>
      </w:r>
      <w:r>
        <w:rPr>
          <w:rFonts w:hint="eastAsia" w:ascii="仿宋_GB2312" w:hAnsi="仿宋_GB2312" w:eastAsia="仿宋_GB2312" w:cs="仿宋_GB2312"/>
          <w:bCs/>
          <w:kern w:val="0"/>
          <w:sz w:val="32"/>
          <w:szCs w:val="32"/>
          <w:lang w:val="en-US" w:eastAsia="zh-CN"/>
        </w:rPr>
        <w:t>7</w:t>
      </w:r>
      <w:r>
        <w:rPr>
          <w:rFonts w:hint="eastAsia" w:ascii="仿宋_GB2312" w:hAnsi="仿宋_GB2312" w:eastAsia="仿宋_GB2312" w:cs="仿宋_GB2312"/>
          <w:bCs/>
          <w:kern w:val="0"/>
          <w:sz w:val="32"/>
          <w:szCs w:val="32"/>
        </w:rPr>
        <w:t>]</w:t>
      </w:r>
      <w:r>
        <w:rPr>
          <w:rFonts w:hint="eastAsia" w:ascii="仿宋_GB2312" w:hAnsi="仿宋_GB2312" w:eastAsia="仿宋_GB2312" w:cs="仿宋_GB2312"/>
          <w:bCs/>
          <w:kern w:val="0"/>
          <w:sz w:val="32"/>
          <w:szCs w:val="32"/>
          <w:u w:val="single"/>
        </w:rPr>
        <w:t xml:space="preserve"> </w:t>
      </w:r>
      <w:r>
        <w:rPr>
          <w:rFonts w:hint="eastAsia" w:ascii="仿宋_GB2312" w:hAnsi="仿宋_GB2312" w:eastAsia="仿宋_GB2312" w:cs="仿宋_GB2312"/>
          <w:bCs/>
          <w:kern w:val="0"/>
          <w:sz w:val="32"/>
          <w:szCs w:val="32"/>
        </w:rPr>
        <w:t>个工作日内既没有向乙方提出书面异议，也没有明确答复乙方对服务报告无异议的，视为甲方对乙方提交的服务报告无异议。</w:t>
      </w:r>
    </w:p>
    <w:p w14:paraId="6F58639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3.服务成果验收：服务成果经双方项目负责人签字/盖章后视为验收确认。</w:t>
      </w:r>
    </w:p>
    <w:p w14:paraId="09B4C62B">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ind w:left="0" w:leftChars="0" w:right="0" w:rightChars="0" w:firstLine="640" w:firstLineChars="200"/>
        <w:textAlignment w:val="auto"/>
        <w:outlineLvl w:val="0"/>
        <w:rPr>
          <w:rFonts w:hint="eastAsia" w:ascii="黑体" w:hAnsi="黑体" w:eastAsia="黑体" w:cs="黑体"/>
          <w:i w:val="0"/>
          <w:iCs w:val="0"/>
          <w:caps w:val="0"/>
          <w:color w:val="auto"/>
          <w:spacing w:val="0"/>
          <w:kern w:val="0"/>
          <w:sz w:val="32"/>
          <w:szCs w:val="32"/>
        </w:rPr>
      </w:pPr>
      <w:r>
        <w:rPr>
          <w:rFonts w:hint="eastAsia" w:ascii="黑体" w:hAnsi="黑体" w:eastAsia="黑体" w:cs="黑体"/>
          <w:bCs w:val="0"/>
          <w:kern w:val="0"/>
          <w:sz w:val="32"/>
          <w:szCs w:val="32"/>
          <w:lang w:val="en-US" w:eastAsia="zh-CN"/>
        </w:rPr>
        <w:t>五、</w:t>
      </w:r>
      <w:r>
        <w:rPr>
          <w:rStyle w:val="19"/>
          <w:rFonts w:hint="eastAsia" w:ascii="黑体" w:hAnsi="黑体" w:eastAsia="黑体" w:cs="黑体"/>
          <w:b w:val="0"/>
          <w:bCs w:val="0"/>
          <w:i w:val="0"/>
          <w:iCs w:val="0"/>
          <w:caps w:val="0"/>
          <w:color w:val="0F1115"/>
          <w:spacing w:val="0"/>
          <w:kern w:val="0"/>
          <w:sz w:val="32"/>
          <w:szCs w:val="32"/>
          <w:shd w:val="clear" w:fill="FFFFFF"/>
        </w:rPr>
        <w:t>舆情监测服务的履约标准与违约责任</w:t>
      </w:r>
    </w:p>
    <w:p w14:paraId="5D03304B">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rPr>
        <w:t>1</w:t>
      </w:r>
      <w:r>
        <w:rPr>
          <w:rFonts w:hint="eastAsia" w:ascii="仿宋_GB2312" w:hAnsi="仿宋_GB2312" w:eastAsia="仿宋_GB2312" w:cs="仿宋_GB2312"/>
          <w:bCs/>
          <w:i w:val="0"/>
          <w:iCs w:val="0"/>
          <w:caps w:val="0"/>
          <w:spacing w:val="0"/>
          <w:kern w:val="0"/>
          <w:sz w:val="32"/>
          <w:szCs w:val="32"/>
          <w:shd w:val="clear"/>
          <w:lang w:eastAsia="zh-CN"/>
        </w:rPr>
        <w:t>.</w:t>
      </w:r>
      <w:r>
        <w:rPr>
          <w:rFonts w:hint="eastAsia" w:ascii="仿宋_GB2312" w:hAnsi="仿宋_GB2312" w:eastAsia="仿宋_GB2312" w:cs="仿宋_GB2312"/>
          <w:bCs/>
          <w:i w:val="0"/>
          <w:iCs w:val="0"/>
          <w:caps w:val="0"/>
          <w:color w:val="auto"/>
          <w:spacing w:val="0"/>
          <w:kern w:val="0"/>
          <w:sz w:val="32"/>
          <w:szCs w:val="32"/>
          <w:shd w:val="clear" w:fill="auto"/>
        </w:rPr>
        <w:t>在合同约定的服务期内，乙方应</w:t>
      </w:r>
      <w:r>
        <w:rPr>
          <w:rFonts w:hint="eastAsia" w:ascii="仿宋_GB2312" w:hAnsi="仿宋_GB2312" w:eastAsia="仿宋_GB2312" w:cs="仿宋_GB2312"/>
          <w:bCs/>
          <w:i w:val="0"/>
          <w:iCs w:val="0"/>
          <w:caps w:val="0"/>
          <w:color w:val="auto"/>
          <w:spacing w:val="0"/>
          <w:kern w:val="0"/>
          <w:sz w:val="32"/>
          <w:szCs w:val="32"/>
          <w:shd w:val="clear" w:fill="auto"/>
          <w:lang w:val="en-US" w:eastAsia="zh-CN"/>
        </w:rPr>
        <w:t>按照附件2《舆情监测服务标准》的要求，提供</w:t>
      </w:r>
      <w:r>
        <w:rPr>
          <w:rFonts w:hint="eastAsia" w:ascii="仿宋_GB2312" w:hAnsi="仿宋_GB2312" w:eastAsia="仿宋_GB2312" w:cs="仿宋_GB2312"/>
          <w:bCs/>
          <w:i w:val="0"/>
          <w:iCs w:val="0"/>
          <w:caps w:val="0"/>
          <w:color w:val="auto"/>
          <w:spacing w:val="0"/>
          <w:kern w:val="0"/>
          <w:sz w:val="32"/>
          <w:szCs w:val="32"/>
          <w:shd w:val="clear" w:fill="auto"/>
        </w:rPr>
        <w:t>舆情监测服务</w:t>
      </w:r>
      <w:r>
        <w:rPr>
          <w:rFonts w:hint="eastAsia" w:ascii="仿宋_GB2312" w:hAnsi="仿宋_GB2312" w:eastAsia="仿宋_GB2312" w:cs="仿宋_GB2312"/>
          <w:bCs/>
          <w:i w:val="0"/>
          <w:iCs w:val="0"/>
          <w:caps w:val="0"/>
          <w:color w:val="auto"/>
          <w:spacing w:val="0"/>
          <w:kern w:val="0"/>
          <w:sz w:val="32"/>
          <w:szCs w:val="32"/>
          <w:shd w:val="clear" w:fill="auto"/>
          <w:lang w:eastAsia="zh-CN"/>
        </w:rPr>
        <w:t>、</w:t>
      </w:r>
      <w:r>
        <w:rPr>
          <w:rFonts w:hint="eastAsia" w:ascii="仿宋_GB2312" w:hAnsi="仿宋_GB2312" w:eastAsia="仿宋_GB2312" w:cs="仿宋_GB2312"/>
          <w:bCs/>
          <w:i w:val="0"/>
          <w:iCs w:val="0"/>
          <w:caps w:val="0"/>
          <w:color w:val="auto"/>
          <w:spacing w:val="0"/>
          <w:kern w:val="0"/>
          <w:sz w:val="32"/>
          <w:szCs w:val="32"/>
          <w:shd w:val="clear" w:fill="auto"/>
          <w:lang w:val="en-US" w:eastAsia="zh-CN"/>
        </w:rPr>
        <w:t>预警、处置建议及协助服务等</w:t>
      </w:r>
      <w:r>
        <w:rPr>
          <w:rFonts w:hint="eastAsia" w:ascii="仿宋_GB2312" w:hAnsi="仿宋_GB2312" w:eastAsia="仿宋_GB2312" w:cs="仿宋_GB2312"/>
          <w:bCs/>
          <w:i w:val="0"/>
          <w:iCs w:val="0"/>
          <w:caps w:val="0"/>
          <w:color w:val="auto"/>
          <w:spacing w:val="0"/>
          <w:kern w:val="0"/>
          <w:sz w:val="32"/>
          <w:szCs w:val="32"/>
          <w:shd w:val="clear" w:fill="auto"/>
        </w:rPr>
        <w:t>，为甲方</w:t>
      </w:r>
      <w:r>
        <w:rPr>
          <w:rFonts w:hint="eastAsia" w:ascii="仿宋_GB2312" w:hAnsi="仿宋_GB2312" w:eastAsia="仿宋_GB2312" w:cs="仿宋_GB2312"/>
          <w:bCs/>
          <w:i w:val="0"/>
          <w:iCs w:val="0"/>
          <w:caps w:val="0"/>
          <w:color w:val="auto"/>
          <w:spacing w:val="0"/>
          <w:kern w:val="0"/>
          <w:sz w:val="32"/>
          <w:szCs w:val="32"/>
          <w:shd w:val="clear" w:fill="auto"/>
          <w:lang w:val="en-US" w:eastAsia="zh-CN"/>
        </w:rPr>
        <w:t>的舆情管理决策提供专业支持。</w:t>
      </w:r>
    </w:p>
    <w:p w14:paraId="3961C986">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2.舆情预警的定义与分级：本合同所称“舆情预警”，依据附件2第三条分为“红色预警”（重大负面）、“橙色预警”（中等负面）、“蓝色预警”（一般关注）。不同等级的预警适用不同的响应要求。</w:t>
      </w:r>
    </w:p>
    <w:p w14:paraId="7EF54F24">
      <w:pPr>
        <w:pStyle w:val="15"/>
        <w:keepNext w:val="0"/>
        <w:keepLines w:val="0"/>
        <w:pageBreakBefore w:val="0"/>
        <w:widowControl/>
        <w:numPr>
          <w:ilvl w:val="0"/>
          <w:numId w:val="6"/>
        </w:numPr>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预警的及时性要求：</w:t>
      </w:r>
    </w:p>
    <w:p w14:paraId="3DBF3842">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（1）红色预警：乙方须在发现后【30分钟】内，通过双方约定的即时通信工具向甲方指定对接人发出预警，并同时提交初步分析及处置建议。</w:t>
      </w:r>
    </w:p>
    <w:p w14:paraId="2EEDD6E6">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（2）橙色预警：乙方须在发现后【30分钟】内，通过双方约定的即时通信工具向甲方指定对接人发出预警，并同时提交初步分析及处置建议。</w:t>
      </w:r>
    </w:p>
    <w:p w14:paraId="2B980F8B">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（3）蓝色预警：乙方须在当日的《每日舆情简报》中汇总，并注明关注等级及建议跟踪方式。</w:t>
      </w:r>
    </w:p>
    <w:p w14:paraId="33BEBB9F">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若乙方未能在上述时限内发出预警或提交处置建议，每发生一次，甲方有权从本合同舆情监测服务费用总额中扣除违约金：</w:t>
      </w:r>
    </w:p>
    <w:p w14:paraId="4D81DB5D">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·红色预警迟报：人民币【3,000元】</w:t>
      </w:r>
    </w:p>
    <w:p w14:paraId="61B9B4E2">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·橙色预警迟报：人民币【2,000元】</w:t>
      </w:r>
    </w:p>
    <w:p w14:paraId="43B269C2">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·蓝色预警遗漏：人民币【500元】</w:t>
      </w:r>
    </w:p>
    <w:p w14:paraId="0C3087C1">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4.乙方提交的处置建议（包括初步建议及后续《舆情事件处置报告》中的完整建议）应当具备专业性、可操作性，至少包括以下内容：</w:t>
      </w:r>
    </w:p>
    <w:p w14:paraId="37BE54BA">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（1）事件概述与传播路径分析；</w:t>
      </w:r>
    </w:p>
    <w:p w14:paraId="4DB1CF5A">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（2）舆论焦点及风险等级评估；</w:t>
      </w:r>
    </w:p>
    <w:p w14:paraId="570EBF00">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（3）建议的应对策略及具体措施（如：是否发布声明、是否联系媒体、是否启动法律程序等）；</w:t>
      </w:r>
    </w:p>
    <w:p w14:paraId="24503484">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（4）建议的话术模板或声明草稿（如适用）。</w:t>
      </w:r>
    </w:p>
    <w:p w14:paraId="2501E65C">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若乙方提交的处置建议不符合附件2第四条第5款约定的合格标准，甲方有权要求乙方在【12小时】内重新提交。若乙方连续两次提交的建议均不合格，甲方有权视同本次预警未获得有效处置建议，并按本款扣除人民币【2,000元】违约金。</w:t>
      </w:r>
    </w:p>
    <w:p w14:paraId="18F91D9A">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5.乙方的协助义务：</w:t>
      </w:r>
    </w:p>
    <w:p w14:paraId="4C37F194">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经甲方要求，乙方应在合理范围内提供必要的协助执行服务，具体如下：</w:t>
      </w:r>
    </w:p>
    <w:p w14:paraId="1FCD66C2">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（1）合同内媒体的协调发布：</w:t>
      </w:r>
    </w:p>
    <w:p w14:paraId="645695E9">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若甲方要求乙方在附件1《服务清单》所列媒体上发布舆情声明或回应内容，乙方应协助甲方与媒体进行沟通协调，争取发布。该等发布是否成功、是否需要额外付费，取决于具体媒体的排期及政策，乙方应提前向甲方说明情况。</w:t>
      </w:r>
    </w:p>
    <w:p w14:paraId="591701AF">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若发布需要额外支付费用的，乙方须提前向甲方提供费用报价，经甲方书面同意后方可执行，相关费用由甲方另行承担，双方可根据需求签署补充协议。</w:t>
      </w:r>
    </w:p>
    <w:p w14:paraId="6AB58ADC">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（2）合同外媒体的协调：</w:t>
      </w:r>
    </w:p>
    <w:p w14:paraId="584F0EED">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若甲方要求乙方在附件1范围之外的媒体上发布声明或进行舆情引导，乙方应：</w:t>
      </w:r>
    </w:p>
    <w:p w14:paraId="67900866">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1）提前向甲方提供费用报价（包括媒体发稿费、公关服务费等明细）；</w:t>
      </w:r>
    </w:p>
    <w:p w14:paraId="2CB79638">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2）经甲方书面同意后，乙方方可执行；</w:t>
      </w:r>
    </w:p>
    <w:p w14:paraId="0733C9D3">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3）相关费用由甲方另行承担，双方可根据需求签署补充协议，协议生效前乙方不可提前执行，如提前执行或服务则产生的费用由乙方自行承担。</w:t>
      </w:r>
    </w:p>
    <w:p w14:paraId="6BD0EED1">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（3）其他协助：</w:t>
      </w:r>
    </w:p>
    <w:p w14:paraId="37AEF117">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1）协助甲方监测处置措施发布后的舆论反应，提供实时数据反馈；</w:t>
      </w:r>
    </w:p>
    <w:p w14:paraId="5D39DD24">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2）根据事态发展，提供动态调整建议。</w:t>
      </w:r>
    </w:p>
    <w:p w14:paraId="6CE10E3F">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乙方提供上述第（3）项协助服务不额外收取费用。乙方不对甲方最终采取的处置措施及其后果承担责任。乙方不保证任何声明一定能成功发布，但应尽商业上的合理努力。</w:t>
      </w:r>
    </w:p>
    <w:p w14:paraId="654511C4">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default" w:ascii="仿宋_GB2312" w:hAnsi="仿宋_GB2312" w:eastAsia="仿宋_GB2312" w:cs="仿宋_GB2312"/>
          <w:bCs/>
          <w:i w:val="0"/>
          <w:iCs w:val="0"/>
          <w:caps w:val="0"/>
          <w:color w:val="auto"/>
          <w:spacing w:val="0"/>
          <w:kern w:val="0"/>
          <w:sz w:val="32"/>
          <w:szCs w:val="32"/>
          <w:shd w:val="clear" w:fill="auto"/>
          <w:lang w:val="en-US" w:eastAsia="zh-CN"/>
        </w:rPr>
      </w:pPr>
      <w:r>
        <w:rPr>
          <w:rFonts w:hint="default" w:ascii="仿宋_GB2312" w:hAnsi="仿宋_GB2312" w:eastAsia="仿宋_GB2312" w:cs="仿宋_GB2312"/>
          <w:bCs/>
          <w:i w:val="0"/>
          <w:iCs w:val="0"/>
          <w:caps w:val="0"/>
          <w:color w:val="auto"/>
          <w:spacing w:val="0"/>
          <w:kern w:val="0"/>
          <w:sz w:val="32"/>
          <w:szCs w:val="32"/>
          <w:shd w:val="clear" w:fill="auto"/>
          <w:lang w:val="en-US" w:eastAsia="zh-CN"/>
        </w:rPr>
        <w:t>6.责任豁免条款：</w:t>
      </w:r>
    </w:p>
    <w:p w14:paraId="005A8C0C">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default" w:ascii="仿宋_GB2312" w:hAnsi="仿宋_GB2312" w:eastAsia="仿宋_GB2312" w:cs="仿宋_GB2312"/>
          <w:bCs/>
          <w:i w:val="0"/>
          <w:iCs w:val="0"/>
          <w:caps w:val="0"/>
          <w:color w:val="auto"/>
          <w:spacing w:val="0"/>
          <w:kern w:val="0"/>
          <w:sz w:val="32"/>
          <w:szCs w:val="32"/>
          <w:shd w:val="clear" w:fill="auto"/>
          <w:lang w:val="en-US" w:eastAsia="zh-CN"/>
        </w:rPr>
      </w:pPr>
      <w:r>
        <w:rPr>
          <w:rFonts w:hint="default" w:ascii="仿宋_GB2312" w:hAnsi="仿宋_GB2312" w:eastAsia="仿宋_GB2312" w:cs="仿宋_GB2312"/>
          <w:bCs/>
          <w:i w:val="0"/>
          <w:iCs w:val="0"/>
          <w:caps w:val="0"/>
          <w:color w:val="auto"/>
          <w:spacing w:val="0"/>
          <w:kern w:val="0"/>
          <w:sz w:val="32"/>
          <w:szCs w:val="32"/>
          <w:shd w:val="clear" w:fill="auto"/>
          <w:lang w:val="en-US" w:eastAsia="zh-CN"/>
        </w:rPr>
        <w:t>乙方依据本合同及附件2提供的所有处置建议，均为供甲方决策参考的专业意见。甲方有权自主决定是否采纳、如何执行。甲方最终采取的处置措施及其产生的任何后果（包括但不限于舆情进一步发酵、第三方索赔、行政处罚等），均由甲方自行承担，乙方不承担任何责任。但乙方故意提供错误建议或重大过失导致建议严重失实的除外。</w:t>
      </w:r>
    </w:p>
    <w:p w14:paraId="6F139D86">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7.累计违约与解约：</w:t>
      </w:r>
    </w:p>
    <w:p w14:paraId="4E1C728F">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在一个合同年度内，乙方发生本条第3款约定的预警迟报/遗漏：</w:t>
      </w:r>
    </w:p>
    <w:p w14:paraId="2C94BC2C">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·累计超过3次（含）的，甲方有权额外扣除当季度舆情监测服务费用总额的【5%】作为违约责任金；</w:t>
      </w:r>
    </w:p>
    <w:p w14:paraId="596986A5">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eastAsia"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·累计超过5次（含）的，甲方有权额外扣除当季度舆情监测服务费用总额的【10%】作为违约责任金，且甲方有权单方解除本合同。</w:t>
      </w:r>
    </w:p>
    <w:p w14:paraId="02B644A2">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00" w:beforeAutospacing="0" w:after="160" w:afterAutospacing="0" w:line="560" w:lineRule="exact"/>
        <w:ind w:left="0" w:right="0" w:firstLine="640" w:firstLineChars="200"/>
        <w:textAlignment w:val="auto"/>
        <w:rPr>
          <w:rFonts w:hint="default" w:ascii="仿宋_GB2312" w:hAnsi="仿宋_GB2312" w:eastAsia="仿宋_GB2312" w:cs="仿宋_GB2312"/>
          <w:bCs/>
          <w:i w:val="0"/>
          <w:iCs w:val="0"/>
          <w:caps w:val="0"/>
          <w:color w:val="auto"/>
          <w:spacing w:val="0"/>
          <w:kern w:val="0"/>
          <w:sz w:val="32"/>
          <w:szCs w:val="32"/>
          <w:shd w:val="clear" w:fill="auto"/>
          <w:lang w:val="en-US" w:eastAsia="zh-CN"/>
        </w:rPr>
      </w:pPr>
      <w:r>
        <w:rPr>
          <w:rFonts w:hint="eastAsia" w:ascii="仿宋_GB2312" w:hAnsi="仿宋_GB2312" w:eastAsia="仿宋_GB2312" w:cs="仿宋_GB2312"/>
          <w:bCs/>
          <w:i w:val="0"/>
          <w:iCs w:val="0"/>
          <w:caps w:val="0"/>
          <w:color w:val="auto"/>
          <w:spacing w:val="0"/>
          <w:kern w:val="0"/>
          <w:sz w:val="32"/>
          <w:szCs w:val="32"/>
          <w:shd w:val="clear" w:fill="auto"/>
          <w:lang w:val="en-US" w:eastAsia="zh-CN"/>
        </w:rPr>
        <w:t>本条约定的各项违约金及费用扣除，不影响甲方要求乙方继续履行合同义务的权利，也不影响甲方就其他损失向乙方主张赔偿的权利。</w:t>
      </w:r>
    </w:p>
    <w:p w14:paraId="46C70EF7">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0"/>
        <w:rPr>
          <w:rFonts w:ascii="仿宋_GB2312" w:hAnsi="仿宋_GB2312" w:eastAsia="仿宋_GB2312" w:cs="仿宋_GB2312"/>
          <w:b/>
          <w:bCs/>
          <w:kern w:val="0"/>
          <w:sz w:val="32"/>
          <w:szCs w:val="32"/>
        </w:rPr>
      </w:pPr>
      <w:r>
        <w:rPr>
          <w:rFonts w:hint="eastAsia" w:ascii="黑体" w:hAnsi="黑体" w:eastAsia="黑体" w:cs="黑体"/>
          <w:kern w:val="0"/>
          <w:sz w:val="32"/>
          <w:szCs w:val="32"/>
          <w:lang w:val="en-US" w:eastAsia="zh-CN"/>
        </w:rPr>
        <w:t>六</w:t>
      </w:r>
      <w:r>
        <w:rPr>
          <w:rFonts w:hint="eastAsia" w:ascii="黑体" w:hAnsi="黑体" w:eastAsia="黑体" w:cs="黑体"/>
          <w:kern w:val="0"/>
          <w:sz w:val="32"/>
          <w:szCs w:val="32"/>
        </w:rPr>
        <w:t>、知识产权及保密</w:t>
      </w:r>
      <w:r>
        <w:rPr>
          <w:rFonts w:hint="eastAsia" w:ascii="仿宋_GB2312" w:hAnsi="仿宋_GB2312" w:eastAsia="仿宋_GB2312" w:cs="仿宋_GB2312"/>
          <w:b/>
          <w:bCs/>
          <w:kern w:val="0"/>
          <w:sz w:val="32"/>
          <w:szCs w:val="32"/>
        </w:rPr>
        <w:t xml:space="preserve">    </w:t>
      </w:r>
    </w:p>
    <w:p w14:paraId="5D8364E3">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1.甲方向乙方提供的广告内容及相关资料、乙方为履行本合同向甲方提交的文件和设计制作资料的知识产权均归甲方所有（</w:t>
      </w:r>
      <w:r>
        <w:rPr>
          <w:rFonts w:hint="eastAsia" w:ascii="仿宋_GB2312" w:hAnsi="仿宋_GB2312" w:eastAsia="仿宋_GB2312" w:cs="仿宋_GB2312"/>
          <w:bCs/>
          <w:kern w:val="0"/>
          <w:sz w:val="32"/>
          <w:szCs w:val="32"/>
          <w:lang w:eastAsia="zh-Hans"/>
        </w:rPr>
        <w:t>乙方的摄影作品、原创设计图、美术作品及经过第三方授权的内容等除外）</w:t>
      </w:r>
      <w:r>
        <w:rPr>
          <w:rFonts w:hint="eastAsia" w:ascii="仿宋_GB2312" w:hAnsi="仿宋_GB2312" w:eastAsia="仿宋_GB2312" w:cs="仿宋_GB2312"/>
          <w:bCs/>
          <w:kern w:val="0"/>
          <w:sz w:val="32"/>
          <w:szCs w:val="32"/>
        </w:rPr>
        <w:t>，未经甲方书面同意，乙方不能进行超出本合同的使用，不得许可第三方使用。</w:t>
      </w:r>
    </w:p>
    <w:p w14:paraId="22D1043A">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2.乙方保证所提交的文件和设计资料、策划等本合同项下的信息不得侵犯任何第三方合法权益，否则引发的一切纠纷均由乙方自行承担</w:t>
      </w:r>
      <w:r>
        <w:rPr>
          <w:rFonts w:hint="eastAsia" w:ascii="仿宋_GB2312" w:hAnsi="仿宋_GB2312" w:eastAsia="仿宋_GB2312" w:cs="仿宋_GB2312"/>
          <w:bCs/>
          <w:kern w:val="0"/>
          <w:sz w:val="32"/>
          <w:szCs w:val="32"/>
          <w:highlight w:val="none"/>
          <w:lang w:eastAsia="zh-CN"/>
        </w:rPr>
        <w:t>，</w:t>
      </w:r>
      <w:r>
        <w:rPr>
          <w:rFonts w:hint="eastAsia" w:ascii="仿宋_GB2312" w:hAnsi="仿宋_GB2312" w:eastAsia="仿宋_GB2312" w:cs="仿宋_GB2312"/>
          <w:bCs/>
          <w:kern w:val="0"/>
          <w:sz w:val="32"/>
          <w:szCs w:val="32"/>
          <w:highlight w:val="none"/>
          <w:lang w:val="en-US" w:eastAsia="zh-CN"/>
        </w:rPr>
        <w:t>甲方若因此赔偿或产生损失，甲方有权向乙方进行追偿</w:t>
      </w:r>
      <w:r>
        <w:rPr>
          <w:rFonts w:hint="eastAsia" w:ascii="仿宋_GB2312" w:hAnsi="仿宋_GB2312" w:eastAsia="仿宋_GB2312" w:cs="仿宋_GB2312"/>
          <w:bCs/>
          <w:kern w:val="0"/>
          <w:sz w:val="32"/>
          <w:szCs w:val="32"/>
          <w:highlight w:val="none"/>
        </w:rPr>
        <w:t>；因甲方提供的资料而造成的侵权行为，由甲方承担全部法律责任；但若乙方作为专业广告发布者，未尽到合理审查义务导致损失扩大的，乙方应对扩大部分承担相应责任。</w:t>
      </w:r>
    </w:p>
    <w:p w14:paraId="4A267749">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3.双方对本合同内容以及在履行本合同过程中所知晓的有关对方的任何商业资料及信息均应当严格保密，在未获得对方书面认可的情况下不得将此类资料或信息直接或间接透露给任何第三方，或进行超出合同的使用。</w:t>
      </w:r>
    </w:p>
    <w:p w14:paraId="62E536E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kern w:val="0"/>
          <w:sz w:val="32"/>
          <w:szCs w:val="32"/>
        </w:rPr>
        <w:t>4.一</w:t>
      </w:r>
      <w:r>
        <w:rPr>
          <w:rFonts w:hint="eastAsia" w:ascii="仿宋_GB2312" w:hAnsi="仿宋_GB2312" w:eastAsia="仿宋_GB2312" w:cs="仿宋_GB2312"/>
          <w:bCs/>
          <w:sz w:val="32"/>
          <w:szCs w:val="32"/>
        </w:rPr>
        <w:t>方若违反本保密义务的，违约方应赔偿守约方全部损失，损失范围包括但不限于守约方的名誉损失、直接损失和可得利益的损失，以及诉讼费、保全费、评估费、鉴定费、调查费、公证费、律师费，以及向第三方支付的赔偿、为应对第三方的指控而支付的一切费用等，若违约方泄露守约方或上级单位或利益相关方资料信息造成严重后果的，守约方有权向公安机关报案。</w:t>
      </w:r>
    </w:p>
    <w:p w14:paraId="14B1F3CF">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5.本条内容不因合同约定事项的完成、合同的解除或终止而失效。</w:t>
      </w:r>
    </w:p>
    <w:p w14:paraId="00EA3CC6">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0"/>
        <w:rPr>
          <w:rFonts w:ascii="仿宋_GB2312" w:hAnsi="仿宋_GB2312" w:eastAsia="仿宋_GB2312" w:cs="仿宋_GB2312"/>
          <w:bCs/>
          <w:kern w:val="0"/>
          <w:sz w:val="32"/>
          <w:szCs w:val="32"/>
        </w:rPr>
      </w:pPr>
      <w:r>
        <w:rPr>
          <w:rFonts w:hint="eastAsia" w:ascii="黑体" w:hAnsi="黑体" w:eastAsia="黑体" w:cs="黑体"/>
          <w:bCs/>
          <w:kern w:val="0"/>
          <w:sz w:val="32"/>
          <w:szCs w:val="32"/>
          <w:lang w:val="en-US" w:eastAsia="zh-CN"/>
        </w:rPr>
        <w:t>七</w:t>
      </w:r>
      <w:r>
        <w:rPr>
          <w:rFonts w:hint="eastAsia" w:ascii="黑体" w:hAnsi="黑体" w:eastAsia="黑体" w:cs="黑体"/>
          <w:bCs/>
          <w:kern w:val="0"/>
          <w:sz w:val="32"/>
          <w:szCs w:val="32"/>
        </w:rPr>
        <w:t>、双方的权利和义务</w:t>
      </w:r>
    </w:p>
    <w:p w14:paraId="614E4AC8">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1"/>
        <w:rPr>
          <w:rFonts w:ascii="仿宋_GB2312" w:hAnsi="仿宋_GB2312" w:eastAsia="仿宋_GB2312" w:cs="仿宋_GB2312"/>
          <w:bCs/>
          <w:kern w:val="0"/>
          <w:sz w:val="32"/>
          <w:szCs w:val="32"/>
        </w:rPr>
      </w:pPr>
      <w:r>
        <w:rPr>
          <w:rFonts w:hint="eastAsia" w:ascii="楷体" w:hAnsi="楷体" w:eastAsia="楷体" w:cs="楷体"/>
          <w:bCs/>
          <w:kern w:val="0"/>
          <w:sz w:val="32"/>
          <w:szCs w:val="32"/>
        </w:rPr>
        <w:t>（一）甲方的权利和义务</w:t>
      </w:r>
    </w:p>
    <w:p w14:paraId="6011CED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w:t>
      </w:r>
      <w:r>
        <w:rPr>
          <w:rFonts w:hint="eastAsia" w:ascii="仿宋_GB2312" w:hAnsi="仿宋_GB2312" w:eastAsia="仿宋_GB2312" w:cs="仿宋_GB2312"/>
          <w:sz w:val="32"/>
          <w:szCs w:val="32"/>
          <w:highlight w:val="none"/>
        </w:rPr>
        <w:t>甲方应积极配合乙方工作，及时提供乙方所需的项目图片、文字、数据等资料，并确保上述资料均为真实有效，且须符合国家的相关法律法规，同时不得侵犯任何第三方的权益，包括但不限于他人著作权、肖像权、商标权、名誉权及其他民事权利，如因甲方原因导致侵权行为发生，由甲方承担全部法律责任，导致乙方遭受损失的，甲方还应对乙方承担赔偿责任。</w:t>
      </w:r>
    </w:p>
    <w:p w14:paraId="227439D5">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2.甲方有权监督、审核乙方在</w:t>
      </w:r>
      <w:r>
        <w:rPr>
          <w:rFonts w:hint="eastAsia" w:ascii="仿宋_GB2312" w:hAnsi="仿宋_GB2312" w:eastAsia="仿宋_GB2312" w:cs="仿宋_GB2312"/>
          <w:sz w:val="32"/>
          <w:szCs w:val="32"/>
          <w:lang w:val="en-US" w:eastAsia="zh-CN"/>
        </w:rPr>
        <w:t>合同执行期内媒体</w:t>
      </w:r>
      <w:r>
        <w:rPr>
          <w:rFonts w:hint="eastAsia" w:ascii="仿宋_GB2312" w:hAnsi="仿宋_GB2312" w:eastAsia="仿宋_GB2312" w:cs="仿宋_GB2312"/>
          <w:sz w:val="32"/>
          <w:szCs w:val="32"/>
        </w:rPr>
        <w:t>推广各阶段方案、内容、形式、进度、质量等所有工作成果（书面或电子文件形式）。若甲方需向乙方提出要求、建议和意见时，须提前[</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]个工作日以书面形式通知乙方，</w:t>
      </w:r>
      <w:r>
        <w:rPr>
          <w:rFonts w:hint="eastAsia" w:ascii="仿宋_GB2312" w:hAnsi="仿宋_GB2312" w:eastAsia="仿宋_GB2312" w:cs="仿宋_GB2312"/>
          <w:sz w:val="32"/>
          <w:szCs w:val="32"/>
          <w:lang w:eastAsia="zh-Hans"/>
        </w:rPr>
        <w:t>乙方应在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]个工作日内</w:t>
      </w:r>
      <w:r>
        <w:rPr>
          <w:rFonts w:hint="eastAsia" w:ascii="仿宋_GB2312" w:hAnsi="仿宋_GB2312" w:eastAsia="仿宋_GB2312" w:cs="仿宋_GB2312"/>
          <w:sz w:val="32"/>
          <w:szCs w:val="32"/>
          <w:lang w:eastAsia="zh-Hans"/>
        </w:rPr>
        <w:t>及时回应并提出整改方案。</w:t>
      </w:r>
    </w:p>
    <w:p w14:paraId="09DB512B">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lang w:eastAsia="zh-Hans"/>
        </w:rPr>
      </w:pPr>
      <w:r>
        <w:rPr>
          <w:rFonts w:hint="eastAsia" w:ascii="仿宋_GB2312" w:hAnsi="仿宋_GB2312" w:eastAsia="仿宋_GB2312" w:cs="仿宋_GB2312"/>
          <w:sz w:val="32"/>
          <w:szCs w:val="32"/>
        </w:rPr>
        <w:t>3.</w:t>
      </w:r>
      <w:r>
        <w:rPr>
          <w:rFonts w:hint="eastAsia" w:ascii="仿宋_GB2312" w:hAnsi="仿宋_GB2312" w:eastAsia="仿宋_GB2312" w:cs="仿宋_GB2312"/>
          <w:bCs/>
          <w:kern w:val="0"/>
          <w:sz w:val="32"/>
          <w:szCs w:val="32"/>
          <w:lang w:eastAsia="zh-Hans"/>
        </w:rPr>
        <w:t>甲方有权根据推广内容效果和自身需求，与乙方协商每次推广内容的制作时间、上线时间，约定形式包括但不限于微信、电话、口头、电子邮件等形式。</w:t>
      </w:r>
    </w:p>
    <w:p w14:paraId="4C1A8706">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4.如甲方需要变更</w:t>
      </w:r>
      <w:r>
        <w:rPr>
          <w:rFonts w:hint="eastAsia" w:ascii="仿宋_GB2312" w:hAnsi="仿宋_GB2312" w:eastAsia="仿宋_GB2312" w:cs="仿宋_GB2312"/>
          <w:bCs/>
          <w:kern w:val="0"/>
          <w:sz w:val="32"/>
          <w:szCs w:val="32"/>
          <w:lang w:val="en-US" w:eastAsia="zh-CN"/>
        </w:rPr>
        <w:t>媒体投放</w:t>
      </w:r>
      <w:r>
        <w:rPr>
          <w:rFonts w:hint="eastAsia" w:ascii="仿宋_GB2312" w:hAnsi="仿宋_GB2312" w:eastAsia="仿宋_GB2312" w:cs="仿宋_GB2312"/>
          <w:bCs/>
          <w:kern w:val="0"/>
          <w:sz w:val="32"/>
          <w:szCs w:val="32"/>
        </w:rPr>
        <w:t>内容、发布时间或版面规格的，甲方须提前[3]个工作日书面通知乙方，且甲方应向乙方提供其同意变更相关书面确认文件，乙方按文件执行变更后的内容、时间及版面规则，变更前须确认因变更产生的费用及优惠标准变更（如有），若变更后收费或优惠标准产生变化，双方应另行签署补充协议。</w:t>
      </w:r>
    </w:p>
    <w:p w14:paraId="56A06E0A">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5.</w:t>
      </w:r>
      <w:r>
        <w:rPr>
          <w:rFonts w:hint="eastAsia" w:ascii="仿宋_GB2312" w:hAnsi="仿宋_GB2312" w:eastAsia="仿宋_GB2312" w:cs="仿宋_GB2312"/>
          <w:bCs/>
          <w:kern w:val="0"/>
          <w:sz w:val="32"/>
          <w:szCs w:val="32"/>
          <w:lang w:eastAsia="zh-Hans"/>
        </w:rPr>
        <w:t>因甲方原因导致已</w:t>
      </w:r>
      <w:r>
        <w:rPr>
          <w:rFonts w:hint="eastAsia" w:ascii="仿宋_GB2312" w:hAnsi="仿宋_GB2312" w:eastAsia="仿宋_GB2312" w:cs="仿宋_GB2312"/>
          <w:bCs/>
          <w:kern w:val="0"/>
          <w:sz w:val="32"/>
          <w:szCs w:val="32"/>
        </w:rPr>
        <w:t>生成</w:t>
      </w:r>
      <w:r>
        <w:rPr>
          <w:rFonts w:hint="eastAsia" w:ascii="仿宋_GB2312" w:hAnsi="仿宋_GB2312" w:eastAsia="仿宋_GB2312" w:cs="仿宋_GB2312"/>
          <w:bCs/>
          <w:kern w:val="0"/>
          <w:sz w:val="32"/>
          <w:szCs w:val="32"/>
          <w:lang w:eastAsia="zh-Hans"/>
        </w:rPr>
        <w:t>的</w:t>
      </w:r>
      <w:r>
        <w:rPr>
          <w:rFonts w:hint="eastAsia" w:ascii="仿宋_GB2312" w:hAnsi="仿宋_GB2312" w:eastAsia="仿宋_GB2312" w:cs="仿宋_GB2312"/>
          <w:bCs/>
          <w:kern w:val="0"/>
          <w:sz w:val="32"/>
          <w:szCs w:val="32"/>
          <w:lang w:val="en-US" w:eastAsia="zh-CN"/>
        </w:rPr>
        <w:t>媒体投放</w:t>
      </w:r>
      <w:r>
        <w:rPr>
          <w:rFonts w:hint="eastAsia" w:ascii="仿宋_GB2312" w:hAnsi="仿宋_GB2312" w:eastAsia="仿宋_GB2312" w:cs="仿宋_GB2312"/>
          <w:bCs/>
          <w:kern w:val="0"/>
          <w:sz w:val="32"/>
          <w:szCs w:val="32"/>
          <w:lang w:eastAsia="zh-Hans"/>
        </w:rPr>
        <w:t>内容未正常刊发，甲方应按本合同规定支付相应费</w:t>
      </w:r>
      <w:r>
        <w:rPr>
          <w:rFonts w:hint="eastAsia" w:ascii="仿宋_GB2312" w:hAnsi="仿宋_GB2312" w:eastAsia="仿宋_GB2312" w:cs="仿宋_GB2312"/>
          <w:bCs/>
          <w:kern w:val="0"/>
          <w:sz w:val="32"/>
          <w:szCs w:val="32"/>
          <w:lang w:val="en-US" w:eastAsia="zh-CN"/>
        </w:rPr>
        <w:t>用</w:t>
      </w:r>
      <w:r>
        <w:rPr>
          <w:rFonts w:hint="eastAsia" w:ascii="仿宋_GB2312" w:hAnsi="仿宋_GB2312" w:eastAsia="仿宋_GB2312" w:cs="仿宋_GB2312"/>
          <w:bCs/>
          <w:kern w:val="0"/>
          <w:sz w:val="32"/>
          <w:szCs w:val="32"/>
          <w:lang w:eastAsia="zh-Hans"/>
        </w:rPr>
        <w:t>；</w:t>
      </w:r>
      <w:r>
        <w:rPr>
          <w:rFonts w:hint="eastAsia" w:ascii="仿宋_GB2312" w:hAnsi="仿宋_GB2312" w:eastAsia="仿宋_GB2312" w:cs="仿宋_GB2312"/>
          <w:bCs/>
          <w:kern w:val="0"/>
          <w:sz w:val="32"/>
          <w:szCs w:val="32"/>
          <w:highlight w:val="none"/>
          <w:lang w:eastAsia="zh-Hans"/>
        </w:rPr>
        <w:t>涉及赠送资源</w:t>
      </w:r>
      <w:r>
        <w:rPr>
          <w:rFonts w:hint="eastAsia" w:ascii="仿宋_GB2312" w:hAnsi="仿宋_GB2312" w:eastAsia="仿宋_GB2312" w:cs="仿宋_GB2312"/>
          <w:bCs/>
          <w:kern w:val="0"/>
          <w:sz w:val="32"/>
          <w:szCs w:val="32"/>
          <w:highlight w:val="none"/>
        </w:rPr>
        <w:t>（如有）</w:t>
      </w:r>
      <w:r>
        <w:rPr>
          <w:rFonts w:hint="eastAsia" w:ascii="仿宋_GB2312" w:hAnsi="仿宋_GB2312" w:eastAsia="仿宋_GB2312" w:cs="仿宋_GB2312"/>
          <w:bCs/>
          <w:kern w:val="0"/>
          <w:sz w:val="32"/>
          <w:szCs w:val="32"/>
          <w:highlight w:val="none"/>
          <w:lang w:eastAsia="zh-Hans"/>
        </w:rPr>
        <w:t>，</w:t>
      </w:r>
      <w:r>
        <w:rPr>
          <w:rFonts w:hint="eastAsia" w:ascii="仿宋_GB2312" w:hAnsi="仿宋_GB2312" w:eastAsia="仿宋_GB2312" w:cs="仿宋_GB2312"/>
          <w:bCs/>
          <w:kern w:val="0"/>
          <w:sz w:val="32"/>
          <w:szCs w:val="32"/>
          <w:highlight w:val="none"/>
        </w:rPr>
        <w:t>需要</w:t>
      </w:r>
      <w:r>
        <w:rPr>
          <w:rFonts w:hint="eastAsia" w:ascii="仿宋_GB2312" w:hAnsi="仿宋_GB2312" w:eastAsia="仿宋_GB2312" w:cs="仿宋_GB2312"/>
          <w:bCs/>
          <w:kern w:val="0"/>
          <w:sz w:val="32"/>
          <w:szCs w:val="32"/>
          <w:highlight w:val="none"/>
          <w:lang w:eastAsia="zh-Hans"/>
        </w:rPr>
        <w:t>甲方配合出具</w:t>
      </w:r>
      <w:r>
        <w:rPr>
          <w:rFonts w:hint="eastAsia" w:ascii="仿宋_GB2312" w:hAnsi="仿宋_GB2312" w:eastAsia="仿宋_GB2312" w:cs="仿宋_GB2312"/>
          <w:bCs/>
          <w:kern w:val="0"/>
          <w:sz w:val="32"/>
          <w:szCs w:val="32"/>
          <w:highlight w:val="none"/>
          <w:lang w:val="en-US" w:eastAsia="zh-CN"/>
        </w:rPr>
        <w:t>媒体投放</w:t>
      </w:r>
      <w:r>
        <w:rPr>
          <w:rFonts w:hint="eastAsia" w:ascii="仿宋_GB2312" w:hAnsi="仿宋_GB2312" w:eastAsia="仿宋_GB2312" w:cs="仿宋_GB2312"/>
          <w:bCs/>
          <w:kern w:val="0"/>
          <w:sz w:val="32"/>
          <w:szCs w:val="32"/>
          <w:highlight w:val="none"/>
          <w:lang w:eastAsia="zh-Hans"/>
        </w:rPr>
        <w:t>素材的，需在</w:t>
      </w:r>
      <w:r>
        <w:rPr>
          <w:rFonts w:hint="eastAsia" w:ascii="仿宋_GB2312" w:hAnsi="仿宋_GB2312" w:eastAsia="仿宋_GB2312" w:cs="仿宋_GB2312"/>
          <w:bCs/>
          <w:kern w:val="0"/>
          <w:sz w:val="32"/>
          <w:szCs w:val="32"/>
          <w:highlight w:val="none"/>
          <w:lang w:val="en-US" w:eastAsia="zh-CN"/>
        </w:rPr>
        <w:t>投放</w:t>
      </w:r>
      <w:r>
        <w:rPr>
          <w:rFonts w:hint="eastAsia" w:ascii="仿宋_GB2312" w:hAnsi="仿宋_GB2312" w:eastAsia="仿宋_GB2312" w:cs="仿宋_GB2312"/>
          <w:bCs/>
          <w:kern w:val="0"/>
          <w:sz w:val="32"/>
          <w:szCs w:val="32"/>
          <w:highlight w:val="none"/>
          <w:lang w:eastAsia="zh-Hans"/>
        </w:rPr>
        <w:t>发布后一个月内提供</w:t>
      </w:r>
      <w:r>
        <w:rPr>
          <w:rFonts w:hint="eastAsia" w:ascii="仿宋_GB2312" w:hAnsi="仿宋_GB2312" w:eastAsia="仿宋_GB2312" w:cs="仿宋_GB2312"/>
          <w:bCs/>
          <w:kern w:val="0"/>
          <w:sz w:val="32"/>
          <w:szCs w:val="32"/>
          <w:highlight w:val="none"/>
          <w:lang w:val="en-US" w:eastAsia="zh-CN"/>
        </w:rPr>
        <w:t>验收相关材料</w:t>
      </w:r>
      <w:r>
        <w:rPr>
          <w:rFonts w:hint="eastAsia" w:ascii="仿宋_GB2312" w:hAnsi="仿宋_GB2312" w:eastAsia="仿宋_GB2312" w:cs="仿宋_GB2312"/>
          <w:bCs/>
          <w:kern w:val="0"/>
          <w:sz w:val="32"/>
          <w:szCs w:val="32"/>
          <w:highlight w:val="none"/>
          <w:lang w:eastAsia="zh-Hans"/>
        </w:rPr>
        <w:t>。</w:t>
      </w:r>
    </w:p>
    <w:p w14:paraId="666920A8">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6.甲方/项目公司按本合同的约定向乙方支付</w:t>
      </w:r>
      <w:r>
        <w:rPr>
          <w:rFonts w:hint="eastAsia" w:ascii="仿宋_GB2312" w:hAnsi="仿宋_GB2312" w:eastAsia="仿宋_GB2312" w:cs="仿宋_GB2312"/>
          <w:bCs/>
          <w:kern w:val="0"/>
          <w:sz w:val="32"/>
          <w:szCs w:val="32"/>
          <w:lang w:val="en-US" w:eastAsia="zh-CN"/>
        </w:rPr>
        <w:t>合同</w:t>
      </w:r>
      <w:r>
        <w:rPr>
          <w:rFonts w:hint="eastAsia" w:ascii="仿宋_GB2312" w:hAnsi="仿宋_GB2312" w:eastAsia="仿宋_GB2312" w:cs="仿宋_GB2312"/>
          <w:bCs/>
          <w:kern w:val="0"/>
          <w:sz w:val="32"/>
          <w:szCs w:val="32"/>
        </w:rPr>
        <w:t>费用。</w:t>
      </w:r>
    </w:p>
    <w:p w14:paraId="54108652">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7.本合同涉及</w:t>
      </w:r>
      <w:r>
        <w:rPr>
          <w:rFonts w:hint="eastAsia" w:ascii="仿宋_GB2312" w:hAnsi="仿宋_GB2312" w:eastAsia="仿宋_GB2312" w:cs="仿宋_GB2312"/>
          <w:bCs/>
          <w:kern w:val="0"/>
          <w:sz w:val="32"/>
          <w:szCs w:val="32"/>
          <w:lang w:eastAsia="zh-CN"/>
        </w:rPr>
        <w:t>有关</w:t>
      </w:r>
      <w:r>
        <w:rPr>
          <w:rFonts w:hint="eastAsia" w:ascii="仿宋_GB2312" w:hAnsi="仿宋_GB2312" w:eastAsia="仿宋_GB2312" w:cs="仿宋_GB2312"/>
          <w:bCs/>
          <w:kern w:val="0"/>
          <w:sz w:val="32"/>
          <w:szCs w:val="32"/>
        </w:rPr>
        <w:t>项目成果的全部权利、权益，包括但不限于</w:t>
      </w:r>
      <w:r>
        <w:rPr>
          <w:rFonts w:hint="eastAsia" w:ascii="仿宋_GB2312" w:hAnsi="仿宋_GB2312" w:eastAsia="仿宋_GB2312" w:cs="仿宋_GB2312"/>
          <w:bCs/>
          <w:kern w:val="0"/>
          <w:sz w:val="32"/>
          <w:szCs w:val="32"/>
          <w:lang w:val="en-US" w:eastAsia="zh-CN"/>
        </w:rPr>
        <w:t>媒体投放内容</w:t>
      </w:r>
      <w:r>
        <w:rPr>
          <w:rFonts w:hint="eastAsia" w:ascii="仿宋_GB2312" w:hAnsi="仿宋_GB2312" w:eastAsia="仿宋_GB2312" w:cs="仿宋_GB2312"/>
          <w:bCs/>
          <w:kern w:val="0"/>
          <w:sz w:val="32"/>
          <w:szCs w:val="32"/>
        </w:rPr>
        <w:t>的著作权归属，以及</w:t>
      </w:r>
      <w:r>
        <w:rPr>
          <w:rFonts w:hint="eastAsia" w:ascii="仿宋_GB2312" w:hAnsi="仿宋_GB2312" w:eastAsia="仿宋_GB2312" w:cs="仿宋_GB2312"/>
          <w:bCs/>
          <w:kern w:val="0"/>
          <w:sz w:val="32"/>
          <w:szCs w:val="32"/>
          <w:lang w:val="en-US" w:eastAsia="zh-CN"/>
        </w:rPr>
        <w:t>投放</w:t>
      </w:r>
      <w:r>
        <w:rPr>
          <w:rFonts w:hint="eastAsia" w:ascii="仿宋_GB2312" w:hAnsi="仿宋_GB2312" w:eastAsia="仿宋_GB2312" w:cs="仿宋_GB2312"/>
          <w:bCs/>
          <w:kern w:val="0"/>
          <w:sz w:val="32"/>
          <w:szCs w:val="32"/>
        </w:rPr>
        <w:t>发布所涉及的产品信息及投放过程中产生的一切知识产权，均归甲方所有。</w:t>
      </w:r>
    </w:p>
    <w:p w14:paraId="281287D7">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bCs/>
          <w:kern w:val="0"/>
          <w:sz w:val="32"/>
          <w:szCs w:val="32"/>
          <w:lang w:eastAsia="zh-CN"/>
        </w:rPr>
      </w:pPr>
      <w:r>
        <w:rPr>
          <w:rFonts w:hint="eastAsia" w:ascii="仿宋_GB2312" w:hAnsi="仿宋_GB2312" w:eastAsia="仿宋_GB2312" w:cs="仿宋_GB2312"/>
          <w:bCs/>
          <w:kern w:val="0"/>
          <w:sz w:val="32"/>
          <w:szCs w:val="32"/>
        </w:rPr>
        <w:t>8.甲方/项目公司保证，其向乙方提供的项目资料和/或</w:t>
      </w:r>
      <w:r>
        <w:rPr>
          <w:rFonts w:hint="eastAsia" w:ascii="仿宋_GB2312" w:hAnsi="仿宋_GB2312" w:eastAsia="仿宋_GB2312" w:cs="仿宋_GB2312"/>
          <w:bCs/>
          <w:kern w:val="0"/>
          <w:sz w:val="32"/>
          <w:szCs w:val="32"/>
          <w:lang w:val="en-US" w:eastAsia="zh-CN"/>
        </w:rPr>
        <w:t>媒体投放</w:t>
      </w:r>
      <w:r>
        <w:rPr>
          <w:rFonts w:hint="eastAsia" w:ascii="仿宋_GB2312" w:hAnsi="仿宋_GB2312" w:eastAsia="仿宋_GB2312" w:cs="仿宋_GB2312"/>
          <w:bCs/>
          <w:kern w:val="0"/>
          <w:sz w:val="32"/>
          <w:szCs w:val="32"/>
        </w:rPr>
        <w:t>材料（包括但不限于影像和音乐部分），已获得著作权人及与著作权相关权利的权利人的充分授权，其有权许可乙方按照本协议约定的方式使用前述</w:t>
      </w:r>
      <w:r>
        <w:rPr>
          <w:rFonts w:hint="eastAsia" w:ascii="仿宋_GB2312" w:hAnsi="仿宋_GB2312" w:eastAsia="仿宋_GB2312" w:cs="仿宋_GB2312"/>
          <w:bCs/>
          <w:kern w:val="0"/>
          <w:sz w:val="32"/>
          <w:szCs w:val="32"/>
          <w:lang w:val="en-US" w:eastAsia="zh-CN"/>
        </w:rPr>
        <w:t>媒体投放</w:t>
      </w:r>
      <w:r>
        <w:rPr>
          <w:rFonts w:hint="eastAsia" w:ascii="仿宋_GB2312" w:hAnsi="仿宋_GB2312" w:eastAsia="仿宋_GB2312" w:cs="仿宋_GB2312"/>
          <w:bCs/>
          <w:kern w:val="0"/>
          <w:sz w:val="32"/>
          <w:szCs w:val="32"/>
        </w:rPr>
        <w:t>材料，且乙方无需另行向第三方获取许可，亦无需支付许可费用</w:t>
      </w:r>
      <w:r>
        <w:rPr>
          <w:rFonts w:hint="eastAsia" w:ascii="仿宋_GB2312" w:hAnsi="仿宋_GB2312" w:eastAsia="仿宋_GB2312" w:cs="仿宋_GB2312"/>
          <w:bCs/>
          <w:kern w:val="0"/>
          <w:sz w:val="32"/>
          <w:szCs w:val="32"/>
          <w:lang w:eastAsia="zh-CN"/>
        </w:rPr>
        <w:t>。</w:t>
      </w:r>
    </w:p>
    <w:p w14:paraId="0A32D498">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9.甲方/项目公司保证，其向乙方提供的项目资料和/或</w:t>
      </w:r>
      <w:r>
        <w:rPr>
          <w:rFonts w:hint="eastAsia" w:ascii="仿宋_GB2312" w:hAnsi="仿宋_GB2312" w:eastAsia="仿宋_GB2312" w:cs="仿宋_GB2312"/>
          <w:bCs/>
          <w:kern w:val="0"/>
          <w:sz w:val="32"/>
          <w:szCs w:val="32"/>
          <w:lang w:val="en-US" w:eastAsia="zh-CN"/>
        </w:rPr>
        <w:t>媒体投放</w:t>
      </w:r>
      <w:r>
        <w:rPr>
          <w:rFonts w:hint="eastAsia" w:ascii="仿宋_GB2312" w:hAnsi="仿宋_GB2312" w:eastAsia="仿宋_GB2312" w:cs="仿宋_GB2312"/>
          <w:bCs/>
          <w:kern w:val="0"/>
          <w:sz w:val="32"/>
          <w:szCs w:val="32"/>
        </w:rPr>
        <w:t>材料的全部或任何部分，均不会侵犯任何第三方的合法权益，包括但不限于肖像权、隐私权、名誉权、商誉权或其他合法权益。</w:t>
      </w:r>
    </w:p>
    <w:p w14:paraId="4A218AB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10.如发生甲方/项目公司提供的项目资料和/或</w:t>
      </w:r>
      <w:r>
        <w:rPr>
          <w:rFonts w:hint="eastAsia" w:ascii="仿宋_GB2312" w:hAnsi="仿宋_GB2312" w:eastAsia="仿宋_GB2312" w:cs="仿宋_GB2312"/>
          <w:bCs/>
          <w:kern w:val="0"/>
          <w:sz w:val="32"/>
          <w:szCs w:val="32"/>
          <w:lang w:val="en-US" w:eastAsia="zh-CN"/>
        </w:rPr>
        <w:t>媒体投放</w:t>
      </w:r>
      <w:r>
        <w:rPr>
          <w:rFonts w:hint="eastAsia" w:ascii="仿宋_GB2312" w:hAnsi="仿宋_GB2312" w:eastAsia="仿宋_GB2312" w:cs="仿宋_GB2312"/>
          <w:bCs/>
          <w:kern w:val="0"/>
          <w:sz w:val="32"/>
          <w:szCs w:val="32"/>
        </w:rPr>
        <w:t>材料侵犯第三方知识产权和/或其他合法权益的情形，甲方应当独自负责处理相关纠纷，并向第三方进行赔偿。</w:t>
      </w:r>
    </w:p>
    <w:p w14:paraId="34A19C6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both"/>
        <w:textAlignment w:val="auto"/>
        <w:rPr>
          <w:rFonts w:hint="default"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11.若因甲方提供的项目资料和/或媒体投放材料违反法律法规，且该等违法情形非经乙方合理审查所能发现，导致乙方受到行政处罚的，经乙方提供生效的行政处罚决定书等凭证后，甲方承担相应的罚款。乙方因自身未履行法定审查义务而导致的行政处罚，由乙方自行承担。</w:t>
      </w:r>
    </w:p>
    <w:p w14:paraId="1B20B66D">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outlineLvl w:val="1"/>
        <w:rPr>
          <w:rFonts w:ascii="仿宋_GB2312" w:hAnsi="仿宋_GB2312" w:eastAsia="仿宋_GB2312" w:cs="仿宋_GB2312"/>
          <w:bCs/>
          <w:kern w:val="0"/>
          <w:sz w:val="32"/>
          <w:szCs w:val="32"/>
        </w:rPr>
      </w:pPr>
      <w:r>
        <w:rPr>
          <w:rFonts w:hint="eastAsia" w:ascii="楷体" w:hAnsi="楷体" w:eastAsia="楷体" w:cs="楷体"/>
          <w:bCs/>
          <w:kern w:val="0"/>
          <w:sz w:val="32"/>
          <w:szCs w:val="32"/>
        </w:rPr>
        <w:t>（二）乙方的权利和义务</w:t>
      </w:r>
    </w:p>
    <w:p w14:paraId="52948C1A">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w:t>
      </w:r>
      <w:bookmarkStart w:id="1" w:name="_Hlk67497009"/>
      <w:r>
        <w:rPr>
          <w:rFonts w:hint="eastAsia" w:ascii="仿宋_GB2312" w:hAnsi="仿宋_GB2312" w:eastAsia="仿宋_GB2312" w:cs="仿宋_GB2312"/>
          <w:bCs/>
          <w:kern w:val="0"/>
          <w:sz w:val="32"/>
          <w:szCs w:val="32"/>
        </w:rPr>
        <w:t>.乙方承诺具有</w:t>
      </w:r>
      <w:r>
        <w:rPr>
          <w:rFonts w:hint="eastAsia" w:ascii="仿宋_GB2312" w:hAnsi="仿宋_GB2312" w:eastAsia="仿宋_GB2312" w:cs="仿宋_GB2312"/>
          <w:bCs/>
          <w:kern w:val="0"/>
          <w:sz w:val="32"/>
          <w:szCs w:val="32"/>
          <w:lang w:val="en-US" w:eastAsia="zh-CN"/>
        </w:rPr>
        <w:t>履行</w:t>
      </w:r>
      <w:r>
        <w:rPr>
          <w:rFonts w:hint="eastAsia" w:ascii="仿宋_GB2312" w:hAnsi="仿宋_GB2312" w:eastAsia="仿宋_GB2312" w:cs="仿宋_GB2312"/>
          <w:bCs/>
          <w:kern w:val="0"/>
          <w:sz w:val="32"/>
          <w:szCs w:val="32"/>
        </w:rPr>
        <w:t>本合同</w:t>
      </w:r>
      <w:r>
        <w:rPr>
          <w:rFonts w:hint="eastAsia" w:ascii="仿宋_GB2312" w:hAnsi="仿宋_GB2312" w:eastAsia="仿宋_GB2312" w:cs="仿宋_GB2312"/>
          <w:bCs/>
          <w:kern w:val="0"/>
          <w:sz w:val="32"/>
          <w:szCs w:val="32"/>
          <w:lang w:val="en-US" w:eastAsia="zh-CN"/>
        </w:rPr>
        <w:t>所必需的、合法有效的广告经营、发布及代理等全部资质与</w:t>
      </w:r>
      <w:r>
        <w:rPr>
          <w:rFonts w:hint="eastAsia" w:ascii="仿宋_GB2312" w:hAnsi="仿宋_GB2312" w:eastAsia="仿宋_GB2312" w:cs="仿宋_GB2312"/>
          <w:bCs/>
          <w:kern w:val="0"/>
          <w:sz w:val="32"/>
          <w:szCs w:val="32"/>
        </w:rPr>
        <w:t>资格</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bCs/>
          <w:kern w:val="0"/>
          <w:sz w:val="32"/>
          <w:szCs w:val="32"/>
          <w:lang w:val="en-US" w:eastAsia="zh-CN"/>
        </w:rPr>
        <w:t>乙方应在甲方要求时，提供其资质证明文件及与媒体平台合作的有效授权证明。</w:t>
      </w:r>
    </w:p>
    <w:p w14:paraId="56B767B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default" w:ascii="仿宋_GB2312" w:hAnsi="仿宋_GB2312" w:eastAsia="仿宋_GB2312" w:cs="仿宋_GB2312"/>
          <w:bCs/>
          <w:kern w:val="0"/>
          <w:sz w:val="32"/>
          <w:szCs w:val="32"/>
          <w:lang w:val="en-US" w:eastAsia="zh-CN"/>
        </w:rPr>
      </w:pPr>
      <w:r>
        <w:rPr>
          <w:rFonts w:hint="eastAsia" w:ascii="仿宋_GB2312" w:hAnsi="仿宋_GB2312" w:eastAsia="仿宋_GB2312" w:cs="仿宋_GB2312"/>
          <w:bCs/>
          <w:kern w:val="0"/>
          <w:sz w:val="32"/>
          <w:szCs w:val="32"/>
          <w:lang w:val="en-US" w:eastAsia="zh-CN"/>
        </w:rPr>
        <w:t>2.方案预审与确认：对于新媒体整合推广服务，乙方应在每次具体推广活动执行前至少[5]个工作日，向甲方提交包含但不限于推广文案、设计画面、视频脚本、互动策略、详细投放排期及预算构成的方案/计划/排期，经甲方项目负责人书面确认（包括但不限于签字或盖章）后，方可进行后续制作及投放。未经甲方书面确认，乙方不得进行任何形式的发布或主张任何费用。</w:t>
      </w:r>
    </w:p>
    <w:p w14:paraId="35BEF6C4">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lang w:val="en-US" w:eastAsia="zh-CN"/>
        </w:rPr>
        <w:t>3</w:t>
      </w:r>
      <w:r>
        <w:rPr>
          <w:rFonts w:hint="eastAsia" w:ascii="仿宋_GB2312" w:hAnsi="仿宋_GB2312" w:eastAsia="仿宋_GB2312" w:cs="仿宋_GB2312"/>
          <w:bCs/>
          <w:kern w:val="0"/>
          <w:sz w:val="32"/>
          <w:szCs w:val="32"/>
        </w:rPr>
        <w:t>.乙方应建立</w:t>
      </w:r>
      <w:r>
        <w:rPr>
          <w:rFonts w:hint="eastAsia" w:ascii="仿宋_GB2312" w:hAnsi="仿宋_GB2312" w:eastAsia="仿宋_GB2312" w:cs="仿宋_GB2312"/>
          <w:bCs/>
          <w:kern w:val="0"/>
          <w:sz w:val="32"/>
          <w:szCs w:val="32"/>
          <w:lang w:val="en-US" w:eastAsia="zh-CN"/>
        </w:rPr>
        <w:t>媒体投放内容</w:t>
      </w:r>
      <w:r>
        <w:rPr>
          <w:rFonts w:hint="eastAsia" w:ascii="仿宋_GB2312" w:hAnsi="仿宋_GB2312" w:eastAsia="仿宋_GB2312" w:cs="仿宋_GB2312"/>
          <w:bCs/>
          <w:kern w:val="0"/>
          <w:sz w:val="32"/>
          <w:szCs w:val="32"/>
        </w:rPr>
        <w:t>审查制度，配备合格的审查人员，严格按照《中华人民共和国广告法》</w:t>
      </w:r>
      <w:r>
        <w:rPr>
          <w:rFonts w:hint="eastAsia" w:ascii="仿宋_GB2312" w:hAnsi="仿宋_GB2312" w:eastAsia="仿宋_GB2312" w:cs="仿宋_GB2312"/>
          <w:bCs/>
          <w:kern w:val="0"/>
          <w:sz w:val="32"/>
          <w:szCs w:val="32"/>
          <w:lang w:val="en-US" w:eastAsia="zh-CN"/>
        </w:rPr>
        <w:t>及国家其他相关法律法规、政策以及各发布平台的规定</w:t>
      </w:r>
      <w:r>
        <w:rPr>
          <w:rFonts w:hint="eastAsia" w:ascii="仿宋_GB2312" w:hAnsi="仿宋_GB2312" w:eastAsia="仿宋_GB2312" w:cs="仿宋_GB2312"/>
          <w:bCs/>
          <w:kern w:val="0"/>
          <w:sz w:val="32"/>
          <w:szCs w:val="32"/>
        </w:rPr>
        <w:t>履行审查义务。乙方有权审查</w:t>
      </w:r>
      <w:r>
        <w:rPr>
          <w:rFonts w:hint="eastAsia" w:ascii="仿宋_GB2312" w:hAnsi="仿宋_GB2312" w:eastAsia="仿宋_GB2312" w:cs="仿宋_GB2312"/>
          <w:bCs/>
          <w:kern w:val="0"/>
          <w:sz w:val="32"/>
          <w:szCs w:val="32"/>
          <w:lang w:val="en-US" w:eastAsia="zh-CN"/>
        </w:rPr>
        <w:t>投放</w:t>
      </w:r>
      <w:r>
        <w:rPr>
          <w:rFonts w:hint="eastAsia" w:ascii="仿宋_GB2312" w:hAnsi="仿宋_GB2312" w:eastAsia="仿宋_GB2312" w:cs="仿宋_GB2312"/>
          <w:bCs/>
          <w:kern w:val="0"/>
          <w:sz w:val="32"/>
          <w:szCs w:val="32"/>
        </w:rPr>
        <w:t>内容和表现形式，对不符合</w:t>
      </w:r>
      <w:r>
        <w:rPr>
          <w:rFonts w:hint="eastAsia" w:ascii="仿宋_GB2312" w:hAnsi="仿宋_GB2312" w:eastAsia="仿宋_GB2312" w:cs="仿宋_GB2312"/>
          <w:bCs/>
          <w:kern w:val="0"/>
          <w:sz w:val="32"/>
          <w:szCs w:val="32"/>
          <w:lang w:val="en-US" w:eastAsia="zh-CN"/>
        </w:rPr>
        <w:t>上述</w:t>
      </w:r>
      <w:r>
        <w:rPr>
          <w:rFonts w:hint="eastAsia" w:ascii="仿宋_GB2312" w:hAnsi="仿宋_GB2312" w:eastAsia="仿宋_GB2312" w:cs="仿宋_GB2312"/>
          <w:bCs/>
          <w:kern w:val="0"/>
          <w:sz w:val="32"/>
          <w:szCs w:val="32"/>
        </w:rPr>
        <w:t>法律法规或乙方有理由相信如果发布将给其带来不利影响的</w:t>
      </w:r>
      <w:r>
        <w:rPr>
          <w:rFonts w:hint="eastAsia" w:ascii="仿宋_GB2312" w:hAnsi="仿宋_GB2312" w:eastAsia="仿宋_GB2312" w:cs="仿宋_GB2312"/>
          <w:bCs/>
          <w:kern w:val="0"/>
          <w:sz w:val="32"/>
          <w:szCs w:val="32"/>
          <w:lang w:val="en-US" w:eastAsia="zh-CN"/>
        </w:rPr>
        <w:t>投放</w:t>
      </w:r>
      <w:r>
        <w:rPr>
          <w:rFonts w:hint="eastAsia" w:ascii="仿宋_GB2312" w:hAnsi="仿宋_GB2312" w:eastAsia="仿宋_GB2312" w:cs="仿宋_GB2312"/>
          <w:bCs/>
          <w:kern w:val="0"/>
          <w:sz w:val="32"/>
          <w:szCs w:val="32"/>
        </w:rPr>
        <w:t>材料内容和表现形式，乙方有权要求甲方作出修改意见。在甲方作出修改前，乙方有权拒绝发布，因前述原因导致</w:t>
      </w:r>
      <w:r>
        <w:rPr>
          <w:rFonts w:hint="eastAsia" w:ascii="仿宋_GB2312" w:hAnsi="仿宋_GB2312" w:eastAsia="仿宋_GB2312" w:cs="仿宋_GB2312"/>
          <w:bCs/>
          <w:kern w:val="0"/>
          <w:sz w:val="32"/>
          <w:szCs w:val="32"/>
          <w:lang w:val="en-US" w:eastAsia="zh-CN"/>
        </w:rPr>
        <w:t>投放内容</w:t>
      </w:r>
      <w:r>
        <w:rPr>
          <w:rFonts w:hint="eastAsia" w:ascii="仿宋_GB2312" w:hAnsi="仿宋_GB2312" w:eastAsia="仿宋_GB2312" w:cs="仿宋_GB2312"/>
          <w:bCs/>
          <w:kern w:val="0"/>
          <w:sz w:val="32"/>
          <w:szCs w:val="32"/>
        </w:rPr>
        <w:t>延误发布的，乙方不构成违约且不承担相应责任。</w:t>
      </w:r>
    </w:p>
    <w:p w14:paraId="6F8C04AA">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bCs/>
          <w:kern w:val="0"/>
          <w:sz w:val="32"/>
          <w:szCs w:val="32"/>
          <w:lang w:val="en-US" w:eastAsia="zh-CN"/>
        </w:rPr>
      </w:pPr>
      <w:r>
        <w:rPr>
          <w:rFonts w:hint="eastAsia" w:ascii="仿宋_GB2312" w:hAnsi="仿宋_GB2312" w:eastAsia="仿宋_GB2312" w:cs="仿宋_GB2312"/>
          <w:bCs/>
          <w:kern w:val="0"/>
          <w:sz w:val="32"/>
          <w:szCs w:val="32"/>
          <w:lang w:val="en-US" w:eastAsia="zh-CN"/>
        </w:rPr>
        <w:t>4.乙方应确保其制作、发布的所有推广内容，包括文案、图片、视频等，符合</w:t>
      </w:r>
      <w:r>
        <w:rPr>
          <w:rFonts w:hint="eastAsia" w:ascii="仿宋_GB2312" w:hAnsi="仿宋_GB2312" w:eastAsia="仿宋_GB2312" w:cs="仿宋_GB2312"/>
          <w:bCs/>
          <w:kern w:val="0"/>
          <w:sz w:val="32"/>
          <w:szCs w:val="32"/>
        </w:rPr>
        <w:t>《中华人民共和国广告法》</w:t>
      </w:r>
      <w:r>
        <w:rPr>
          <w:rFonts w:hint="eastAsia" w:ascii="仿宋_GB2312" w:hAnsi="仿宋_GB2312" w:eastAsia="仿宋_GB2312" w:cs="仿宋_GB2312"/>
          <w:bCs/>
          <w:kern w:val="0"/>
          <w:sz w:val="32"/>
          <w:szCs w:val="32"/>
          <w:lang w:val="en-US" w:eastAsia="zh-CN"/>
        </w:rPr>
        <w:t>及国家其他相关法律法规、政策以及各发布平台的规定，不得包含任何虚假、误导、违法违规或侵犯第三方合法权益（包括但不限于知识产权、肖像权、名誉权）的内容。因乙方制作或发布的推广内容违反前述规定而产生的全部法律责任（包括但不限于行政处罚、民事赔偿）及纠纷处理责任，均由乙方独立承担，若因此给甲方造成任何损失（包括商誉损失、罚款、赔偿等），乙方应予以全额赔偿。侵权初始材料系甲方提供的除外。</w:t>
      </w:r>
    </w:p>
    <w:bookmarkEnd w:id="1"/>
    <w:p w14:paraId="1629BF60">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bookmarkStart w:id="2" w:name="_Hlk67497075"/>
      <w:r>
        <w:rPr>
          <w:rFonts w:hint="eastAsia" w:ascii="仿宋_GB2312" w:hAnsi="仿宋_GB2312" w:eastAsia="仿宋_GB2312" w:cs="仿宋_GB2312"/>
          <w:bCs/>
          <w:kern w:val="0"/>
          <w:sz w:val="32"/>
          <w:szCs w:val="32"/>
          <w:lang w:val="en-US" w:eastAsia="zh-CN"/>
        </w:rPr>
        <w:t>5</w:t>
      </w:r>
      <w:r>
        <w:rPr>
          <w:rFonts w:hint="eastAsia" w:ascii="仿宋_GB2312" w:hAnsi="仿宋_GB2312" w:eastAsia="仿宋_GB2312" w:cs="仿宋_GB2312"/>
          <w:bCs/>
          <w:kern w:val="0"/>
          <w:sz w:val="32"/>
          <w:szCs w:val="32"/>
        </w:rPr>
        <w:t>.如遇工商行政</w:t>
      </w:r>
      <w:r>
        <w:rPr>
          <w:rFonts w:hint="eastAsia" w:ascii="仿宋_GB2312" w:hAnsi="仿宋_GB2312" w:eastAsia="仿宋_GB2312" w:cs="仿宋_GB2312"/>
          <w:bCs/>
          <w:kern w:val="0"/>
          <w:sz w:val="32"/>
          <w:szCs w:val="32"/>
          <w:lang w:eastAsia="zh-CN"/>
        </w:rPr>
        <w:t>、人民法院</w:t>
      </w:r>
      <w:r>
        <w:rPr>
          <w:rFonts w:hint="eastAsia" w:ascii="仿宋_GB2312" w:hAnsi="仿宋_GB2312" w:eastAsia="仿宋_GB2312" w:cs="仿宋_GB2312"/>
          <w:bCs/>
          <w:kern w:val="0"/>
          <w:sz w:val="32"/>
          <w:szCs w:val="32"/>
        </w:rPr>
        <w:t>等部门要求删除</w:t>
      </w:r>
      <w:r>
        <w:rPr>
          <w:rFonts w:hint="eastAsia" w:ascii="仿宋_GB2312" w:hAnsi="仿宋_GB2312" w:eastAsia="仿宋_GB2312" w:cs="仿宋_GB2312"/>
          <w:bCs/>
          <w:kern w:val="0"/>
          <w:sz w:val="32"/>
          <w:szCs w:val="32"/>
          <w:lang w:eastAsia="zh-CN"/>
        </w:rPr>
        <w:t>已发布内容</w:t>
      </w:r>
      <w:r>
        <w:rPr>
          <w:rFonts w:hint="eastAsia" w:ascii="仿宋_GB2312" w:hAnsi="仿宋_GB2312" w:eastAsia="仿宋_GB2312" w:cs="仿宋_GB2312"/>
          <w:bCs/>
          <w:kern w:val="0"/>
          <w:sz w:val="32"/>
          <w:szCs w:val="32"/>
        </w:rPr>
        <w:t>、提供合同复印件等资料，乙方有权按照行政部门要求执行，且不需承担任何违约责任。</w:t>
      </w:r>
    </w:p>
    <w:p w14:paraId="316B2524">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lang w:val="en-US" w:eastAsia="zh-CN"/>
        </w:rPr>
        <w:t>6</w:t>
      </w:r>
      <w:r>
        <w:rPr>
          <w:rFonts w:hint="eastAsia" w:ascii="仿宋_GB2312" w:hAnsi="仿宋_GB2312" w:eastAsia="仿宋_GB2312" w:cs="仿宋_GB2312"/>
          <w:bCs/>
          <w:kern w:val="0"/>
          <w:sz w:val="32"/>
          <w:szCs w:val="32"/>
        </w:rPr>
        <w:t>.应甲方要求，乙方应当如实提供</w:t>
      </w:r>
      <w:r>
        <w:rPr>
          <w:rFonts w:hint="eastAsia" w:ascii="仿宋_GB2312" w:hAnsi="仿宋_GB2312" w:eastAsia="仿宋_GB2312" w:cs="仿宋_GB2312"/>
          <w:bCs/>
          <w:kern w:val="0"/>
          <w:sz w:val="32"/>
          <w:szCs w:val="32"/>
          <w:lang w:val="en-US" w:eastAsia="zh-CN"/>
        </w:rPr>
        <w:t>媒体资源</w:t>
      </w:r>
      <w:r>
        <w:rPr>
          <w:rFonts w:hint="eastAsia" w:ascii="仿宋_GB2312" w:hAnsi="仿宋_GB2312" w:eastAsia="仿宋_GB2312" w:cs="仿宋_GB2312"/>
          <w:bCs/>
          <w:kern w:val="0"/>
          <w:sz w:val="32"/>
          <w:szCs w:val="32"/>
        </w:rPr>
        <w:t>发布时，媒介覆盖、发行以及其他约定的情况。</w:t>
      </w:r>
    </w:p>
    <w:p w14:paraId="66BA41C0">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Cs/>
          <w:kern w:val="0"/>
          <w:sz w:val="32"/>
          <w:szCs w:val="32"/>
          <w:lang w:val="en-US" w:eastAsia="zh-CN"/>
        </w:rPr>
        <w:t>7</w:t>
      </w:r>
      <w:r>
        <w:rPr>
          <w:rFonts w:hint="eastAsia" w:ascii="仿宋_GB2312" w:hAnsi="仿宋_GB2312" w:eastAsia="仿宋_GB2312" w:cs="仿宋_GB2312"/>
          <w:bCs/>
          <w:kern w:val="0"/>
          <w:sz w:val="32"/>
          <w:szCs w:val="32"/>
        </w:rPr>
        <w:t>.</w:t>
      </w:r>
      <w:r>
        <w:rPr>
          <w:rFonts w:hint="eastAsia" w:ascii="仿宋_GB2312" w:hAnsi="仿宋_GB2312" w:eastAsia="仿宋_GB2312" w:cs="仿宋_GB2312"/>
          <w:sz w:val="32"/>
          <w:szCs w:val="32"/>
        </w:rPr>
        <w:t>因甲方延迟交付乙方所需材料或者延迟确认修改</w:t>
      </w:r>
      <w:r>
        <w:rPr>
          <w:rFonts w:hint="eastAsia" w:ascii="仿宋_GB2312" w:hAnsi="仿宋_GB2312" w:eastAsia="仿宋_GB2312" w:cs="仿宋_GB2312"/>
          <w:sz w:val="32"/>
          <w:szCs w:val="32"/>
          <w:lang w:eastAsia="zh-CN"/>
        </w:rPr>
        <w:t>内容</w:t>
      </w:r>
      <w:r>
        <w:rPr>
          <w:rFonts w:hint="eastAsia" w:ascii="仿宋_GB2312" w:hAnsi="仿宋_GB2312" w:eastAsia="仿宋_GB2312" w:cs="仿宋_GB2312"/>
          <w:sz w:val="32"/>
          <w:szCs w:val="32"/>
        </w:rPr>
        <w:t>，导致乙方延期发布</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，乙方不承担违约责任。</w:t>
      </w:r>
    </w:p>
    <w:p w14:paraId="75CFCA82">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.因乙方媒体平台档期等原因无法在指定日期内投放的，乙方应当于</w:t>
      </w:r>
      <w:r>
        <w:rPr>
          <w:rFonts w:hint="eastAsia" w:ascii="仿宋_GB2312" w:hAnsi="仿宋_GB2312" w:eastAsia="仿宋_GB2312" w:cs="仿宋_GB2312"/>
          <w:sz w:val="32"/>
          <w:szCs w:val="32"/>
          <w:lang w:val="en-US" w:eastAsia="zh-CN"/>
        </w:rPr>
        <w:t>内容</w:t>
      </w:r>
      <w:r>
        <w:rPr>
          <w:rFonts w:hint="eastAsia" w:ascii="仿宋_GB2312" w:hAnsi="仿宋_GB2312" w:eastAsia="仿宋_GB2312" w:cs="仿宋_GB2312"/>
          <w:sz w:val="32"/>
          <w:szCs w:val="32"/>
        </w:rPr>
        <w:t>发布日的3日前以书面形式通知甲方，并应当与甲方协商调整档期时间再作投放。</w:t>
      </w:r>
    </w:p>
    <w:p w14:paraId="60E42893">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.因各移动资讯平台（今日头条、腾讯公众号、百度等）</w:t>
      </w:r>
      <w:r>
        <w:rPr>
          <w:rFonts w:hint="eastAsia" w:ascii="仿宋_GB2312" w:hAnsi="仿宋_GB2312" w:eastAsia="仿宋_GB2312" w:cs="仿宋_GB2312"/>
          <w:sz w:val="32"/>
          <w:szCs w:val="32"/>
          <w:lang w:val="en-US" w:eastAsia="zh-CN"/>
        </w:rPr>
        <w:t>自身技术、政策或档期</w:t>
      </w:r>
      <w:r>
        <w:rPr>
          <w:rFonts w:hint="eastAsia" w:ascii="仿宋_GB2312" w:hAnsi="仿宋_GB2312" w:eastAsia="仿宋_GB2312" w:cs="仿宋_GB2312"/>
          <w:sz w:val="32"/>
          <w:szCs w:val="32"/>
        </w:rPr>
        <w:t>原因，导致</w:t>
      </w:r>
      <w:r>
        <w:rPr>
          <w:rFonts w:hint="eastAsia" w:ascii="仿宋_GB2312" w:hAnsi="仿宋_GB2312" w:eastAsia="仿宋_GB2312" w:cs="仿宋_GB2312"/>
          <w:sz w:val="32"/>
          <w:szCs w:val="32"/>
          <w:lang w:val="en-US" w:eastAsia="zh-CN"/>
        </w:rPr>
        <w:t>双方</w:t>
      </w:r>
      <w:r>
        <w:rPr>
          <w:rFonts w:hint="eastAsia" w:ascii="仿宋_GB2312" w:hAnsi="仿宋_GB2312" w:eastAsia="仿宋_GB2312" w:cs="仿宋_GB2312"/>
          <w:sz w:val="32"/>
          <w:szCs w:val="32"/>
        </w:rPr>
        <w:t>确认的排期表中资源无法</w:t>
      </w:r>
      <w:r>
        <w:rPr>
          <w:rFonts w:hint="eastAsia" w:ascii="仿宋_GB2312" w:hAnsi="仿宋_GB2312" w:eastAsia="仿宋_GB2312" w:cs="仿宋_GB2312"/>
          <w:sz w:val="32"/>
          <w:szCs w:val="32"/>
          <w:lang w:val="en-US" w:eastAsia="zh-CN"/>
        </w:rPr>
        <w:t>按计划</w:t>
      </w:r>
      <w:r>
        <w:rPr>
          <w:rFonts w:hint="eastAsia" w:ascii="仿宋_GB2312" w:hAnsi="仿宋_GB2312" w:eastAsia="仿宋_GB2312" w:cs="仿宋_GB2312"/>
          <w:sz w:val="32"/>
          <w:szCs w:val="32"/>
        </w:rPr>
        <w:t>投放</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乙方应在知悉后[2]小时内通知甲方，并在[12]小时内提供等值或更优的替代资源方案供甲方选择。若无法提供合适替代方案，或同季度内此类情况累计发生[两]次，</w:t>
      </w:r>
      <w:r>
        <w:rPr>
          <w:rFonts w:hint="eastAsia" w:ascii="仿宋_GB2312" w:hAnsi="仿宋_GB2312" w:eastAsia="仿宋_GB2312" w:cs="仿宋_GB2312"/>
          <w:sz w:val="32"/>
          <w:szCs w:val="32"/>
        </w:rPr>
        <w:t>视为乙方无法</w:t>
      </w:r>
      <w:r>
        <w:rPr>
          <w:rFonts w:hint="eastAsia" w:ascii="仿宋_GB2312" w:hAnsi="仿宋_GB2312" w:eastAsia="仿宋_GB2312" w:cs="仿宋_GB2312"/>
          <w:sz w:val="32"/>
          <w:szCs w:val="32"/>
          <w:lang w:val="en-US" w:eastAsia="zh-CN"/>
        </w:rPr>
        <w:t>保障服务稳定性</w:t>
      </w:r>
      <w:r>
        <w:rPr>
          <w:rFonts w:hint="eastAsia" w:ascii="仿宋_GB2312" w:hAnsi="仿宋_GB2312" w:eastAsia="仿宋_GB2312" w:cs="仿宋_GB2312"/>
          <w:sz w:val="32"/>
          <w:szCs w:val="32"/>
        </w:rPr>
        <w:t>，甲方有权</w:t>
      </w:r>
      <w:r>
        <w:rPr>
          <w:rFonts w:hint="eastAsia" w:ascii="仿宋_GB2312" w:hAnsi="仿宋_GB2312" w:eastAsia="仿宋_GB2312" w:cs="仿宋_GB2312"/>
          <w:sz w:val="32"/>
          <w:szCs w:val="32"/>
          <w:lang w:val="en-US" w:eastAsia="zh-CN"/>
        </w:rPr>
        <w:t>单方</w:t>
      </w:r>
      <w:r>
        <w:rPr>
          <w:rFonts w:hint="eastAsia" w:ascii="仿宋_GB2312" w:hAnsi="仿宋_GB2312" w:eastAsia="仿宋_GB2312" w:cs="仿宋_GB2312"/>
          <w:sz w:val="32"/>
          <w:szCs w:val="32"/>
        </w:rPr>
        <w:t>解除合同并要求乙方</w:t>
      </w:r>
      <w:r>
        <w:rPr>
          <w:rFonts w:hint="eastAsia" w:ascii="仿宋_GB2312" w:hAnsi="仿宋_GB2312" w:eastAsia="仿宋_GB2312" w:cs="仿宋_GB2312"/>
          <w:sz w:val="32"/>
          <w:szCs w:val="32"/>
          <w:lang w:val="en-US" w:eastAsia="zh-CN"/>
        </w:rPr>
        <w:t>支付合同预估总价20%的违约金</w:t>
      </w:r>
      <w:r>
        <w:rPr>
          <w:rFonts w:hint="eastAsia" w:ascii="仿宋_GB2312" w:hAnsi="仿宋_GB2312" w:eastAsia="仿宋_GB2312" w:cs="仿宋_GB2312"/>
          <w:sz w:val="32"/>
          <w:szCs w:val="32"/>
          <w:lang w:eastAsia="zh-CN"/>
        </w:rPr>
        <w:t>，甲方解除合同，双方按照实际发布的情况进行结算</w:t>
      </w:r>
      <w:r>
        <w:rPr>
          <w:rFonts w:hint="eastAsia" w:ascii="仿宋_GB2312" w:hAnsi="仿宋_GB2312" w:eastAsia="仿宋_GB2312" w:cs="仿宋_GB2312"/>
          <w:sz w:val="32"/>
          <w:szCs w:val="32"/>
        </w:rPr>
        <w:t>。</w:t>
      </w:r>
    </w:p>
    <w:p w14:paraId="67F9D219">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10.乙方应在每次推广活动结束后[3]个工作日内，向甲方提供真实、完整的投放数据报告（包括但不限于曝光量、点击量、互动量、转化数据及第三方监测平台数据链接等），作为服务成果及结算依据的一部分。</w:t>
      </w:r>
    </w:p>
    <w:p w14:paraId="37C35121">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内容</w:t>
      </w:r>
      <w:r>
        <w:rPr>
          <w:rFonts w:hint="eastAsia" w:ascii="仿宋_GB2312" w:hAnsi="仿宋_GB2312" w:eastAsia="仿宋_GB2312" w:cs="仿宋_GB2312"/>
          <w:sz w:val="32"/>
          <w:szCs w:val="32"/>
        </w:rPr>
        <w:t>投放中，因素材内容、创意调整、营销节点导致投放日期顺延等非乙方原因造成的甲方信息不能如期发布，乙方不承担违约责任。</w:t>
      </w:r>
    </w:p>
    <w:p w14:paraId="3BFECA99">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kern w:val="0"/>
          <w:sz w:val="32"/>
          <w:szCs w:val="32"/>
          <w:lang w:val="en-US" w:eastAsia="zh-CN"/>
        </w:rPr>
        <w:t>12</w:t>
      </w:r>
      <w:r>
        <w:rPr>
          <w:rFonts w:hint="eastAsia" w:ascii="仿宋_GB2312" w:hAnsi="仿宋_GB2312" w:eastAsia="仿宋_GB2312" w:cs="仿宋_GB2312"/>
          <w:bCs/>
          <w:kern w:val="0"/>
          <w:sz w:val="32"/>
          <w:szCs w:val="32"/>
        </w:rPr>
        <w:t>.按本合同的约定向甲方/项目公司收取</w:t>
      </w:r>
      <w:r>
        <w:rPr>
          <w:rFonts w:hint="eastAsia" w:ascii="仿宋_GB2312" w:hAnsi="仿宋_GB2312" w:eastAsia="仿宋_GB2312" w:cs="仿宋_GB2312"/>
          <w:bCs/>
          <w:kern w:val="0"/>
          <w:sz w:val="32"/>
          <w:szCs w:val="32"/>
          <w:lang w:val="en-US" w:eastAsia="zh-CN"/>
        </w:rPr>
        <w:t>合同</w:t>
      </w:r>
      <w:r>
        <w:rPr>
          <w:rFonts w:hint="eastAsia" w:ascii="仿宋_GB2312" w:hAnsi="仿宋_GB2312" w:eastAsia="仿宋_GB2312" w:cs="仿宋_GB2312"/>
          <w:bCs/>
          <w:kern w:val="0"/>
          <w:sz w:val="32"/>
          <w:szCs w:val="32"/>
        </w:rPr>
        <w:t>费用</w:t>
      </w:r>
      <w:r>
        <w:rPr>
          <w:rFonts w:hint="eastAsia" w:ascii="仿宋_GB2312" w:hAnsi="仿宋_GB2312" w:eastAsia="仿宋_GB2312" w:cs="仿宋_GB2312"/>
          <w:bCs/>
          <w:kern w:val="0"/>
          <w:sz w:val="32"/>
          <w:szCs w:val="32"/>
          <w:lang w:eastAsia="zh-CN"/>
        </w:rPr>
        <w:t>，</w:t>
      </w:r>
      <w:r>
        <w:rPr>
          <w:rFonts w:hint="eastAsia" w:ascii="仿宋_GB2312" w:hAnsi="仿宋_GB2312" w:eastAsia="仿宋_GB2312" w:cs="仿宋_GB2312"/>
          <w:kern w:val="0"/>
          <w:sz w:val="32"/>
          <w:szCs w:val="32"/>
          <w:lang w:val="en-US" w:eastAsia="zh-CN"/>
        </w:rPr>
        <w:t>本合同项下所产生的费用乙方应依据双方确认的《服务/结案报告》向各费用主体主张，</w:t>
      </w:r>
      <w:r>
        <w:rPr>
          <w:rFonts w:hint="eastAsia" w:ascii="仿宋_GB2312" w:hAnsi="仿宋_GB2312" w:eastAsia="仿宋_GB2312" w:cs="仿宋_GB2312"/>
          <w:sz w:val="32"/>
          <w:szCs w:val="32"/>
          <w:lang w:val="en-US" w:eastAsia="zh-CN"/>
        </w:rPr>
        <w:t>项目公司与甲方对各费用不承担连带清偿责任，乙方不可向其他费用主体主张不属于其承担的费用</w:t>
      </w:r>
      <w:r>
        <w:rPr>
          <w:rFonts w:hint="eastAsia" w:ascii="仿宋_GB2312" w:hAnsi="仿宋_GB2312" w:eastAsia="仿宋_GB2312" w:cs="仿宋_GB2312"/>
          <w:bCs/>
          <w:kern w:val="0"/>
          <w:sz w:val="32"/>
          <w:szCs w:val="32"/>
        </w:rPr>
        <w:t>。</w:t>
      </w:r>
    </w:p>
    <w:p w14:paraId="3485782C">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rPr>
        <w:t>乙方授权[           ]（电话：[           ]，身份证号：[           ]）为代表，负责与甲方联系。如乙方代表发生变更，乙方应提前[7]个工作日书面告知甲方。</w:t>
      </w:r>
    </w:p>
    <w:bookmarkEnd w:id="2"/>
    <w:p w14:paraId="14435FD5">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0"/>
        <w:rPr>
          <w:rFonts w:ascii="黑体" w:hAnsi="黑体" w:eastAsia="黑体" w:cs="黑体"/>
          <w:kern w:val="0"/>
          <w:sz w:val="32"/>
          <w:szCs w:val="32"/>
        </w:rPr>
      </w:pPr>
      <w:r>
        <w:rPr>
          <w:rFonts w:hint="eastAsia" w:ascii="黑体" w:hAnsi="黑体" w:eastAsia="黑体" w:cs="黑体"/>
          <w:kern w:val="0"/>
          <w:sz w:val="32"/>
          <w:szCs w:val="32"/>
          <w:lang w:val="en-US" w:eastAsia="zh-CN"/>
        </w:rPr>
        <w:t>八</w:t>
      </w:r>
      <w:r>
        <w:rPr>
          <w:rFonts w:hint="eastAsia" w:ascii="黑体" w:hAnsi="黑体" w:eastAsia="黑体" w:cs="黑体"/>
          <w:kern w:val="0"/>
          <w:sz w:val="32"/>
          <w:szCs w:val="32"/>
        </w:rPr>
        <w:t>、违约</w:t>
      </w:r>
      <w:r>
        <w:rPr>
          <w:rFonts w:hint="eastAsia" w:ascii="黑体" w:hAnsi="黑体" w:eastAsia="黑体" w:cs="黑体"/>
          <w:kern w:val="0"/>
          <w:sz w:val="32"/>
          <w:szCs w:val="32"/>
          <w:lang w:eastAsia="zh-Hans"/>
        </w:rPr>
        <w:t>和赔偿</w:t>
      </w:r>
    </w:p>
    <w:p w14:paraId="2060AD09">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val="en-US" w:eastAsia="zh-CN"/>
        </w:rPr>
        <w:t>本合同任何一方违反其在本合同项下的任何保证、承诺或义务，均构成违约，应赔偿因此给守约方造成的全部直接损失。</w:t>
      </w:r>
    </w:p>
    <w:p w14:paraId="25F29D49">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lang w:bidi="ar"/>
        </w:rPr>
      </w:pPr>
      <w:r>
        <w:rPr>
          <w:rFonts w:hint="eastAsia" w:ascii="仿宋_GB2312" w:hAnsi="仿宋_GB2312" w:eastAsia="仿宋_GB2312" w:cs="仿宋_GB2312"/>
          <w:kern w:val="0"/>
          <w:sz w:val="32"/>
          <w:szCs w:val="32"/>
          <w:lang w:val="en-US" w:eastAsia="zh-CN"/>
        </w:rPr>
        <w:t>2.若甲方/项目公司无正当理由逾期支付任何一笔经双方确认的结算款项，每逾期一日，应按当期应付未付金额的万分之三向乙方支付违约金，甲方及项目公司累计支付的利息、违约金、赔偿金等上限不得超过合同</w:t>
      </w:r>
      <w:r>
        <w:rPr>
          <w:rFonts w:hint="eastAsia" w:ascii="仿宋_GB2312" w:hAnsi="仿宋_GB2312" w:eastAsia="仿宋_GB2312" w:cs="仿宋_GB2312"/>
          <w:sz w:val="32"/>
          <w:szCs w:val="32"/>
          <w:lang w:val="en-US" w:eastAsia="zh-CN"/>
        </w:rPr>
        <w:t>预估</w:t>
      </w:r>
      <w:r>
        <w:rPr>
          <w:rFonts w:hint="eastAsia" w:ascii="仿宋_GB2312" w:hAnsi="仿宋_GB2312" w:eastAsia="仿宋_GB2312" w:cs="仿宋_GB2312"/>
          <w:sz w:val="32"/>
          <w:szCs w:val="32"/>
        </w:rPr>
        <w:t>含税总价</w:t>
      </w:r>
      <w:r>
        <w:rPr>
          <w:rFonts w:hint="eastAsia" w:ascii="仿宋_GB2312" w:hAnsi="仿宋_GB2312" w:eastAsia="仿宋_GB2312" w:cs="仿宋_GB2312"/>
          <w:sz w:val="32"/>
          <w:szCs w:val="32"/>
          <w:lang w:val="en-US" w:eastAsia="zh-CN"/>
        </w:rPr>
        <w:t>的5%</w:t>
      </w:r>
      <w:r>
        <w:rPr>
          <w:rFonts w:hint="eastAsia" w:ascii="仿宋_GB2312" w:hAnsi="仿宋_GB2312" w:eastAsia="仿宋_GB2312" w:cs="仿宋_GB2312"/>
          <w:kern w:val="0"/>
          <w:sz w:val="32"/>
          <w:szCs w:val="32"/>
          <w:lang w:val="en-US" w:eastAsia="zh-CN"/>
        </w:rPr>
        <w:t>。</w:t>
      </w:r>
    </w:p>
    <w:p w14:paraId="6BCD1AB8">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bidi="ar"/>
        </w:rPr>
        <w:t>3</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val="en-US" w:eastAsia="zh-CN"/>
        </w:rPr>
        <w:t>舆情服务违约：适用本合同第五条及附件2《舆情监测服务标准》。</w:t>
      </w:r>
    </w:p>
    <w:p w14:paraId="36A7FECE">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推广内容程序违约：若乙方违反本合同第七条第（二）款第2项约定（方案预审与确认），未经甲方书面确认即进行任何形式发布的，每发生一次，应向甲方支付人民币[2000]元违约金，并立即下架相关内容。因此产生的一切费用和损失由乙方承担。</w:t>
      </w:r>
    </w:p>
    <w:p w14:paraId="152D731A">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5.推广内容一般违约：乙方违反合同约定的程序或形式要求（如未按时提交数据报告），但不属于本条第4款所列情形且未构成</w:t>
      </w:r>
      <w:r>
        <w:rPr>
          <w:rFonts w:hint="eastAsia" w:ascii="仿宋_GB2312" w:hAnsi="仿宋_GB2312" w:eastAsia="仿宋_GB2312" w:cs="仿宋_GB2312"/>
          <w:color w:val="C00000"/>
          <w:sz w:val="32"/>
          <w:szCs w:val="32"/>
          <w:lang w:val="en-US" w:eastAsia="zh-CN"/>
        </w:rPr>
        <w:t>第八条第6项</w:t>
      </w:r>
      <w:r>
        <w:rPr>
          <w:rFonts w:hint="eastAsia" w:ascii="仿宋_GB2312" w:hAnsi="仿宋_GB2312" w:eastAsia="仿宋_GB2312" w:cs="仿宋_GB2312"/>
          <w:sz w:val="32"/>
          <w:szCs w:val="32"/>
          <w:lang w:val="en-US" w:eastAsia="zh-CN"/>
        </w:rPr>
        <w:t>情形的，每次应向甲方支付人民币[500]元违约金，并按要求及时补正。</w:t>
      </w:r>
    </w:p>
    <w:p w14:paraId="0937BB4D">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6.推广内容严重违约：若乙方发生的推广内容违约存在以下情形之一的，构成严重违约：</w:t>
      </w:r>
    </w:p>
    <w:p w14:paraId="35FD4A9B">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 发布内容违反《中华人民共和国广告法》等法律法规的禁止性规定，导致甲方面临行政处罚风险；</w:t>
      </w:r>
    </w:p>
    <w:p w14:paraId="19736C17">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 发布内容失当，直接引发附件2所定义的“红色预警”级别舆情，且该失当内容系因乙方未履行主合同第七条第（二）款第3项约定的审查义务所致；</w:t>
      </w:r>
    </w:p>
    <w:p w14:paraId="16E32F81">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③ 发布内容侵犯第三方知识产权、肖像权等合法权益，导致甲方被提起诉讼、仲裁或面临高额索赔（侵权初始材料系甲方提供的除外）；</w:t>
      </w:r>
    </w:p>
    <w:p w14:paraId="30FE2D18">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④ 泄露甲方未公开的项目定价、内部策略等核心商业秘密；</w:t>
      </w:r>
    </w:p>
    <w:p w14:paraId="09BC1185">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⑤ 未经甲方确认，擅自发布项目核心价格、交付承诺等可能对甲方经营造成重大影响的信息；</w:t>
      </w:r>
    </w:p>
    <w:p w14:paraId="46D187F6">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⑥</w:t>
      </w:r>
      <w:r>
        <w:rPr>
          <w:rFonts w:hint="eastAsia" w:ascii="仿宋_GB2312" w:hAnsi="仿宋_GB2312" w:eastAsia="仿宋_GB2312" w:cs="仿宋_GB2312"/>
          <w:color w:val="auto"/>
          <w:sz w:val="32"/>
          <w:szCs w:val="32"/>
          <w:lang w:val="en-US" w:eastAsia="zh-CN"/>
        </w:rPr>
        <w:t xml:space="preserve"> 同一季度内，累计发生三次本条第4款（程序违约）行为，或累计发生五次本条第5款（一般违约）行为。</w:t>
      </w:r>
    </w:p>
    <w:p w14:paraId="7E9EE75C">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发生严重违约的，甲方有权以书面通知方式单方解除合同，自该通知送达乙方之日起合同结束。乙方应向甲方支付合同预估总价[1</w:t>
      </w:r>
      <w:r>
        <w:rPr>
          <w:rFonts w:hint="default"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val="en-US" w:eastAsia="zh-CN"/>
        </w:rPr>
        <w:t>％]的违约金。该违约金不足以弥补甲方全部实际损失的，乙方应予以补足。</w:t>
      </w:r>
    </w:p>
    <w:p w14:paraId="7AB7933E">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7.资质与重大违约：若乙方不具备履行本合同所需的合法经营资质或广告发布代理资格，甲方有权单方解除合同，乙方应承</w:t>
      </w:r>
      <w:r>
        <w:rPr>
          <w:rFonts w:hint="eastAsia" w:ascii="仿宋_GB2312" w:hAnsi="仿宋_GB2312" w:eastAsia="仿宋_GB2312" w:cs="仿宋_GB2312"/>
          <w:color w:val="auto"/>
          <w:sz w:val="32"/>
          <w:szCs w:val="32"/>
          <w:lang w:val="en-US" w:eastAsia="zh-CN"/>
        </w:rPr>
        <w:t>担前款第八条第6项约</w:t>
      </w:r>
      <w:r>
        <w:rPr>
          <w:rFonts w:hint="eastAsia" w:ascii="仿宋_GB2312" w:hAnsi="仿宋_GB2312" w:eastAsia="仿宋_GB2312" w:cs="仿宋_GB2312"/>
          <w:sz w:val="32"/>
          <w:szCs w:val="32"/>
          <w:lang w:val="en-US" w:eastAsia="zh-CN"/>
        </w:rPr>
        <w:t>定的违约责任。</w:t>
      </w:r>
    </w:p>
    <w:p w14:paraId="5E703582">
      <w:pPr>
        <w:pStyle w:val="10"/>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8.责任限制：</w:t>
      </w:r>
      <w:r>
        <w:rPr>
          <w:rFonts w:hint="eastAsia" w:ascii="仿宋_GB2312" w:hAnsi="仿宋_GB2312" w:eastAsia="仿宋_GB2312" w:cs="仿宋_GB2312"/>
          <w:sz w:val="32"/>
          <w:szCs w:val="32"/>
        </w:rPr>
        <w:t>除本合同明确约定或法律另有规定外，任何一方不就另一方任何间接性、附带性、后果性损失（包括利润损失、商誉损失）承担责任。</w:t>
      </w:r>
    </w:p>
    <w:p w14:paraId="45AF3787">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bCs/>
          <w:kern w:val="0"/>
          <w:sz w:val="32"/>
          <w:szCs w:val="32"/>
        </w:rPr>
      </w:pPr>
      <w:r>
        <w:rPr>
          <w:rFonts w:hint="eastAsia" w:ascii="仿宋_GB2312" w:hAnsi="仿宋_GB2312" w:eastAsia="仿宋_GB2312" w:cs="仿宋_GB2312"/>
          <w:sz w:val="32"/>
          <w:szCs w:val="32"/>
          <w:lang w:val="en-US" w:eastAsia="zh-CN"/>
        </w:rPr>
        <w:t xml:space="preserve">9. </w:t>
      </w:r>
      <w:r>
        <w:rPr>
          <w:rFonts w:hint="eastAsia" w:ascii="仿宋_GB2312" w:hAnsi="仿宋_GB2312" w:eastAsia="仿宋_GB2312" w:cs="仿宋_GB2312"/>
          <w:bCs/>
          <w:kern w:val="0"/>
          <w:sz w:val="32"/>
          <w:szCs w:val="32"/>
        </w:rPr>
        <w:t>如因甲方未按本合同的约定提供广告发布资料、修改意见造成广告内容发布迟延或不能发布，乙方不承担违约责任。</w:t>
      </w:r>
    </w:p>
    <w:p w14:paraId="67BF0DB2">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outlineLvl w:val="0"/>
        <w:rPr>
          <w:rFonts w:ascii="仿宋_GB2312" w:hAnsi="仿宋_GB2312" w:eastAsia="仿宋_GB2312" w:cs="仿宋_GB2312"/>
          <w:sz w:val="32"/>
          <w:szCs w:val="32"/>
        </w:rPr>
      </w:pPr>
      <w:r>
        <w:rPr>
          <w:rFonts w:hint="eastAsia" w:ascii="黑体" w:hAnsi="黑体" w:eastAsia="黑体" w:cs="黑体"/>
          <w:bCs/>
          <w:kern w:val="0"/>
          <w:sz w:val="32"/>
          <w:szCs w:val="32"/>
          <w:lang w:val="en-US" w:eastAsia="zh-CN"/>
        </w:rPr>
        <w:t>九</w:t>
      </w:r>
      <w:r>
        <w:rPr>
          <w:rFonts w:hint="eastAsia" w:ascii="黑体" w:hAnsi="黑体" w:eastAsia="黑体" w:cs="黑体"/>
          <w:bCs/>
          <w:kern w:val="0"/>
          <w:sz w:val="32"/>
          <w:szCs w:val="32"/>
        </w:rPr>
        <w:t>、</w:t>
      </w:r>
      <w:r>
        <w:rPr>
          <w:rFonts w:hint="eastAsia" w:ascii="黑体" w:hAnsi="黑体" w:eastAsia="黑体" w:cs="黑体"/>
          <w:sz w:val="32"/>
          <w:szCs w:val="32"/>
        </w:rPr>
        <w:t>保密条款</w:t>
      </w:r>
    </w:p>
    <w:p w14:paraId="6728EB68">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1.在本合同履行期间，合同任一方就所有与本合同相关的公开声明和其他信息的披露需征得另一方书面同意。本合同</w:t>
      </w:r>
      <w:r>
        <w:rPr>
          <w:rFonts w:hint="eastAsia" w:ascii="仿宋_GB2312" w:hAnsi="仿宋_GB2312" w:eastAsia="仿宋_GB2312" w:cs="仿宋_GB2312"/>
          <w:sz w:val="32"/>
          <w:szCs w:val="32"/>
          <w:lang w:eastAsia="zh-CN"/>
        </w:rPr>
        <w:t>任何</w:t>
      </w:r>
      <w:r>
        <w:rPr>
          <w:rFonts w:hint="eastAsia" w:ascii="仿宋_GB2312" w:hAnsi="仿宋_GB2312" w:eastAsia="仿宋_GB2312" w:cs="仿宋_GB2312"/>
          <w:sz w:val="32"/>
          <w:szCs w:val="32"/>
        </w:rPr>
        <w:t>一方应对另一方的保密信息（包括甲方为履行本合同而向乙方提供的所有资料和乙方在本合同项下向甲方提交的工作成果）严格保密，未经信息披露方事先书面许可，不得向合同以外的任何第三方披露，否则，信息披露方有权终止本合同，并要求泄密方支付[5]万元作为违约金。若该等违约金不足以弥补披露方因此遭受的损失的，泄密方仍需承担全部赔偿责任。上述保密责任不涉及以下领域：</w:t>
      </w:r>
    </w:p>
    <w:p w14:paraId="7F301524">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（1）根据法律或有权的行政管理单位、法院或法庭的要求而进行的披露；</w:t>
      </w:r>
    </w:p>
    <w:p w14:paraId="43E12C2B">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（2）属于公有领域的信息（并非违反本合同而形成的结果）。</w:t>
      </w:r>
    </w:p>
    <w:p w14:paraId="52CBD075">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在讨论、签订、执行本合同的过程中，双方保证对所获悉的属于对方的且无法自公开渠道获得的文件及资料（包括但不限于商业秘密、公司计划、运营活动、财务信息、技术信息、经营信息及其他商业秘密）予以保密。未经该资料和文件的提供方书面同意，另一方不得向任何第三方泄露该商业秘密的全部或部分内容。但法律法规另有规定或双方另有约定的除外。保密期限直至该等保密信息进入公共领域为止。</w:t>
      </w:r>
    </w:p>
    <w:p w14:paraId="48F75CCC">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3.保密条款系独立条款，不因本合同未生效、被撤销、变更、解除或终止而无效。</w:t>
      </w:r>
    </w:p>
    <w:p w14:paraId="49AA2565">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outlineLvl w:val="0"/>
        <w:rPr>
          <w:rFonts w:ascii="黑体" w:hAnsi="黑体" w:eastAsia="黑体" w:cs="黑体"/>
          <w:sz w:val="32"/>
          <w:szCs w:val="32"/>
        </w:rPr>
      </w:pPr>
      <w:r>
        <w:rPr>
          <w:rFonts w:hint="eastAsia" w:ascii="黑体" w:hAnsi="黑体" w:eastAsia="黑体" w:cs="黑体"/>
          <w:sz w:val="32"/>
          <w:szCs w:val="32"/>
        </w:rPr>
        <w:t>十、免责条款</w:t>
      </w:r>
    </w:p>
    <w:p w14:paraId="490AEE10">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1.本合同所称不可抗力，是指本合同各方不可预见，而且对其发生和产生的后果不能预防或不可避免且不可克服的客观情况，包括但不限于：战争、严重火灾、洪水、台风、地震、国家政策的重大变化等。</w:t>
      </w:r>
    </w:p>
    <w:p w14:paraId="173C7D53">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2.本合同任何一方因不可抗力不能履行或不能完全履行本合同的义务时，应在不可抗力发生之日起[7]日内通知本合同的其他方，并在不可抗力发生之日起[15]日内向其他方提供由有关部门出具的不可抗力证明。否则，未受影响方有权向该方请求赔偿。</w:t>
      </w:r>
    </w:p>
    <w:p w14:paraId="781C8EFD">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3.因不可抗力不能履行合同的，根据不可抗力的影响，受影响方可免除部分或全部责任，但法律另有规定的除外，延迟履行合同后发生不可抗力的，不能免除责任。</w:t>
      </w:r>
    </w:p>
    <w:p w14:paraId="1E8418E8">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jc w:val="left"/>
        <w:textAlignment w:val="auto"/>
        <w:outlineLvl w:val="9"/>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4.如果因不可抗力的影响致使本合同终止履行的，任何一方均有权终止本合同，并书面通知对方。</w:t>
      </w:r>
    </w:p>
    <w:p w14:paraId="4F8DF605">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outlineLvl w:val="0"/>
        <w:rPr>
          <w:rFonts w:ascii="黑体" w:hAnsi="黑体" w:eastAsia="黑体" w:cs="黑体"/>
          <w:bCs/>
          <w:kern w:val="0"/>
          <w:sz w:val="32"/>
          <w:szCs w:val="32"/>
        </w:rPr>
      </w:pPr>
      <w:r>
        <w:rPr>
          <w:rFonts w:hint="eastAsia" w:ascii="黑体" w:hAnsi="黑体" w:eastAsia="黑体" w:cs="黑体"/>
          <w:bCs/>
          <w:kern w:val="0"/>
          <w:sz w:val="32"/>
          <w:szCs w:val="32"/>
        </w:rPr>
        <w:t>十</w:t>
      </w:r>
      <w:r>
        <w:rPr>
          <w:rFonts w:hint="eastAsia" w:ascii="黑体" w:hAnsi="黑体" w:eastAsia="黑体" w:cs="黑体"/>
          <w:sz w:val="32"/>
          <w:szCs w:val="32"/>
          <w:lang w:val="en-US" w:eastAsia="zh-CN"/>
        </w:rPr>
        <w:t>一</w:t>
      </w:r>
      <w:r>
        <w:rPr>
          <w:rFonts w:hint="eastAsia" w:ascii="黑体" w:hAnsi="黑体" w:eastAsia="黑体" w:cs="黑体"/>
          <w:bCs/>
          <w:kern w:val="0"/>
          <w:sz w:val="32"/>
          <w:szCs w:val="32"/>
        </w:rPr>
        <w:t>、争议解决</w:t>
      </w:r>
    </w:p>
    <w:p w14:paraId="19E51255">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jc w:val="lef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1.凡因本合同引起的或与本合同有关的任何争议，双方均应友好协商；协商不成的，向[甲方]所在地有管辖权的人民法院提起诉讼。</w:t>
      </w:r>
    </w:p>
    <w:p w14:paraId="44D45EAB">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2.合同有关争议解决的条款独立存在，合同的变更、解除、终止、无效或者被撤销均不影响其效力。在诉讼期间，除正在进行诉讼的部分外，合同其他部分应继续执行。</w:t>
      </w:r>
    </w:p>
    <w:p w14:paraId="64468749">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outlineLvl w:val="0"/>
        <w:rPr>
          <w:rFonts w:ascii="仿宋_GB2312" w:hAnsi="仿宋_GB2312" w:eastAsia="仿宋_GB2312" w:cs="仿宋_GB2312"/>
          <w:sz w:val="32"/>
          <w:szCs w:val="32"/>
        </w:rPr>
      </w:pPr>
      <w:r>
        <w:rPr>
          <w:rFonts w:hint="eastAsia" w:ascii="黑体" w:hAnsi="黑体" w:eastAsia="黑体" w:cs="黑体"/>
          <w:sz w:val="32"/>
          <w:szCs w:val="32"/>
        </w:rPr>
        <w:t>十</w:t>
      </w:r>
      <w:r>
        <w:rPr>
          <w:rFonts w:hint="eastAsia" w:ascii="黑体" w:hAnsi="黑体" w:eastAsia="黑体" w:cs="黑体"/>
          <w:sz w:val="32"/>
          <w:szCs w:val="32"/>
          <w:lang w:val="en-US" w:eastAsia="zh-CN"/>
        </w:rPr>
        <w:t>二</w:t>
      </w:r>
      <w:r>
        <w:rPr>
          <w:rFonts w:hint="eastAsia" w:ascii="黑体" w:hAnsi="黑体" w:eastAsia="黑体" w:cs="黑体"/>
          <w:sz w:val="32"/>
          <w:szCs w:val="32"/>
        </w:rPr>
        <w:t>、通知的送达</w:t>
      </w:r>
    </w:p>
    <w:p w14:paraId="45C31735">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1.甲乙双方确认各自的合法有效送达地址及联系方式如下</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rPr>
        <w:t>合同履行及争议解决过程中均可按照下列方式进行送达）：</w:t>
      </w:r>
    </w:p>
    <w:p w14:paraId="6EAE2F5F">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甲    方：海口市君实综合开发有限责任公司</w:t>
      </w:r>
    </w:p>
    <w:p w14:paraId="2991DCA2">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送达地址：海南省海口市江东发展大厦C座2层</w:t>
      </w:r>
    </w:p>
    <w:p w14:paraId="246F2952">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收 件 人：               </w:t>
      </w:r>
    </w:p>
    <w:p w14:paraId="3C8AE977">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联系方式：           </w:t>
      </w:r>
    </w:p>
    <w:p w14:paraId="4FAF8D46">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乙    方：</w:t>
      </w:r>
    </w:p>
    <w:p w14:paraId="799DF681">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送达地址：</w:t>
      </w:r>
    </w:p>
    <w:p w14:paraId="529F69B5">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收 件 人：</w:t>
      </w:r>
    </w:p>
    <w:p w14:paraId="5E61F7FB">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联系方式：</w:t>
      </w:r>
    </w:p>
    <w:p w14:paraId="0607F7C2">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一方变更名称、地址、联系人或联系方式的，应当在变更后[2]日内及时书面通知对方当事人，对方当事人实际收到变更通知前的送达仍为有效送达，电子送达与书面送达具有同等法律效力。变更方未及时通知的，对方当事人按照变更前的信息进行送达的仍视为有效送达，因此产生的不利后果由变更方承担。</w:t>
      </w:r>
    </w:p>
    <w:p w14:paraId="3513858E">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3.一方向另一方送达文件，以被送达方的签收日期作为送达日期。通过快递方式送达的，以快递签收日期为送达日期。被送达方拒收或无法送达的，由交邮后第</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日视为已经送达。通过电子文件送达的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自</w:t>
      </w:r>
      <w:r>
        <w:rPr>
          <w:rFonts w:hint="eastAsia" w:ascii="仿宋_GB2312" w:hAnsi="仿宋_GB2312" w:eastAsia="仿宋_GB2312" w:cs="仿宋_GB2312"/>
          <w:sz w:val="32"/>
          <w:szCs w:val="32"/>
        </w:rPr>
        <w:t>前述电子文件内容</w:t>
      </w:r>
      <w:r>
        <w:rPr>
          <w:rFonts w:hint="eastAsia" w:ascii="仿宋_GB2312" w:hAnsi="仿宋_GB2312" w:eastAsia="仿宋_GB2312" w:cs="仿宋_GB2312"/>
          <w:sz w:val="32"/>
          <w:szCs w:val="32"/>
          <w:lang w:val="en-US" w:eastAsia="zh-CN"/>
        </w:rPr>
        <w:t>进入对方数据电文接收系统即视为送达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若送达日为非工作日，则在下一个工作日视为已经送达。</w:t>
      </w:r>
    </w:p>
    <w:p w14:paraId="758FE728">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4.本条款为独立</w:t>
      </w:r>
      <w:r>
        <w:rPr>
          <w:rFonts w:hint="eastAsia" w:ascii="仿宋_GB2312" w:hAnsi="仿宋_GB2312" w:eastAsia="仿宋_GB2312" w:cs="仿宋_GB2312"/>
          <w:sz w:val="32"/>
          <w:szCs w:val="32"/>
          <w:lang w:eastAsia="zh-CN"/>
        </w:rPr>
        <w:t>条款</w:t>
      </w:r>
      <w:r>
        <w:rPr>
          <w:rFonts w:hint="eastAsia" w:ascii="仿宋_GB2312" w:hAnsi="仿宋_GB2312" w:eastAsia="仿宋_GB2312" w:cs="仿宋_GB2312"/>
          <w:sz w:val="32"/>
          <w:szCs w:val="32"/>
        </w:rPr>
        <w:t>，不受合同整体或其他条款的效力的影响，始终有效。</w:t>
      </w:r>
    </w:p>
    <w:p w14:paraId="0B21E776">
      <w:pPr>
        <w:keepNext w:val="0"/>
        <w:keepLines w:val="0"/>
        <w:pageBreakBefore w:val="0"/>
        <w:kinsoku/>
        <w:wordWrap/>
        <w:overflowPunct/>
        <w:topLinePunct w:val="0"/>
        <w:autoSpaceDE/>
        <w:autoSpaceDN/>
        <w:bidi w:val="0"/>
        <w:adjustRightInd/>
        <w:snapToGrid/>
        <w:spacing w:before="100" w:beforeAutospacing="0" w:line="560" w:lineRule="exact"/>
        <w:ind w:firstLine="672" w:firstLineChars="200"/>
        <w:textAlignment w:val="auto"/>
        <w:outlineLvl w:val="0"/>
        <w:rPr>
          <w:rFonts w:ascii="黑体" w:hAnsi="黑体" w:eastAsia="黑体" w:cs="黑体"/>
          <w:sz w:val="32"/>
          <w:szCs w:val="32"/>
        </w:rPr>
      </w:pPr>
      <w:r>
        <w:rPr>
          <w:rFonts w:hint="eastAsia" w:ascii="黑体" w:hAnsi="黑体" w:eastAsia="黑体" w:cs="黑体"/>
          <w:spacing w:val="8"/>
          <w:sz w:val="32"/>
          <w:szCs w:val="32"/>
        </w:rPr>
        <w:t>十</w:t>
      </w:r>
      <w:r>
        <w:rPr>
          <w:rFonts w:hint="eastAsia" w:ascii="黑体" w:hAnsi="黑体" w:eastAsia="黑体" w:cs="黑体"/>
          <w:spacing w:val="8"/>
          <w:sz w:val="32"/>
          <w:szCs w:val="32"/>
          <w:lang w:val="en-US" w:eastAsia="zh-CN"/>
        </w:rPr>
        <w:t>三</w:t>
      </w:r>
      <w:r>
        <w:rPr>
          <w:rFonts w:hint="eastAsia" w:ascii="黑体" w:hAnsi="黑体" w:eastAsia="黑体" w:cs="黑体"/>
          <w:spacing w:val="8"/>
          <w:sz w:val="32"/>
          <w:szCs w:val="32"/>
        </w:rPr>
        <w:t>、</w:t>
      </w:r>
      <w:r>
        <w:rPr>
          <w:rFonts w:hint="eastAsia" w:ascii="黑体" w:hAnsi="黑体" w:eastAsia="黑体" w:cs="黑体"/>
          <w:sz w:val="32"/>
          <w:szCs w:val="32"/>
        </w:rPr>
        <w:t>其他</w:t>
      </w:r>
    </w:p>
    <w:p w14:paraId="757D9A10">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1.本合同未尽事宜，双方可另行签订补充协议，补充协议与本合同具有同等法律效力。</w:t>
      </w:r>
    </w:p>
    <w:p w14:paraId="2464007B">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2.本合同自双方法定代表人或授权代表人签字并盖章之日起生效，有效期至[乙方提供完成全部服务且甲方/项目公司支付完毕全部合同款项]。</w:t>
      </w:r>
    </w:p>
    <w:p w14:paraId="52C549FA">
      <w:pPr>
        <w:keepNext w:val="0"/>
        <w:keepLines w:val="0"/>
        <w:pageBreakBefore w:val="0"/>
        <w:widowControl/>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3.本合同一式柒份，由甲方执肆份，乙方执叁份，具有同等法律效力。</w:t>
      </w:r>
    </w:p>
    <w:p w14:paraId="683222E8">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lang w:val="en-US" w:eastAsia="zh-CN"/>
        </w:rPr>
        <w:t>若因乙方原因，在合同签订时存在资质造假或提供虚假消息，导致合同无效的，</w:t>
      </w:r>
      <w:r>
        <w:rPr>
          <w:rFonts w:hint="eastAsia" w:ascii="仿宋_GB2312" w:hAnsi="仿宋_GB2312" w:eastAsia="仿宋_GB2312" w:cs="仿宋_GB2312"/>
          <w:color w:val="auto"/>
          <w:sz w:val="32"/>
          <w:szCs w:val="32"/>
        </w:rPr>
        <w:t>本合同自始无效，不发生法律效力。如甲方已支付服务费，乙方需于</w:t>
      </w:r>
      <w:r>
        <w:rPr>
          <w:rFonts w:hint="eastAsia" w:ascii="仿宋_GB2312" w:hAnsi="仿宋_GB2312" w:eastAsia="仿宋_GB2312" w:cs="仿宋_GB2312"/>
          <w:sz w:val="32"/>
          <w:szCs w:val="32"/>
        </w:rPr>
        <w:t>合同无效之日起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个工作日内，向甲方退还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若仅为合同履行期间资质到期等可补正情形，甲方应给予乙方不少于【15】个工作日的合理期限进行补正，逾期未能补正的，甲方可单方解除合同</w:t>
      </w:r>
      <w:r>
        <w:rPr>
          <w:rFonts w:hint="eastAsia" w:ascii="仿宋_GB2312" w:hAnsi="仿宋_GB2312" w:eastAsia="仿宋_GB2312" w:cs="仿宋_GB2312"/>
          <w:sz w:val="32"/>
          <w:szCs w:val="32"/>
        </w:rPr>
        <w:t>。</w:t>
      </w:r>
    </w:p>
    <w:p w14:paraId="25E40329">
      <w:pPr>
        <w:keepNext w:val="0"/>
        <w:keepLines w:val="0"/>
        <w:pageBreakBefore w:val="0"/>
        <w:kinsoku/>
        <w:wordWrap/>
        <w:overflowPunct/>
        <w:topLinePunct w:val="0"/>
        <w:autoSpaceDE/>
        <w:autoSpaceDN/>
        <w:bidi w:val="0"/>
        <w:adjustRightInd/>
        <w:snapToGrid/>
        <w:spacing w:before="100" w:before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.合同履行期间，乙方在本项目外出现失信行为或不良行为记录，且影响本合同履约的，甲方有权解除本合同，并有权主张乙方违约责任。</w:t>
      </w:r>
    </w:p>
    <w:p w14:paraId="107B9FCF">
      <w:pPr>
        <w:pStyle w:val="8"/>
        <w:keepNext w:val="0"/>
        <w:keepLines w:val="0"/>
        <w:pageBreakBefore w:val="0"/>
        <w:kinsoku/>
        <w:wordWrap/>
        <w:overflowPunct/>
        <w:topLinePunct w:val="0"/>
        <w:autoSpaceDE/>
        <w:autoSpaceDN/>
        <w:bidi w:val="0"/>
        <w:adjustRightInd/>
        <w:snapToGrid/>
        <w:spacing w:before="100" w:beforeAutospacing="0"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.本合同的附件是本合同不可分割的组成部分，与本合同具有同等法律效力。</w:t>
      </w:r>
    </w:p>
    <w:p w14:paraId="473B111B">
      <w:pPr>
        <w:spacing w:line="560" w:lineRule="exact"/>
        <w:ind w:firstLine="640" w:firstLineChars="200"/>
        <w:rPr>
          <w:rFonts w:hint="eastAsia" w:ascii="仿宋_GB2312" w:hAnsi="仿宋_GB2312" w:eastAsia="仿宋_GB2312" w:cs="仿宋_GB2312"/>
          <w:sz w:val="32"/>
          <w:szCs w:val="32"/>
        </w:rPr>
      </w:pPr>
    </w:p>
    <w:p w14:paraId="56208A73">
      <w:pPr>
        <w:pStyle w:val="8"/>
        <w:spacing w:line="560" w:lineRule="exact"/>
        <w:ind w:firstLine="0" w:firstLineChars="0"/>
        <w:rPr>
          <w:rFonts w:ascii="仿宋_GB2312" w:hAnsi="仿宋_GB2312" w:eastAsia="仿宋_GB2312" w:cs="仿宋_GB2312"/>
          <w:sz w:val="32"/>
          <w:szCs w:val="32"/>
        </w:rPr>
      </w:pPr>
    </w:p>
    <w:p w14:paraId="1414C3F4">
      <w:pPr>
        <w:pStyle w:val="8"/>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服务清单</w:t>
      </w:r>
    </w:p>
    <w:p w14:paraId="230CE4EB">
      <w:pPr>
        <w:pStyle w:val="8"/>
        <w:spacing w:line="56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舆情监测服务标准</w:t>
      </w:r>
    </w:p>
    <w:p w14:paraId="34835038">
      <w:pPr>
        <w:pStyle w:val="8"/>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.乙方工作小组人员名单及简历</w:t>
      </w:r>
    </w:p>
    <w:p w14:paraId="145A772B">
      <w:pPr>
        <w:pStyle w:val="8"/>
        <w:spacing w:line="56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廉政协议书</w:t>
      </w:r>
    </w:p>
    <w:p w14:paraId="317CB20D">
      <w:pPr>
        <w:pStyle w:val="8"/>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.保密承诺函</w:t>
      </w:r>
    </w:p>
    <w:p w14:paraId="26452034">
      <w:pPr>
        <w:pStyle w:val="8"/>
        <w:spacing w:line="560" w:lineRule="exact"/>
        <w:ind w:firstLine="1600" w:firstLine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授权书</w:t>
      </w:r>
    </w:p>
    <w:p w14:paraId="4C8240E3">
      <w:pPr>
        <w:pStyle w:val="8"/>
        <w:spacing w:line="560" w:lineRule="exact"/>
        <w:ind w:firstLine="1600" w:firstLineChars="5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7.供应商信用承诺函</w:t>
      </w:r>
    </w:p>
    <w:p w14:paraId="19C6B031">
      <w:pPr>
        <w:widowControl/>
        <w:spacing w:line="560" w:lineRule="exact"/>
        <w:ind w:firstLine="640" w:firstLineChars="200"/>
        <w:jc w:val="left"/>
        <w:rPr>
          <w:rFonts w:ascii="方正仿宋_GB2312" w:hAnsi="方正仿宋_GB2312" w:eastAsia="方正仿宋_GB2312" w:cs="方正仿宋_GB2312"/>
          <w:bCs/>
          <w:kern w:val="0"/>
          <w:sz w:val="32"/>
          <w:szCs w:val="32"/>
        </w:rPr>
      </w:pPr>
    </w:p>
    <w:p w14:paraId="02B29602">
      <w:pPr>
        <w:pStyle w:val="10"/>
        <w:spacing w:line="560" w:lineRule="exact"/>
        <w:ind w:firstLine="640" w:firstLineChars="200"/>
        <w:rPr>
          <w:rFonts w:ascii="仿宋_GB2312" w:hAnsi="仿宋_GB2312" w:eastAsia="仿宋_GB2312" w:cs="仿宋_GB2312"/>
          <w:sz w:val="32"/>
          <w:szCs w:val="32"/>
        </w:rPr>
      </w:pPr>
      <w:r>
        <w:rPr>
          <w:rFonts w:hint="eastAsia" w:ascii="方正仿宋_GB2312" w:hAnsi="方正仿宋_GB2312" w:eastAsia="方正仿宋_GB2312" w:cs="方正仿宋_GB2312"/>
          <w:sz w:val="32"/>
          <w:szCs w:val="32"/>
        </w:rPr>
        <w:t>【以下无正文，为合同签章页】</w:t>
      </w:r>
    </w:p>
    <w:p w14:paraId="4353E65C">
      <w:pPr>
        <w:widowControl/>
        <w:spacing w:line="24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39497355">
      <w:pPr>
        <w:widowControl/>
        <w:spacing w:line="560" w:lineRule="exac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合同签章页</w:t>
      </w:r>
      <w:r>
        <w:rPr>
          <w:rFonts w:hint="eastAsia" w:ascii="仿宋_GB2312" w:hAnsi="仿宋_GB2312" w:eastAsia="仿宋_GB2312" w:cs="仿宋_GB2312"/>
          <w:sz w:val="32"/>
          <w:szCs w:val="32"/>
          <w:lang w:eastAsia="zh-CN"/>
        </w:rPr>
        <w:t>】</w:t>
      </w:r>
    </w:p>
    <w:p w14:paraId="07314B74">
      <w:pPr>
        <w:widowControl/>
        <w:spacing w:line="560" w:lineRule="exact"/>
        <w:rPr>
          <w:rFonts w:ascii="仿宋_GB2312" w:hAnsi="仿宋_GB2312" w:eastAsia="仿宋_GB2312" w:cs="仿宋_GB2312"/>
          <w:sz w:val="32"/>
          <w:szCs w:val="32"/>
          <w:lang w:eastAsia="zh"/>
        </w:rPr>
      </w:pPr>
      <w:r>
        <w:rPr>
          <w:rFonts w:hint="eastAsia" w:ascii="仿宋_GB2312" w:hAnsi="仿宋_GB2312" w:eastAsia="仿宋_GB2312" w:cs="仿宋_GB2312"/>
          <w:sz w:val="32"/>
          <w:szCs w:val="32"/>
        </w:rPr>
        <w:t>甲方（印章）：</w:t>
      </w:r>
      <w:r>
        <w:rPr>
          <w:rFonts w:hint="eastAsia" w:ascii="仿宋_GB2312" w:hAnsi="仿宋_GB2312" w:eastAsia="仿宋_GB2312" w:cs="仿宋_GB2312"/>
          <w:sz w:val="32"/>
          <w:szCs w:val="32"/>
          <w:lang w:eastAsia="zh"/>
        </w:rPr>
        <w:t>海口市君实综合开发有限责任公司</w:t>
      </w:r>
    </w:p>
    <w:p w14:paraId="0815C9FC">
      <w:pPr>
        <w:widowControl/>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法定或授权代表人（签字/印章）： </w:t>
      </w:r>
    </w:p>
    <w:p w14:paraId="426EBD09">
      <w:pPr>
        <w:widowControl/>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经办人：</w:t>
      </w:r>
    </w:p>
    <w:p w14:paraId="179CC1C6">
      <w:pPr>
        <w:widowControl/>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日期：202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年  月  日</w:t>
      </w:r>
    </w:p>
    <w:p w14:paraId="4C9D58AD">
      <w:pPr>
        <w:spacing w:line="560" w:lineRule="exact"/>
        <w:rPr>
          <w:rFonts w:ascii="仿宋_GB2312" w:hAnsi="仿宋_GB2312" w:eastAsia="仿宋_GB2312" w:cs="仿宋_GB2312"/>
          <w:sz w:val="32"/>
          <w:szCs w:val="32"/>
        </w:rPr>
      </w:pPr>
    </w:p>
    <w:p w14:paraId="13755E75">
      <w:pPr>
        <w:widowControl/>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乙方（印章）：</w:t>
      </w:r>
    </w:p>
    <w:p w14:paraId="78499945">
      <w:pPr>
        <w:widowControl/>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法定或授权代表人（签字/印章）： </w:t>
      </w:r>
    </w:p>
    <w:p w14:paraId="78B12CC6">
      <w:pPr>
        <w:widowControl/>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经办人：</w:t>
      </w:r>
    </w:p>
    <w:p w14:paraId="25D7EC25">
      <w:pPr>
        <w:widowControl/>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日期：202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年  月  日</w:t>
      </w:r>
    </w:p>
    <w:p w14:paraId="2D58A8B5">
      <w:pPr>
        <w:spacing w:line="560" w:lineRule="exact"/>
        <w:rPr>
          <w:rFonts w:ascii="仿宋_GB2312" w:hAnsi="仿宋_GB2312" w:eastAsia="仿宋_GB2312" w:cs="仿宋_GB2312"/>
          <w:sz w:val="32"/>
          <w:szCs w:val="32"/>
        </w:rPr>
      </w:pPr>
    </w:p>
    <w:p w14:paraId="1691C1BD">
      <w:pPr>
        <w:spacing w:line="560" w:lineRule="exact"/>
        <w:rPr>
          <w:rFonts w:hint="eastAsia" w:ascii="仿宋_GB2312" w:hAnsi="仿宋_GB2312" w:eastAsia="仿宋_GB2312" w:cs="仿宋_GB2312"/>
          <w:sz w:val="32"/>
          <w:szCs w:val="32"/>
        </w:rPr>
        <w:sectPr>
          <w:headerReference r:id="rId3" w:type="default"/>
          <w:footerReference r:id="rId4" w:type="default"/>
          <w:pgSz w:w="11900" w:h="16840"/>
          <w:pgMar w:top="2098" w:right="1474" w:bottom="1984" w:left="1587" w:header="1049" w:footer="1049" w:gutter="0"/>
          <w:pgBorders>
            <w:top w:val="none" w:sz="0" w:space="0"/>
            <w:left w:val="none" w:sz="0" w:space="0"/>
            <w:bottom w:val="none" w:sz="0" w:space="0"/>
            <w:right w:val="none" w:sz="0" w:space="0"/>
          </w:pgBorders>
          <w:pgNumType w:fmt="decimal" w:start="1"/>
          <w:cols w:space="720" w:num="1"/>
        </w:sectPr>
      </w:pPr>
      <w:r>
        <w:rPr>
          <w:rFonts w:hint="eastAsia" w:ascii="仿宋_GB2312" w:hAnsi="仿宋_GB2312" w:eastAsia="仿宋_GB2312" w:cs="仿宋_GB2312"/>
          <w:sz w:val="32"/>
          <w:szCs w:val="32"/>
        </w:rPr>
        <w:t>合同签订地：海南省海口市</w:t>
      </w:r>
    </w:p>
    <w:p w14:paraId="6197E4D1">
      <w:pPr>
        <w:spacing w:line="560" w:lineRule="exact"/>
        <w:outlineLvl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14:paraId="68C28D8C">
      <w:pPr>
        <w:pStyle w:val="8"/>
        <w:spacing w:line="240" w:lineRule="auto"/>
        <w:jc w:val="center"/>
        <w:outlineLvl w:val="9"/>
        <w:rPr>
          <w:rFonts w:hint="default"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bCs w:val="0"/>
          <w:sz w:val="44"/>
          <w:szCs w:val="44"/>
          <w:lang w:val="en-US" w:eastAsia="zh-CN"/>
        </w:rPr>
        <w:t>服务清单</w:t>
      </w:r>
    </w:p>
    <w:tbl>
      <w:tblPr>
        <w:tblStyle w:val="17"/>
        <w:tblW w:w="1056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9"/>
        <w:gridCol w:w="1061"/>
        <w:gridCol w:w="3620"/>
        <w:gridCol w:w="1983"/>
        <w:gridCol w:w="621"/>
        <w:gridCol w:w="793"/>
        <w:gridCol w:w="655"/>
        <w:gridCol w:w="767"/>
      </w:tblGrid>
      <w:tr w14:paraId="68225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2" w:hRule="atLeast"/>
          <w:jc w:val="center"/>
        </w:trPr>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4006">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序号</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F620">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服务类别</w:t>
            </w:r>
          </w:p>
        </w:tc>
        <w:tc>
          <w:tcPr>
            <w:tcW w:w="3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373B">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具体内容</w:t>
            </w:r>
          </w:p>
        </w:tc>
        <w:tc>
          <w:tcPr>
            <w:tcW w:w="1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3DA3D">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资质要求</w:t>
            </w: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E7B4">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单位</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3E0FB">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AE76">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含税单价</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A2CD9">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含税总价</w:t>
            </w:r>
          </w:p>
        </w:tc>
      </w:tr>
      <w:tr w14:paraId="343DE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F895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E79F97">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网络舆情监控服务</w:t>
            </w:r>
          </w:p>
        </w:tc>
        <w:tc>
          <w:tcPr>
            <w:tcW w:w="3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C8853">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Style w:val="39"/>
                <w:rFonts w:ascii="仿宋_GB2312" w:hAnsi="仿宋_GB2312" w:eastAsia="仿宋_GB2312" w:cs="仿宋_GB2312"/>
                <w:sz w:val="21"/>
                <w:szCs w:val="21"/>
                <w:lang w:val="en-US" w:eastAsia="zh-CN" w:bidi="ar"/>
              </w:rPr>
              <w:t>1、监测范围：君实公司及其下属子公司在营、在售项目；</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2、舆情监测系统需提供3套定制化监测方案，每套方案包含100个关键词（合计300个关键词），关键词需覆盖品牌名称、产品线、高管信息、行业政策及竞品动态。并支持关键词动态调整，每季度根据舆情趋势及采购人要求优化关键词库。</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3、提供舆情词条智能推送服务（早9:00－晚18:00每日推送）：</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（1）需提供专职舆情监测员监测相关网络舆情信息。专职舆情监测员按约定时间轮班监测，即时抓取相关舆情信息。</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（2）人工二次筛选：对抓取信息进行真实性核查及风险等级评估，分拣出重点事项/项目相关联的敏感舆情，通过即时通讯工具（电话、短信、微信群等）或人工及时推送重要信息提醒。</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4、季度舆情监控报告：需按季度节点撰写舆情监控季报，以展示统计周期内数据传播情况及趋势研判为主，报告包括全网信息量及环比、各平台信息量走势、信息来源分布，敏感信息占比及环比、媒体类型分布、活跃媒体TOP、关键词云图、关注点信息量对比、正负面热点分析及研判建议；</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5、事件速报（2次/年，合计4次）：24小时内专项事件速报，内容需包括事件概述、数据传播情况、观点归纳及快速研判建议等；</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6、事件专报（2次/年，合计4次）：专项事件分析研判，包括事件脉络梳理、传播情况分析、舆论焦点归纳及风险研判建议等。</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7、媒体公关及协调处理服务：</w:t>
            </w:r>
            <w:r>
              <w:rPr>
                <w:rStyle w:val="39"/>
                <w:rFonts w:ascii="仿宋_GB2312" w:hAnsi="仿宋_GB2312" w:eastAsia="仿宋_GB2312" w:cs="仿宋_GB2312"/>
                <w:sz w:val="21"/>
                <w:szCs w:val="21"/>
                <w:lang w:val="en-US" w:eastAsia="zh-CN" w:bidi="ar"/>
              </w:rPr>
              <w:br w:type="textWrapping"/>
            </w:r>
            <w:r>
              <w:rPr>
                <w:rStyle w:val="42"/>
                <w:rFonts w:hint="eastAsia" w:ascii="仿宋_GB2312" w:hAnsi="仿宋_GB2312" w:eastAsia="仿宋_GB2312" w:cs="仿宋_GB2312"/>
                <w:sz w:val="21"/>
                <w:szCs w:val="21"/>
                <w:lang w:val="en-US" w:eastAsia="zh-CN" w:bidi="ar"/>
              </w:rPr>
              <w:t>‌</w:t>
            </w:r>
            <w:r>
              <w:rPr>
                <w:rStyle w:val="39"/>
                <w:rFonts w:ascii="仿宋_GB2312" w:hAnsi="仿宋_GB2312" w:eastAsia="仿宋_GB2312" w:cs="仿宋_GB2312"/>
                <w:sz w:val="21"/>
                <w:szCs w:val="21"/>
                <w:lang w:val="en-US" w:eastAsia="zh-CN" w:bidi="ar"/>
              </w:rPr>
              <w:t>（1）媒体关系维护</w:t>
            </w:r>
            <w:r>
              <w:rPr>
                <w:rStyle w:val="42"/>
                <w:rFonts w:hint="eastAsia" w:ascii="仿宋_GB2312" w:hAnsi="仿宋_GB2312" w:eastAsia="仿宋_GB2312" w:cs="仿宋_GB2312"/>
                <w:sz w:val="21"/>
                <w:szCs w:val="21"/>
                <w:lang w:val="en-US" w:eastAsia="zh-CN" w:bidi="ar"/>
              </w:rPr>
              <w:t>‌</w:t>
            </w:r>
            <w:r>
              <w:rPr>
                <w:rStyle w:val="39"/>
                <w:rFonts w:ascii="仿宋_GB2312" w:hAnsi="仿宋_GB2312" w:eastAsia="仿宋_GB2312" w:cs="仿宋_GB2312"/>
                <w:sz w:val="21"/>
                <w:szCs w:val="21"/>
                <w:lang w:val="en-US" w:eastAsia="zh-CN" w:bidi="ar"/>
              </w:rPr>
              <w:t>：建立媒体资源库，覆盖主流媒体、行业媒体及自媒体，定期更新联系方式与报道偏好、提供行业动态与舆情风向相关消息。</w:t>
            </w:r>
            <w:r>
              <w:rPr>
                <w:rStyle w:val="39"/>
                <w:rFonts w:ascii="仿宋_GB2312" w:hAnsi="仿宋_GB2312" w:eastAsia="仿宋_GB2312" w:cs="仿宋_GB2312"/>
                <w:sz w:val="21"/>
                <w:szCs w:val="21"/>
                <w:lang w:val="en-US" w:eastAsia="zh-CN" w:bidi="ar"/>
              </w:rPr>
              <w:br w:type="textWrapping"/>
            </w:r>
            <w:r>
              <w:rPr>
                <w:rStyle w:val="42"/>
                <w:rFonts w:hint="eastAsia" w:ascii="仿宋_GB2312" w:hAnsi="仿宋_GB2312" w:eastAsia="仿宋_GB2312" w:cs="仿宋_GB2312"/>
                <w:sz w:val="21"/>
                <w:szCs w:val="21"/>
                <w:lang w:val="en-US" w:eastAsia="zh-CN" w:bidi="ar"/>
              </w:rPr>
              <w:t>‌</w:t>
            </w:r>
            <w:r>
              <w:rPr>
                <w:rStyle w:val="39"/>
                <w:rFonts w:ascii="仿宋_GB2312" w:hAnsi="仿宋_GB2312" w:eastAsia="仿宋_GB2312" w:cs="仿宋_GB2312"/>
                <w:sz w:val="21"/>
                <w:szCs w:val="21"/>
                <w:lang w:val="en-US" w:eastAsia="zh-CN" w:bidi="ar"/>
              </w:rPr>
              <w:t>（2）危机公关支持</w:t>
            </w:r>
            <w:r>
              <w:rPr>
                <w:rStyle w:val="42"/>
                <w:rFonts w:hint="eastAsia" w:ascii="仿宋_GB2312" w:hAnsi="仿宋_GB2312" w:eastAsia="仿宋_GB2312" w:cs="仿宋_GB2312"/>
                <w:sz w:val="21"/>
                <w:szCs w:val="21"/>
                <w:lang w:val="en-US" w:eastAsia="zh-CN" w:bidi="ar"/>
              </w:rPr>
              <w:t>‌</w:t>
            </w:r>
            <w:r>
              <w:rPr>
                <w:rStyle w:val="39"/>
                <w:rFonts w:ascii="仿宋_GB2312" w:hAnsi="仿宋_GB2312" w:eastAsia="仿宋_GB2312" w:cs="仿宋_GB2312"/>
                <w:sz w:val="21"/>
                <w:szCs w:val="21"/>
                <w:lang w:val="en-US" w:eastAsia="zh-CN" w:bidi="ar"/>
              </w:rPr>
              <w:t>：</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①针对重大舆情，制定分级响应预案及具体处置建议（包括声明稿草拟、媒体沟通策略、法律行为建议等），供采购人决策参考。</w:t>
            </w:r>
            <w:r>
              <w:rPr>
                <w:rStyle w:val="39"/>
                <w:rFonts w:ascii="仿宋_GB2312" w:hAnsi="仿宋_GB2312" w:eastAsia="仿宋_GB2312" w:cs="仿宋_GB2312"/>
                <w:sz w:val="21"/>
                <w:szCs w:val="21"/>
                <w:lang w:val="en-US" w:eastAsia="zh-CN" w:bidi="ar"/>
              </w:rPr>
              <w:br w:type="textWrapping"/>
            </w:r>
            <w:r>
              <w:rPr>
                <w:rStyle w:val="39"/>
                <w:rFonts w:ascii="仿宋_GB2312" w:hAnsi="仿宋_GB2312" w:eastAsia="仿宋_GB2312" w:cs="仿宋_GB2312"/>
                <w:sz w:val="21"/>
                <w:szCs w:val="21"/>
                <w:lang w:val="en-US" w:eastAsia="zh-CN" w:bidi="ar"/>
              </w:rPr>
              <w:t>②根据采购人决策和书面指示，协助采购人与媒体进行沟通协调，争取有利的发布位置或澄清事实。相关协调结果取决于媒体政策，供应商应尽商业上的合理努力，但不保证结果。</w:t>
            </w:r>
          </w:p>
        </w:tc>
        <w:tc>
          <w:tcPr>
            <w:tcW w:w="19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DF7648">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1"/>
                <w:szCs w:val="21"/>
                <w:u w:val="none"/>
                <w:lang w:val="en-US" w:eastAsia="zh-CN" w:bidi="ar"/>
              </w:rPr>
              <w:t>供应商需自持或负责整合相关服务机构/企业，需持有中国人民共和国国家版权局核发的《计算机软件著作权登记证书》。成交后供应商须向采购人提供《计算机软件著作权登记证书》复印件。</w:t>
            </w:r>
          </w:p>
        </w:tc>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701C">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年</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0C6FB">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E17ED">
            <w:pPr>
              <w:jc w:val="center"/>
              <w:rPr>
                <w:rFonts w:hint="eastAsia" w:ascii="仿宋_GB2312" w:hAnsi="仿宋_GB2312" w:eastAsia="仿宋_GB2312" w:cs="仿宋_GB2312"/>
                <w:i w:val="0"/>
                <w:iCs w:val="0"/>
                <w:color w:val="000000"/>
                <w:sz w:val="24"/>
                <w:szCs w:val="24"/>
                <w:u w:val="none"/>
              </w:rPr>
            </w:pPr>
          </w:p>
        </w:tc>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63CD">
            <w:pPr>
              <w:jc w:val="center"/>
              <w:rPr>
                <w:rFonts w:hint="eastAsia" w:ascii="仿宋_GB2312" w:hAnsi="仿宋_GB2312" w:eastAsia="仿宋_GB2312" w:cs="仿宋_GB2312"/>
                <w:i w:val="0"/>
                <w:iCs w:val="0"/>
                <w:color w:val="000000"/>
                <w:sz w:val="24"/>
                <w:szCs w:val="24"/>
                <w:u w:val="none"/>
              </w:rPr>
            </w:pPr>
          </w:p>
        </w:tc>
      </w:tr>
      <w:tr w14:paraId="7B0BD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E3D03">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29EA3">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B3403">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0E26E">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371B5">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6B0C">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291EA">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5495">
            <w:pPr>
              <w:jc w:val="center"/>
              <w:rPr>
                <w:rFonts w:hint="eastAsia" w:ascii="仿宋_GB2312" w:hAnsi="仿宋_GB2312" w:eastAsia="仿宋_GB2312" w:cs="仿宋_GB2312"/>
                <w:i w:val="0"/>
                <w:iCs w:val="0"/>
                <w:color w:val="000000"/>
                <w:sz w:val="24"/>
                <w:szCs w:val="24"/>
                <w:u w:val="none"/>
              </w:rPr>
            </w:pPr>
          </w:p>
        </w:tc>
      </w:tr>
      <w:tr w14:paraId="0B5DE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DA2DF">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92D56">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8D1FB">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E81DE">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3E5B">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A35A">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7875C">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FC154">
            <w:pPr>
              <w:jc w:val="center"/>
              <w:rPr>
                <w:rFonts w:hint="eastAsia" w:ascii="仿宋_GB2312" w:hAnsi="仿宋_GB2312" w:eastAsia="仿宋_GB2312" w:cs="仿宋_GB2312"/>
                <w:i w:val="0"/>
                <w:iCs w:val="0"/>
                <w:color w:val="000000"/>
                <w:sz w:val="24"/>
                <w:szCs w:val="24"/>
                <w:u w:val="none"/>
              </w:rPr>
            </w:pPr>
          </w:p>
        </w:tc>
      </w:tr>
      <w:tr w14:paraId="50AA8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833C6">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C76A5">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4AA79">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EB8F0">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556E7">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2A8B">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B998">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F3066">
            <w:pPr>
              <w:jc w:val="center"/>
              <w:rPr>
                <w:rFonts w:hint="eastAsia" w:ascii="仿宋_GB2312" w:hAnsi="仿宋_GB2312" w:eastAsia="仿宋_GB2312" w:cs="仿宋_GB2312"/>
                <w:i w:val="0"/>
                <w:iCs w:val="0"/>
                <w:color w:val="000000"/>
                <w:sz w:val="24"/>
                <w:szCs w:val="24"/>
                <w:u w:val="none"/>
              </w:rPr>
            </w:pPr>
          </w:p>
        </w:tc>
      </w:tr>
      <w:tr w14:paraId="687C4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A78C3">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3222D">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636B8">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65696">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297D">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6A92E">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22A3">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400A">
            <w:pPr>
              <w:jc w:val="center"/>
              <w:rPr>
                <w:rFonts w:hint="eastAsia" w:ascii="仿宋_GB2312" w:hAnsi="仿宋_GB2312" w:eastAsia="仿宋_GB2312" w:cs="仿宋_GB2312"/>
                <w:i w:val="0"/>
                <w:iCs w:val="0"/>
                <w:color w:val="000000"/>
                <w:sz w:val="24"/>
                <w:szCs w:val="24"/>
                <w:u w:val="none"/>
              </w:rPr>
            </w:pPr>
          </w:p>
        </w:tc>
      </w:tr>
      <w:tr w14:paraId="58CC6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98609">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1C76A">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469B3">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87E95">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C890">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088FB">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D76C">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1C53">
            <w:pPr>
              <w:jc w:val="center"/>
              <w:rPr>
                <w:rFonts w:hint="eastAsia" w:ascii="仿宋_GB2312" w:hAnsi="仿宋_GB2312" w:eastAsia="仿宋_GB2312" w:cs="仿宋_GB2312"/>
                <w:i w:val="0"/>
                <w:iCs w:val="0"/>
                <w:color w:val="000000"/>
                <w:sz w:val="24"/>
                <w:szCs w:val="24"/>
                <w:u w:val="none"/>
              </w:rPr>
            </w:pPr>
          </w:p>
        </w:tc>
      </w:tr>
      <w:tr w14:paraId="5FBB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AC727">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F8D06">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2AEE3">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580E2">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5E18">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E7D9B">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3509">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8EC6">
            <w:pPr>
              <w:jc w:val="center"/>
              <w:rPr>
                <w:rFonts w:hint="eastAsia" w:ascii="仿宋_GB2312" w:hAnsi="仿宋_GB2312" w:eastAsia="仿宋_GB2312" w:cs="仿宋_GB2312"/>
                <w:i w:val="0"/>
                <w:iCs w:val="0"/>
                <w:color w:val="000000"/>
                <w:sz w:val="24"/>
                <w:szCs w:val="24"/>
                <w:u w:val="none"/>
              </w:rPr>
            </w:pPr>
          </w:p>
        </w:tc>
      </w:tr>
      <w:tr w14:paraId="29BBC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D9863">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FC534">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066DC">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6D315">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6703A">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4C78">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567B7">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1AC0">
            <w:pPr>
              <w:jc w:val="center"/>
              <w:rPr>
                <w:rFonts w:hint="eastAsia" w:ascii="仿宋_GB2312" w:hAnsi="仿宋_GB2312" w:eastAsia="仿宋_GB2312" w:cs="仿宋_GB2312"/>
                <w:i w:val="0"/>
                <w:iCs w:val="0"/>
                <w:color w:val="000000"/>
                <w:sz w:val="24"/>
                <w:szCs w:val="24"/>
                <w:u w:val="none"/>
              </w:rPr>
            </w:pPr>
          </w:p>
        </w:tc>
      </w:tr>
      <w:tr w14:paraId="0F15D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9D091">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752BB">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71F93">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BCFB4">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FA016">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4EA3">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7B14C">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FEC0">
            <w:pPr>
              <w:jc w:val="center"/>
              <w:rPr>
                <w:rFonts w:hint="eastAsia" w:ascii="仿宋_GB2312" w:hAnsi="仿宋_GB2312" w:eastAsia="仿宋_GB2312" w:cs="仿宋_GB2312"/>
                <w:i w:val="0"/>
                <w:iCs w:val="0"/>
                <w:color w:val="000000"/>
                <w:sz w:val="24"/>
                <w:szCs w:val="24"/>
                <w:u w:val="none"/>
              </w:rPr>
            </w:pPr>
          </w:p>
        </w:tc>
      </w:tr>
      <w:tr w14:paraId="0129A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0B961">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29F4B">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434DF">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740DF">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24B4">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AA42">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CAA6">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F551">
            <w:pPr>
              <w:jc w:val="center"/>
              <w:rPr>
                <w:rFonts w:hint="eastAsia" w:ascii="仿宋_GB2312" w:hAnsi="仿宋_GB2312" w:eastAsia="仿宋_GB2312" w:cs="仿宋_GB2312"/>
                <w:i w:val="0"/>
                <w:iCs w:val="0"/>
                <w:color w:val="000000"/>
                <w:sz w:val="24"/>
                <w:szCs w:val="24"/>
                <w:u w:val="none"/>
              </w:rPr>
            </w:pPr>
          </w:p>
        </w:tc>
      </w:tr>
      <w:tr w14:paraId="478F3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B574E">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774CE">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0AC8F">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B9E22">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76811">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7949">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1974">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1F9C4">
            <w:pPr>
              <w:jc w:val="center"/>
              <w:rPr>
                <w:rFonts w:hint="eastAsia" w:ascii="仿宋_GB2312" w:hAnsi="仿宋_GB2312" w:eastAsia="仿宋_GB2312" w:cs="仿宋_GB2312"/>
                <w:i w:val="0"/>
                <w:iCs w:val="0"/>
                <w:color w:val="000000"/>
                <w:sz w:val="24"/>
                <w:szCs w:val="24"/>
                <w:u w:val="none"/>
              </w:rPr>
            </w:pPr>
          </w:p>
        </w:tc>
      </w:tr>
      <w:tr w14:paraId="07A2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DC199">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0BBA4">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3D0D8">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FD4A1">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BAE5F">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F5B0">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6ED4">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B954">
            <w:pPr>
              <w:jc w:val="center"/>
              <w:rPr>
                <w:rFonts w:hint="eastAsia" w:ascii="仿宋_GB2312" w:hAnsi="仿宋_GB2312" w:eastAsia="仿宋_GB2312" w:cs="仿宋_GB2312"/>
                <w:i w:val="0"/>
                <w:iCs w:val="0"/>
                <w:color w:val="000000"/>
                <w:sz w:val="24"/>
                <w:szCs w:val="24"/>
                <w:u w:val="none"/>
              </w:rPr>
            </w:pPr>
          </w:p>
        </w:tc>
      </w:tr>
      <w:tr w14:paraId="6537E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5"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625AE">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7A07D">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FF40E">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C8C6E">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BC4F">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B7978">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0126">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72448">
            <w:pPr>
              <w:jc w:val="center"/>
              <w:rPr>
                <w:rFonts w:hint="eastAsia" w:ascii="仿宋_GB2312" w:hAnsi="仿宋_GB2312" w:eastAsia="仿宋_GB2312" w:cs="仿宋_GB2312"/>
                <w:i w:val="0"/>
                <w:iCs w:val="0"/>
                <w:color w:val="000000"/>
                <w:sz w:val="24"/>
                <w:szCs w:val="24"/>
                <w:u w:val="none"/>
              </w:rPr>
            </w:pPr>
          </w:p>
        </w:tc>
      </w:tr>
      <w:tr w14:paraId="27727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jc w:val="center"/>
        </w:trPr>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97F37">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45142">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海南省主流媒体硬广资源整合</w:t>
            </w:r>
          </w:p>
        </w:tc>
        <w:tc>
          <w:tcPr>
            <w:tcW w:w="3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328BDF">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1"/>
                <w:szCs w:val="21"/>
                <w:u w:val="none"/>
                <w:lang w:val="en-US" w:eastAsia="zh-CN" w:bidi="ar"/>
              </w:rPr>
              <w:t>1、主流媒体整合：需整合至少2家官方媒体公众号资源；</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2、官方媒体公众号头条原创图文发布：每家官方媒体微信公众号发布2条图文，共计4条（2家×2条/家）。依据采购人要求，结合项目节点安排（如品牌入市、开盘、热销、品鉴），提供不少于800字的定制化文案，精准输出项目核心卖点；需适当嵌入项目高清实景图、效果图、区位图等图片或视频，并进行专业排版设计；</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3、舆情引导：对所发布文章评论区、账号后台进行官方互动回复，引导舆论方向。</w:t>
            </w:r>
          </w:p>
        </w:tc>
        <w:tc>
          <w:tcPr>
            <w:tcW w:w="19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A902E">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1"/>
                <w:szCs w:val="21"/>
                <w:u w:val="none"/>
                <w:lang w:val="en-US" w:eastAsia="zh-CN" w:bidi="ar"/>
              </w:rPr>
              <w:t>供应商负责整合官方媒体须持有省级及以上网信部门核发的《互联网新闻信息服务许可证》。成交后供应商须向采购人提供整合媒体《互联网新闻信息服务许可证复印件。</w:t>
            </w:r>
          </w:p>
        </w:tc>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5BF0">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条</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8392">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835A7">
            <w:pPr>
              <w:jc w:val="center"/>
              <w:rPr>
                <w:rFonts w:hint="eastAsia" w:ascii="仿宋_GB2312" w:hAnsi="仿宋_GB2312" w:eastAsia="仿宋_GB2312" w:cs="仿宋_GB2312"/>
                <w:i w:val="0"/>
                <w:iCs w:val="0"/>
                <w:color w:val="000000"/>
                <w:sz w:val="24"/>
                <w:szCs w:val="24"/>
                <w:u w:val="none"/>
              </w:rPr>
            </w:pPr>
          </w:p>
        </w:tc>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395F">
            <w:pPr>
              <w:jc w:val="center"/>
              <w:rPr>
                <w:rFonts w:hint="eastAsia" w:ascii="仿宋_GB2312" w:hAnsi="仿宋_GB2312" w:eastAsia="仿宋_GB2312" w:cs="仿宋_GB2312"/>
                <w:i w:val="0"/>
                <w:iCs w:val="0"/>
                <w:color w:val="000000"/>
                <w:sz w:val="24"/>
                <w:szCs w:val="24"/>
                <w:u w:val="none"/>
              </w:rPr>
            </w:pPr>
          </w:p>
        </w:tc>
      </w:tr>
      <w:tr w14:paraId="16D46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4372F">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30497">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A4C51">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C498D">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0638">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DB95E">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9EB9">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824D">
            <w:pPr>
              <w:jc w:val="center"/>
              <w:rPr>
                <w:rFonts w:hint="eastAsia" w:ascii="仿宋_GB2312" w:hAnsi="仿宋_GB2312" w:eastAsia="仿宋_GB2312" w:cs="仿宋_GB2312"/>
                <w:i w:val="0"/>
                <w:iCs w:val="0"/>
                <w:color w:val="000000"/>
                <w:sz w:val="24"/>
                <w:szCs w:val="24"/>
                <w:u w:val="none"/>
              </w:rPr>
            </w:pPr>
          </w:p>
        </w:tc>
      </w:tr>
      <w:tr w14:paraId="36166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4"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05306">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E2466">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17D2D">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767C7">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0ECB">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9A03">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37F8">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818BB">
            <w:pPr>
              <w:jc w:val="center"/>
              <w:rPr>
                <w:rFonts w:hint="eastAsia" w:ascii="仿宋_GB2312" w:hAnsi="仿宋_GB2312" w:eastAsia="仿宋_GB2312" w:cs="仿宋_GB2312"/>
                <w:i w:val="0"/>
                <w:iCs w:val="0"/>
                <w:color w:val="000000"/>
                <w:sz w:val="24"/>
                <w:szCs w:val="24"/>
                <w:u w:val="none"/>
              </w:rPr>
            </w:pPr>
          </w:p>
        </w:tc>
      </w:tr>
      <w:tr w14:paraId="0E67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jc w:val="center"/>
        </w:trPr>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D6DCF0">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72FC68">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地产类公众号平台资源整合</w:t>
            </w:r>
          </w:p>
        </w:tc>
        <w:tc>
          <w:tcPr>
            <w:tcW w:w="3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B9D50D">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1"/>
                <w:szCs w:val="21"/>
                <w:u w:val="none"/>
                <w:lang w:val="en-US" w:eastAsia="zh-CN" w:bidi="ar"/>
              </w:rPr>
              <w:t>1、自媒体整合：需整合4个粉丝量在40万以上的地产领域公众号平台资源；</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2、公众号头条原创图文发布：每个合作账号发布2条原创文章，共计8条（4平台×2条/平台）。依据采购人要求，结合项目需求定制文案，突出项目核心卖点（如区位优势、产品特色、品牌价值），包含数据支撑（如市场分析、客户画像）和行动号召（如预约看房、活动参与）；嵌入高清图片（如项目实景图、效果图、特效动图），确保排版精美。</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3、舆情引导：对所发布文章评论区及账号后台进行官方互动回复，引导舆论方向，针对负面评论在2小时内制定应对话术并同步至客户。</w:t>
            </w:r>
          </w:p>
        </w:tc>
        <w:tc>
          <w:tcPr>
            <w:tcW w:w="19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EC148">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1"/>
                <w:szCs w:val="21"/>
                <w:u w:val="none"/>
                <w:lang w:val="en-US" w:eastAsia="zh-CN" w:bidi="ar"/>
              </w:rPr>
              <w:t>供应商自持或负责整合海南省地产行业活跃度较高的垂直领域微信公众号资源，需提供合作账号后台截图及近3个月传播数据报告，证明内容原创性与影响力。成交后供应商须向采购人提供整合公众号平台后台截图和数据报告。</w:t>
            </w:r>
          </w:p>
        </w:tc>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4428">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条</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62DA">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79CD">
            <w:pPr>
              <w:jc w:val="center"/>
              <w:rPr>
                <w:rFonts w:hint="eastAsia" w:ascii="仿宋_GB2312" w:hAnsi="仿宋_GB2312" w:eastAsia="仿宋_GB2312" w:cs="仿宋_GB2312"/>
                <w:i w:val="0"/>
                <w:iCs w:val="0"/>
                <w:color w:val="000000"/>
                <w:sz w:val="24"/>
                <w:szCs w:val="24"/>
                <w:u w:val="none"/>
              </w:rPr>
            </w:pPr>
          </w:p>
        </w:tc>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ED9C">
            <w:pPr>
              <w:jc w:val="center"/>
              <w:rPr>
                <w:rFonts w:hint="eastAsia" w:ascii="仿宋_GB2312" w:hAnsi="仿宋_GB2312" w:eastAsia="仿宋_GB2312" w:cs="仿宋_GB2312"/>
                <w:i w:val="0"/>
                <w:iCs w:val="0"/>
                <w:color w:val="000000"/>
                <w:sz w:val="24"/>
                <w:szCs w:val="24"/>
                <w:u w:val="none"/>
              </w:rPr>
            </w:pPr>
          </w:p>
        </w:tc>
      </w:tr>
      <w:tr w14:paraId="17842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4390A">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9A450">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0F9EA">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747C8">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3BAA">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FE79">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12EF">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C6471">
            <w:pPr>
              <w:jc w:val="center"/>
              <w:rPr>
                <w:rFonts w:hint="eastAsia" w:ascii="仿宋_GB2312" w:hAnsi="仿宋_GB2312" w:eastAsia="仿宋_GB2312" w:cs="仿宋_GB2312"/>
                <w:i w:val="0"/>
                <w:iCs w:val="0"/>
                <w:color w:val="000000"/>
                <w:sz w:val="24"/>
                <w:szCs w:val="24"/>
                <w:u w:val="none"/>
              </w:rPr>
            </w:pPr>
          </w:p>
        </w:tc>
      </w:tr>
      <w:tr w14:paraId="7C99F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9"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D94D2">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34580">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56BF9">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405D8">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3ACC">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1E57F">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E0388">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013D">
            <w:pPr>
              <w:jc w:val="center"/>
              <w:rPr>
                <w:rFonts w:hint="eastAsia" w:ascii="仿宋_GB2312" w:hAnsi="仿宋_GB2312" w:eastAsia="仿宋_GB2312" w:cs="仿宋_GB2312"/>
                <w:i w:val="0"/>
                <w:iCs w:val="0"/>
                <w:color w:val="000000"/>
                <w:sz w:val="24"/>
                <w:szCs w:val="24"/>
                <w:u w:val="none"/>
              </w:rPr>
            </w:pPr>
          </w:p>
        </w:tc>
      </w:tr>
      <w:tr w14:paraId="259C0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jc w:val="center"/>
        </w:trPr>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1399F">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816BD">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媒体类公关活动</w:t>
            </w:r>
          </w:p>
        </w:tc>
        <w:tc>
          <w:tcPr>
            <w:tcW w:w="3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B99E83">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1"/>
                <w:szCs w:val="21"/>
                <w:u w:val="none"/>
                <w:lang w:val="en-US" w:eastAsia="zh-CN" w:bidi="ar"/>
              </w:rPr>
              <w:t>供应商合作期间需组织三场媒体类公关活动，具体如下：</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第一场媒体粉丝看房团活动，要求至少5人，服务范围包含粉丝报名、活动组织、大巴接送等；</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第二场媒体品鉴会活动，可分场次分阶段完成，合作期间组织100位地产垂直领域达人进行探盘、拍摄，并形成至少100个视频作品发布传播；第三场媒体粉丝讲座类活动，要求人数规模为至少50人，服务范围包含讲师邀约、粉丝报名、活动组织等；</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其他工作：负责合作期内采购人项目大型活动的重点媒体邀约报道等协调工作。</w:t>
            </w:r>
          </w:p>
        </w:tc>
        <w:tc>
          <w:tcPr>
            <w:tcW w:w="19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67C673">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1"/>
                <w:szCs w:val="21"/>
                <w:u w:val="none"/>
                <w:lang w:val="en-US" w:eastAsia="zh-CN" w:bidi="ar"/>
              </w:rPr>
              <w:t>供应商应有活动组织的成功经验，需提供相关活动合同或报道链接/图片等佐证材料。活动服务范围包括粉丝/达人招募邀请、活动全流程组织执行、活动前期宣传与后期内容包装推广等。</w:t>
            </w:r>
          </w:p>
        </w:tc>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79916">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场</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09083">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3262">
            <w:pPr>
              <w:jc w:val="center"/>
              <w:rPr>
                <w:rFonts w:hint="eastAsia" w:ascii="仿宋_GB2312" w:hAnsi="仿宋_GB2312" w:eastAsia="仿宋_GB2312" w:cs="仿宋_GB2312"/>
                <w:i w:val="0"/>
                <w:iCs w:val="0"/>
                <w:color w:val="000000"/>
                <w:sz w:val="24"/>
                <w:szCs w:val="24"/>
                <w:u w:val="none"/>
              </w:rPr>
            </w:pPr>
          </w:p>
        </w:tc>
        <w:tc>
          <w:tcPr>
            <w:tcW w:w="7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E9739">
            <w:pPr>
              <w:jc w:val="center"/>
              <w:rPr>
                <w:rFonts w:hint="eastAsia" w:ascii="仿宋_GB2312" w:hAnsi="仿宋_GB2312" w:eastAsia="仿宋_GB2312" w:cs="仿宋_GB2312"/>
                <w:i w:val="0"/>
                <w:iCs w:val="0"/>
                <w:color w:val="000000"/>
                <w:sz w:val="24"/>
                <w:szCs w:val="24"/>
                <w:u w:val="none"/>
              </w:rPr>
            </w:pPr>
          </w:p>
        </w:tc>
      </w:tr>
      <w:tr w14:paraId="7AAC7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BE0B9">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47DC3">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AE335">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70E3E">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FA26">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7E828">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9DC4">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553C">
            <w:pPr>
              <w:jc w:val="center"/>
              <w:rPr>
                <w:rFonts w:hint="eastAsia" w:ascii="仿宋_GB2312" w:hAnsi="仿宋_GB2312" w:eastAsia="仿宋_GB2312" w:cs="仿宋_GB2312"/>
                <w:i w:val="0"/>
                <w:iCs w:val="0"/>
                <w:color w:val="000000"/>
                <w:sz w:val="24"/>
                <w:szCs w:val="24"/>
                <w:u w:val="none"/>
              </w:rPr>
            </w:pPr>
          </w:p>
        </w:tc>
      </w:tr>
      <w:tr w14:paraId="160FB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78730">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9609D">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916D3">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61EBD">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217C7">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E5C7">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F884">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78EB9">
            <w:pPr>
              <w:jc w:val="center"/>
              <w:rPr>
                <w:rFonts w:hint="eastAsia" w:ascii="仿宋_GB2312" w:hAnsi="仿宋_GB2312" w:eastAsia="仿宋_GB2312" w:cs="仿宋_GB2312"/>
                <w:i w:val="0"/>
                <w:iCs w:val="0"/>
                <w:color w:val="000000"/>
                <w:sz w:val="24"/>
                <w:szCs w:val="24"/>
                <w:u w:val="none"/>
              </w:rPr>
            </w:pPr>
          </w:p>
        </w:tc>
      </w:tr>
      <w:tr w14:paraId="52F1F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29281">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15E2F">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40A52">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A83D4">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77FB4">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28FA">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EED2E">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89168">
            <w:pPr>
              <w:jc w:val="center"/>
              <w:rPr>
                <w:rFonts w:hint="eastAsia" w:ascii="仿宋_GB2312" w:hAnsi="仿宋_GB2312" w:eastAsia="仿宋_GB2312" w:cs="仿宋_GB2312"/>
                <w:i w:val="0"/>
                <w:iCs w:val="0"/>
                <w:color w:val="000000"/>
                <w:sz w:val="24"/>
                <w:szCs w:val="24"/>
                <w:u w:val="none"/>
              </w:rPr>
            </w:pPr>
          </w:p>
        </w:tc>
      </w:tr>
      <w:tr w14:paraId="031A5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6" w:hRule="atLeast"/>
          <w:jc w:val="center"/>
        </w:trPr>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DDF71">
            <w:pPr>
              <w:jc w:val="center"/>
              <w:rPr>
                <w:rFonts w:hint="eastAsia" w:ascii="仿宋_GB2312" w:hAnsi="仿宋_GB2312" w:eastAsia="仿宋_GB2312" w:cs="仿宋_GB2312"/>
                <w:i w:val="0"/>
                <w:iCs w:val="0"/>
                <w:color w:val="000000"/>
                <w:sz w:val="24"/>
                <w:szCs w:val="24"/>
                <w:u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EC4FE">
            <w:pPr>
              <w:jc w:val="center"/>
              <w:rPr>
                <w:rFonts w:hint="eastAsia" w:ascii="仿宋_GB2312" w:hAnsi="仿宋_GB2312" w:eastAsia="仿宋_GB2312" w:cs="仿宋_GB2312"/>
                <w:i w:val="0"/>
                <w:iCs w:val="0"/>
                <w:color w:val="000000"/>
                <w:sz w:val="24"/>
                <w:szCs w:val="24"/>
                <w:u w:val="none"/>
              </w:rPr>
            </w:pPr>
          </w:p>
        </w:tc>
        <w:tc>
          <w:tcPr>
            <w:tcW w:w="3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DC87B">
            <w:pPr>
              <w:jc w:val="both"/>
              <w:rPr>
                <w:rFonts w:hint="eastAsia" w:ascii="仿宋_GB2312" w:hAnsi="仿宋_GB2312" w:eastAsia="仿宋_GB2312" w:cs="仿宋_GB2312"/>
                <w:i w:val="0"/>
                <w:iCs w:val="0"/>
                <w:color w:val="000000"/>
                <w:sz w:val="24"/>
                <w:szCs w:val="24"/>
                <w:u w:val="none"/>
              </w:rPr>
            </w:pPr>
          </w:p>
        </w:tc>
        <w:tc>
          <w:tcPr>
            <w:tcW w:w="19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4041B">
            <w:pPr>
              <w:jc w:val="center"/>
              <w:rPr>
                <w:rFonts w:hint="eastAsia" w:ascii="仿宋_GB2312" w:hAnsi="仿宋_GB2312" w:eastAsia="仿宋_GB2312" w:cs="仿宋_GB2312"/>
                <w:i w:val="0"/>
                <w:iCs w:val="0"/>
                <w:color w:val="000000"/>
                <w:sz w:val="24"/>
                <w:szCs w:val="24"/>
                <w:u w:val="none"/>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8D78">
            <w:pPr>
              <w:jc w:val="center"/>
              <w:rPr>
                <w:rFonts w:hint="eastAsia" w:ascii="仿宋_GB2312" w:hAnsi="仿宋_GB2312" w:eastAsia="仿宋_GB2312" w:cs="仿宋_GB2312"/>
                <w:i w:val="0"/>
                <w:iCs w:val="0"/>
                <w:color w:val="000000"/>
                <w:sz w:val="24"/>
                <w:szCs w:val="24"/>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ED25">
            <w:pPr>
              <w:jc w:val="center"/>
              <w:rPr>
                <w:rFonts w:hint="eastAsia" w:ascii="仿宋_GB2312" w:hAnsi="仿宋_GB2312" w:eastAsia="仿宋_GB2312" w:cs="仿宋_GB2312"/>
                <w:i w:val="0"/>
                <w:iCs w:val="0"/>
                <w:color w:val="000000"/>
                <w:sz w:val="24"/>
                <w:szCs w:val="24"/>
                <w:u w:val="none"/>
              </w:rPr>
            </w:pP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B17F">
            <w:pPr>
              <w:jc w:val="center"/>
              <w:rPr>
                <w:rFonts w:hint="eastAsia" w:ascii="仿宋_GB2312" w:hAnsi="仿宋_GB2312" w:eastAsia="仿宋_GB2312" w:cs="仿宋_GB2312"/>
                <w:i w:val="0"/>
                <w:iCs w:val="0"/>
                <w:color w:val="000000"/>
                <w:sz w:val="24"/>
                <w:szCs w:val="24"/>
                <w:u w:val="none"/>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5A89">
            <w:pPr>
              <w:jc w:val="center"/>
              <w:rPr>
                <w:rFonts w:hint="eastAsia" w:ascii="仿宋_GB2312" w:hAnsi="仿宋_GB2312" w:eastAsia="仿宋_GB2312" w:cs="仿宋_GB2312"/>
                <w:i w:val="0"/>
                <w:iCs w:val="0"/>
                <w:color w:val="000000"/>
                <w:sz w:val="24"/>
                <w:szCs w:val="24"/>
                <w:u w:val="none"/>
              </w:rPr>
            </w:pPr>
          </w:p>
        </w:tc>
      </w:tr>
      <w:tr w14:paraId="1CA13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9" w:hRule="atLeast"/>
          <w:jc w:val="center"/>
        </w:trPr>
        <w:tc>
          <w:tcPr>
            <w:tcW w:w="1069" w:type="dxa"/>
            <w:tcBorders>
              <w:top w:val="single" w:color="000000" w:sz="4" w:space="0"/>
              <w:left w:val="single" w:color="000000" w:sz="4" w:space="0"/>
              <w:bottom w:val="nil"/>
              <w:right w:val="single" w:color="000000" w:sz="4" w:space="0"/>
            </w:tcBorders>
            <w:shd w:val="clear" w:color="auto" w:fill="auto"/>
            <w:vAlign w:val="center"/>
          </w:tcPr>
          <w:p w14:paraId="34E8B1A4">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61" w:type="dxa"/>
            <w:tcBorders>
              <w:top w:val="single" w:color="000000" w:sz="4" w:space="0"/>
              <w:left w:val="single" w:color="000000" w:sz="4" w:space="0"/>
              <w:bottom w:val="nil"/>
              <w:right w:val="single" w:color="000000" w:sz="4" w:space="0"/>
            </w:tcBorders>
            <w:shd w:val="clear" w:color="auto" w:fill="auto"/>
            <w:vAlign w:val="center"/>
          </w:tcPr>
          <w:p w14:paraId="7D7891E8">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腾讯朋友圈广告</w:t>
            </w:r>
          </w:p>
        </w:tc>
        <w:tc>
          <w:tcPr>
            <w:tcW w:w="3620" w:type="dxa"/>
            <w:tcBorders>
              <w:top w:val="single" w:color="000000" w:sz="4" w:space="0"/>
              <w:left w:val="single" w:color="000000" w:sz="4" w:space="0"/>
              <w:bottom w:val="nil"/>
              <w:right w:val="single" w:color="000000" w:sz="4" w:space="0"/>
            </w:tcBorders>
            <w:shd w:val="clear" w:color="auto" w:fill="auto"/>
            <w:vAlign w:val="center"/>
          </w:tcPr>
          <w:p w14:paraId="507CEBB6">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1"/>
                <w:szCs w:val="21"/>
                <w:u w:val="none"/>
                <w:lang w:val="en-US" w:eastAsia="zh-CN" w:bidi="ar"/>
              </w:rPr>
              <w:t>结合悦海及梧桐里项目推广节点需求，进行朋友圈广告投放，2000CPM，曝光至少200万次。</w:t>
            </w:r>
          </w:p>
        </w:tc>
        <w:tc>
          <w:tcPr>
            <w:tcW w:w="1983" w:type="dxa"/>
            <w:tcBorders>
              <w:top w:val="single" w:color="000000" w:sz="4" w:space="0"/>
              <w:left w:val="single" w:color="000000" w:sz="4" w:space="0"/>
              <w:bottom w:val="nil"/>
              <w:right w:val="single" w:color="000000" w:sz="4" w:space="0"/>
            </w:tcBorders>
            <w:shd w:val="clear" w:color="auto" w:fill="auto"/>
            <w:vAlign w:val="center"/>
          </w:tcPr>
          <w:p w14:paraId="6BAAA17B">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1"/>
                <w:szCs w:val="21"/>
                <w:u w:val="none"/>
                <w:lang w:val="en-US" w:eastAsia="zh-CN" w:bidi="ar"/>
              </w:rPr>
              <w:t>供应商自持或负责整合相关服务机构/企业，需提供朋友圈广告投放服务代理牌照或运营资质证明。成交后供应商须向采购人提供朋友圈广告投放服务代理牌照或运营资质证明文件复印件。</w:t>
            </w:r>
          </w:p>
        </w:tc>
        <w:tc>
          <w:tcPr>
            <w:tcW w:w="621" w:type="dxa"/>
            <w:tcBorders>
              <w:top w:val="single" w:color="000000" w:sz="4" w:space="0"/>
              <w:left w:val="single" w:color="000000" w:sz="4" w:space="0"/>
              <w:bottom w:val="nil"/>
              <w:right w:val="single" w:color="000000" w:sz="4" w:space="0"/>
            </w:tcBorders>
            <w:shd w:val="clear" w:color="auto" w:fill="auto"/>
            <w:noWrap/>
            <w:vAlign w:val="center"/>
          </w:tcPr>
          <w:p w14:paraId="5E5C982A">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cpm</w:t>
            </w:r>
          </w:p>
        </w:tc>
        <w:tc>
          <w:tcPr>
            <w:tcW w:w="793" w:type="dxa"/>
            <w:tcBorders>
              <w:top w:val="single" w:color="000000" w:sz="4" w:space="0"/>
              <w:left w:val="single" w:color="000000" w:sz="4" w:space="0"/>
              <w:bottom w:val="nil"/>
              <w:right w:val="single" w:color="000000" w:sz="4" w:space="0"/>
            </w:tcBorders>
            <w:shd w:val="clear" w:color="auto" w:fill="auto"/>
            <w:noWrap/>
            <w:vAlign w:val="center"/>
          </w:tcPr>
          <w:p w14:paraId="418D6704">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2000</w:t>
            </w:r>
          </w:p>
        </w:tc>
        <w:tc>
          <w:tcPr>
            <w:tcW w:w="655" w:type="dxa"/>
            <w:tcBorders>
              <w:top w:val="single" w:color="000000" w:sz="4" w:space="0"/>
              <w:left w:val="single" w:color="000000" w:sz="4" w:space="0"/>
              <w:bottom w:val="nil"/>
              <w:right w:val="single" w:color="000000" w:sz="4" w:space="0"/>
            </w:tcBorders>
            <w:shd w:val="clear" w:color="auto" w:fill="auto"/>
            <w:noWrap/>
            <w:vAlign w:val="center"/>
          </w:tcPr>
          <w:p w14:paraId="0681184F">
            <w:pPr>
              <w:jc w:val="center"/>
              <w:rPr>
                <w:rFonts w:hint="eastAsia" w:ascii="仿宋_GB2312" w:hAnsi="仿宋_GB2312" w:eastAsia="仿宋_GB2312" w:cs="仿宋_GB2312"/>
                <w:i w:val="0"/>
                <w:iCs w:val="0"/>
                <w:color w:val="000000"/>
                <w:sz w:val="24"/>
                <w:szCs w:val="24"/>
                <w:u w:val="none"/>
              </w:rPr>
            </w:pPr>
          </w:p>
        </w:tc>
        <w:tc>
          <w:tcPr>
            <w:tcW w:w="767" w:type="dxa"/>
            <w:tcBorders>
              <w:top w:val="single" w:color="000000" w:sz="4" w:space="0"/>
              <w:left w:val="single" w:color="000000" w:sz="4" w:space="0"/>
              <w:bottom w:val="nil"/>
              <w:right w:val="single" w:color="000000" w:sz="4" w:space="0"/>
            </w:tcBorders>
            <w:shd w:val="clear" w:color="auto" w:fill="auto"/>
            <w:noWrap/>
            <w:vAlign w:val="center"/>
          </w:tcPr>
          <w:p w14:paraId="45FE85C1">
            <w:pPr>
              <w:jc w:val="center"/>
              <w:rPr>
                <w:rFonts w:hint="eastAsia" w:ascii="仿宋_GB2312" w:hAnsi="仿宋_GB2312" w:eastAsia="仿宋_GB2312" w:cs="仿宋_GB2312"/>
                <w:i w:val="0"/>
                <w:iCs w:val="0"/>
                <w:color w:val="000000"/>
                <w:sz w:val="24"/>
                <w:szCs w:val="24"/>
                <w:u w:val="none"/>
              </w:rPr>
            </w:pPr>
          </w:p>
        </w:tc>
      </w:tr>
      <w:tr w14:paraId="1FB34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914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E0802">
            <w:pPr>
              <w:keepNext w:val="0"/>
              <w:keepLines w:val="0"/>
              <w:widowControl/>
              <w:suppressLineNumbers w:val="0"/>
              <w:jc w:val="righ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 不含税合计（元）</w:t>
            </w:r>
          </w:p>
        </w:tc>
        <w:tc>
          <w:tcPr>
            <w:tcW w:w="14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62865">
            <w:pPr>
              <w:jc w:val="center"/>
              <w:rPr>
                <w:rFonts w:hint="eastAsia" w:ascii="仿宋_GB2312" w:hAnsi="仿宋_GB2312" w:eastAsia="仿宋_GB2312" w:cs="仿宋_GB2312"/>
                <w:i w:val="0"/>
                <w:iCs w:val="0"/>
                <w:color w:val="000000"/>
                <w:sz w:val="24"/>
                <w:szCs w:val="24"/>
                <w:u w:val="none"/>
              </w:rPr>
            </w:pPr>
          </w:p>
        </w:tc>
      </w:tr>
      <w:tr w14:paraId="3E9B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914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1B9C">
            <w:pPr>
              <w:keepNext w:val="0"/>
              <w:keepLines w:val="0"/>
              <w:widowControl/>
              <w:suppressLineNumbers w:val="0"/>
              <w:jc w:val="righ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税率（%）</w:t>
            </w:r>
          </w:p>
        </w:tc>
        <w:tc>
          <w:tcPr>
            <w:tcW w:w="14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B534E">
            <w:pPr>
              <w:jc w:val="center"/>
              <w:rPr>
                <w:rFonts w:hint="eastAsia" w:ascii="仿宋_GB2312" w:hAnsi="仿宋_GB2312" w:eastAsia="仿宋_GB2312" w:cs="仿宋_GB2312"/>
                <w:i w:val="0"/>
                <w:iCs w:val="0"/>
                <w:color w:val="000000"/>
                <w:sz w:val="24"/>
                <w:szCs w:val="24"/>
                <w:u w:val="none"/>
              </w:rPr>
            </w:pPr>
          </w:p>
        </w:tc>
      </w:tr>
      <w:tr w14:paraId="689BD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jc w:val="center"/>
        </w:trPr>
        <w:tc>
          <w:tcPr>
            <w:tcW w:w="914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7AA8">
            <w:pPr>
              <w:keepNext w:val="0"/>
              <w:keepLines w:val="0"/>
              <w:widowControl/>
              <w:suppressLineNumbers w:val="0"/>
              <w:jc w:val="righ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含税合计（元）</w:t>
            </w:r>
          </w:p>
        </w:tc>
        <w:tc>
          <w:tcPr>
            <w:tcW w:w="14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8506">
            <w:pPr>
              <w:jc w:val="center"/>
              <w:rPr>
                <w:rFonts w:hint="eastAsia" w:ascii="仿宋_GB2312" w:hAnsi="仿宋_GB2312" w:eastAsia="仿宋_GB2312" w:cs="仿宋_GB2312"/>
                <w:i w:val="0"/>
                <w:iCs w:val="0"/>
                <w:color w:val="000000"/>
                <w:sz w:val="24"/>
                <w:szCs w:val="24"/>
                <w:u w:val="none"/>
              </w:rPr>
            </w:pPr>
          </w:p>
        </w:tc>
      </w:tr>
    </w:tbl>
    <w:p w14:paraId="6D51258D">
      <w:pPr>
        <w:spacing w:line="560" w:lineRule="exact"/>
        <w:rPr>
          <w:rFonts w:hint="eastAsia" w:ascii="仿宋_GB2312" w:hAnsi="仿宋_GB2312" w:eastAsia="仿宋_GB2312" w:cs="仿宋_GB2312"/>
          <w:sz w:val="32"/>
          <w:szCs w:val="32"/>
        </w:rPr>
        <w:sectPr>
          <w:pgSz w:w="11900" w:h="16840"/>
          <w:pgMar w:top="2098" w:right="1474" w:bottom="1984" w:left="1587" w:header="1049" w:footer="1049" w:gutter="0"/>
          <w:pgBorders>
            <w:top w:val="none" w:sz="0" w:space="0"/>
            <w:left w:val="none" w:sz="0" w:space="0"/>
            <w:bottom w:val="none" w:sz="0" w:space="0"/>
            <w:right w:val="none" w:sz="0" w:space="0"/>
          </w:pgBorders>
          <w:pgNumType w:fmt="decimal" w:start="1"/>
          <w:cols w:space="720" w:num="1"/>
        </w:sectPr>
      </w:pPr>
    </w:p>
    <w:p w14:paraId="5ED12F1E">
      <w:pPr>
        <w:spacing w:line="560" w:lineRule="exact"/>
        <w:outlineLvl w:val="0"/>
        <w:rPr>
          <w:rStyle w:val="20"/>
          <w:rFonts w:hint="default" w:ascii="仿宋_GB2312" w:hAnsi="仿宋_GB2312" w:eastAsia="仿宋_GB2312" w:cs="仿宋_GB2312"/>
          <w:b w:val="0"/>
          <w:bCs w:val="0"/>
          <w:i w:val="0"/>
          <w:iCs w:val="0"/>
          <w:caps w:val="0"/>
          <w:color w:val="0F1115"/>
          <w:spacing w:val="0"/>
          <w:sz w:val="32"/>
          <w:szCs w:val="32"/>
          <w:shd w:val="clear" w:fill="FFFFFF"/>
          <w:lang w:val="en-US"/>
        </w:rPr>
      </w:pPr>
      <w:r>
        <w:rPr>
          <w:rFonts w:hint="eastAsia" w:ascii="仿宋_GB2312" w:hAnsi="仿宋_GB2312" w:eastAsia="仿宋_GB2312" w:cs="仿宋_GB2312"/>
          <w:b w:val="0"/>
          <w:bCs w:val="0"/>
          <w:sz w:val="32"/>
          <w:szCs w:val="32"/>
        </w:rPr>
        <w:t>附件</w:t>
      </w:r>
      <w:r>
        <w:rPr>
          <w:rFonts w:hint="eastAsia" w:ascii="仿宋_GB2312" w:hAnsi="仿宋_GB2312" w:eastAsia="仿宋_GB2312" w:cs="仿宋_GB2312"/>
          <w:b w:val="0"/>
          <w:bCs w:val="0"/>
          <w:sz w:val="32"/>
          <w:szCs w:val="32"/>
          <w:lang w:val="en-US" w:eastAsia="zh-CN"/>
        </w:rPr>
        <w:t>2.</w:t>
      </w:r>
    </w:p>
    <w:p w14:paraId="0DE95C08">
      <w:pPr>
        <w:spacing w:line="560" w:lineRule="exact"/>
        <w:jc w:val="center"/>
        <w:rPr>
          <w:rFonts w:hint="eastAsia" w:ascii="方正小标宋简体" w:hAnsi="方正小标宋简体" w:eastAsia="方正小标宋简体" w:cs="方正小标宋简体"/>
          <w:b w:val="0"/>
          <w:bCs w:val="0"/>
          <w:i w:val="0"/>
          <w:iCs w:val="0"/>
          <w:caps w:val="0"/>
          <w:spacing w:val="0"/>
          <w:sz w:val="44"/>
          <w:szCs w:val="44"/>
        </w:rPr>
      </w:pPr>
      <w:r>
        <w:rPr>
          <w:rFonts w:hint="eastAsia" w:ascii="方正小标宋简体" w:hAnsi="方正小标宋简体" w:eastAsia="方正小标宋简体" w:cs="方正小标宋简体"/>
          <w:b w:val="0"/>
          <w:bCs w:val="0"/>
          <w:i w:val="0"/>
          <w:iCs w:val="0"/>
          <w:caps w:val="0"/>
          <w:spacing w:val="0"/>
          <w:sz w:val="44"/>
          <w:szCs w:val="44"/>
          <w:shd w:val="clear"/>
        </w:rPr>
        <w:t>舆情监测服务标准</w:t>
      </w:r>
    </w:p>
    <w:p w14:paraId="05DD69A5">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rPr>
      </w:pP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合同</w:t>
      </w:r>
      <w:r>
        <w:rPr>
          <w:rStyle w:val="20"/>
          <w:rFonts w:hint="eastAsia" w:ascii="仿宋_GB2312" w:hAnsi="仿宋_GB2312" w:eastAsia="仿宋_GB2312" w:cs="仿宋_GB2312"/>
          <w:b w:val="0"/>
          <w:bCs w:val="0"/>
          <w:i w:val="0"/>
          <w:iCs w:val="0"/>
          <w:caps w:val="0"/>
          <w:color w:val="0F1115"/>
          <w:spacing w:val="0"/>
          <w:sz w:val="32"/>
          <w:szCs w:val="32"/>
          <w:shd w:val="clear" w:fill="FFFFFF"/>
        </w:rPr>
        <w:t>编号：</w:t>
      </w:r>
      <w:r>
        <w:rPr>
          <w:rFonts w:hint="eastAsia" w:ascii="仿宋_GB2312" w:hAnsi="仿宋_GB2312" w:eastAsia="仿宋_GB2312" w:cs="仿宋_GB2312"/>
          <w:b w:val="0"/>
          <w:bCs w:val="0"/>
          <w:i w:val="0"/>
          <w:iCs w:val="0"/>
          <w:caps w:val="0"/>
          <w:color w:val="0F1115"/>
          <w:spacing w:val="0"/>
          <w:sz w:val="32"/>
          <w:szCs w:val="32"/>
          <w:shd w:val="clear" w:fill="FFFFFF"/>
        </w:rPr>
        <w:t> [填写合同编号</w:t>
      </w:r>
      <w:r>
        <w:rPr>
          <w:rFonts w:hint="eastAsia" w:ascii="仿宋_GB2312" w:hAnsi="仿宋_GB2312" w:eastAsia="仿宋_GB2312" w:cs="仿宋_GB2312"/>
          <w:b w:val="0"/>
          <w:bCs w:val="0"/>
          <w:i w:val="0"/>
          <w:iCs w:val="0"/>
          <w:caps w:val="0"/>
          <w:color w:val="0F1115"/>
          <w:spacing w:val="0"/>
          <w:sz w:val="32"/>
          <w:szCs w:val="32"/>
          <w:shd w:val="clear" w:fill="FFFFFF"/>
          <w:lang w:eastAsia="zh-CN"/>
        </w:rPr>
        <w:t>－</w:t>
      </w:r>
      <w:r>
        <w:rPr>
          <w:rFonts w:hint="eastAsia" w:ascii="仿宋_GB2312" w:hAnsi="仿宋_GB2312" w:eastAsia="仿宋_GB2312" w:cs="仿宋_GB2312"/>
          <w:b w:val="0"/>
          <w:bCs w:val="0"/>
          <w:i w:val="0"/>
          <w:iCs w:val="0"/>
          <w:caps w:val="0"/>
          <w:color w:val="0F1115"/>
          <w:spacing w:val="0"/>
          <w:sz w:val="32"/>
          <w:szCs w:val="32"/>
          <w:shd w:val="clear" w:fill="FFFFFF"/>
        </w:rPr>
        <w:t>附件</w:t>
      </w: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2</w:t>
      </w:r>
      <w:r>
        <w:rPr>
          <w:rFonts w:hint="eastAsia" w:ascii="仿宋_GB2312" w:hAnsi="仿宋_GB2312" w:eastAsia="仿宋_GB2312" w:cs="仿宋_GB2312"/>
          <w:b w:val="0"/>
          <w:bCs w:val="0"/>
          <w:i w:val="0"/>
          <w:iCs w:val="0"/>
          <w:caps w:val="0"/>
          <w:color w:val="0F1115"/>
          <w:spacing w:val="0"/>
          <w:sz w:val="32"/>
          <w:szCs w:val="32"/>
          <w:shd w:val="clear" w:fill="FFFFFF"/>
        </w:rPr>
        <w:t>]</w:t>
      </w:r>
    </w:p>
    <w:p w14:paraId="72A78029">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Style w:val="20"/>
          <w:rFonts w:hint="eastAsia" w:ascii="仿宋_GB2312" w:hAnsi="仿宋_GB2312" w:eastAsia="仿宋_GB2312" w:cs="仿宋_GB2312"/>
          <w:b w:val="0"/>
          <w:bCs w:val="0"/>
          <w:i w:val="0"/>
          <w:iCs w:val="0"/>
          <w:caps w:val="0"/>
          <w:color w:val="0F1115"/>
          <w:spacing w:val="0"/>
          <w:sz w:val="32"/>
          <w:szCs w:val="32"/>
          <w:shd w:val="clear" w:fill="FFFFFF"/>
        </w:rPr>
        <w:t>甲</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 xml:space="preserve">    </w:t>
      </w:r>
      <w:r>
        <w:rPr>
          <w:rStyle w:val="20"/>
          <w:rFonts w:hint="eastAsia" w:ascii="仿宋_GB2312" w:hAnsi="仿宋_GB2312" w:eastAsia="仿宋_GB2312" w:cs="仿宋_GB2312"/>
          <w:b w:val="0"/>
          <w:bCs w:val="0"/>
          <w:i w:val="0"/>
          <w:iCs w:val="0"/>
          <w:caps w:val="0"/>
          <w:color w:val="0F1115"/>
          <w:spacing w:val="0"/>
          <w:sz w:val="32"/>
          <w:szCs w:val="32"/>
          <w:shd w:val="clear" w:fill="FFFFFF"/>
        </w:rPr>
        <w:t>方：</w:t>
      </w:r>
      <w:r>
        <w:rPr>
          <w:rFonts w:hint="eastAsia" w:ascii="仿宋_GB2312" w:hAnsi="仿宋_GB2312" w:eastAsia="仿宋_GB2312" w:cs="仿宋_GB2312"/>
          <w:b w:val="0"/>
          <w:bCs w:val="0"/>
          <w:i w:val="0"/>
          <w:iCs w:val="0"/>
          <w:caps w:val="0"/>
          <w:color w:val="0F1115"/>
          <w:spacing w:val="0"/>
          <w:sz w:val="32"/>
          <w:szCs w:val="32"/>
          <w:shd w:val="clear" w:fill="FFFFFF"/>
        </w:rPr>
        <w:t> [</w:t>
      </w:r>
      <w:permStart w:id="27" w:edGrp="everyone"/>
      <w:r>
        <w:rPr>
          <w:rFonts w:hint="eastAsia" w:ascii="仿宋_GB2312" w:hAnsi="仿宋_GB2312" w:eastAsia="仿宋_GB2312" w:cs="仿宋_GB2312"/>
          <w:sz w:val="32"/>
          <w:szCs w:val="32"/>
        </w:rPr>
        <w:t>海口市君实综合开发有限责任公司</w:t>
      </w:r>
      <w:permEnd w:id="27"/>
      <w:r>
        <w:rPr>
          <w:rFonts w:hint="eastAsia" w:ascii="仿宋_GB2312" w:hAnsi="仿宋_GB2312" w:eastAsia="仿宋_GB2312" w:cs="仿宋_GB2312"/>
          <w:b w:val="0"/>
          <w:bCs w:val="0"/>
          <w:i w:val="0"/>
          <w:iCs w:val="0"/>
          <w:caps w:val="0"/>
          <w:color w:val="0F1115"/>
          <w:spacing w:val="0"/>
          <w:sz w:val="32"/>
          <w:szCs w:val="32"/>
          <w:shd w:val="clear" w:fill="FFFFFF"/>
        </w:rPr>
        <w:t>]</w:t>
      </w:r>
    </w:p>
    <w:p w14:paraId="68E2108F">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rPr>
      </w:pPr>
      <w:r>
        <w:rPr>
          <w:rStyle w:val="20"/>
          <w:rFonts w:hint="eastAsia" w:ascii="仿宋_GB2312" w:hAnsi="仿宋_GB2312" w:eastAsia="仿宋_GB2312" w:cs="仿宋_GB2312"/>
          <w:b w:val="0"/>
          <w:bCs w:val="0"/>
          <w:i w:val="0"/>
          <w:iCs w:val="0"/>
          <w:caps w:val="0"/>
          <w:color w:val="0F1115"/>
          <w:spacing w:val="0"/>
          <w:sz w:val="32"/>
          <w:szCs w:val="32"/>
          <w:shd w:val="clear" w:fill="FFFFFF"/>
        </w:rPr>
        <w:t>乙</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 xml:space="preserve">    </w:t>
      </w:r>
      <w:r>
        <w:rPr>
          <w:rStyle w:val="20"/>
          <w:rFonts w:hint="eastAsia" w:ascii="仿宋_GB2312" w:hAnsi="仿宋_GB2312" w:eastAsia="仿宋_GB2312" w:cs="仿宋_GB2312"/>
          <w:b w:val="0"/>
          <w:bCs w:val="0"/>
          <w:i w:val="0"/>
          <w:iCs w:val="0"/>
          <w:caps w:val="0"/>
          <w:color w:val="0F1115"/>
          <w:spacing w:val="0"/>
          <w:sz w:val="32"/>
          <w:szCs w:val="32"/>
          <w:shd w:val="clear" w:fill="FFFFFF"/>
        </w:rPr>
        <w:t>方：</w:t>
      </w:r>
      <w:r>
        <w:rPr>
          <w:rFonts w:hint="eastAsia" w:ascii="仿宋_GB2312" w:hAnsi="仿宋_GB2312" w:eastAsia="仿宋_GB2312" w:cs="仿宋_GB2312"/>
          <w:b w:val="0"/>
          <w:bCs w:val="0"/>
          <w:i w:val="0"/>
          <w:iCs w:val="0"/>
          <w:caps w:val="0"/>
          <w:color w:val="0F1115"/>
          <w:spacing w:val="0"/>
          <w:sz w:val="32"/>
          <w:szCs w:val="32"/>
          <w:shd w:val="clear" w:fill="FFFFFF"/>
        </w:rPr>
        <w:t> [乙方公司全称]</w:t>
      </w:r>
    </w:p>
    <w:p w14:paraId="0CCE60BD">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rPr>
      </w:pPr>
      <w:r>
        <w:rPr>
          <w:rFonts w:hint="eastAsia" w:ascii="仿宋_GB2312" w:hAnsi="仿宋_GB2312" w:eastAsia="仿宋_GB2312" w:cs="仿宋_GB2312"/>
          <w:b w:val="0"/>
          <w:bCs w:val="0"/>
          <w:i w:val="0"/>
          <w:iCs w:val="0"/>
          <w:caps w:val="0"/>
          <w:color w:val="0F1115"/>
          <w:spacing w:val="0"/>
          <w:sz w:val="32"/>
          <w:szCs w:val="32"/>
          <w:shd w:val="clear" w:fill="FFFFFF"/>
        </w:rPr>
        <w:t>本附件为《</w:t>
      </w:r>
      <w:r>
        <w:rPr>
          <w:rFonts w:hint="eastAsia" w:ascii="仿宋_GB2312" w:hAnsi="仿宋_GB2312" w:eastAsia="仿宋_GB2312" w:cs="仿宋_GB2312"/>
          <w:b w:val="0"/>
          <w:bCs w:val="0"/>
          <w:color w:val="0F1115"/>
          <w:kern w:val="2"/>
          <w:sz w:val="32"/>
          <w:szCs w:val="32"/>
          <w:shd w:val="clear" w:fill="FFFFFF"/>
        </w:rPr>
        <w:t>网络舆情监控服务及新媒体</w:t>
      </w:r>
      <w:r>
        <w:rPr>
          <w:rFonts w:hint="eastAsia" w:ascii="仿宋_GB2312" w:hAnsi="仿宋_GB2312" w:eastAsia="仿宋_GB2312" w:cs="仿宋_GB2312"/>
          <w:b w:val="0"/>
          <w:bCs w:val="0"/>
          <w:color w:val="0F1115"/>
          <w:kern w:val="2"/>
          <w:sz w:val="32"/>
          <w:szCs w:val="32"/>
          <w:shd w:val="clear" w:fill="FFFFFF"/>
          <w:lang w:val="en-US" w:eastAsia="zh-CN"/>
        </w:rPr>
        <w:t>整合</w:t>
      </w:r>
      <w:r>
        <w:rPr>
          <w:rFonts w:hint="eastAsia" w:ascii="仿宋_GB2312" w:hAnsi="仿宋_GB2312" w:eastAsia="仿宋_GB2312" w:cs="仿宋_GB2312"/>
          <w:b w:val="0"/>
          <w:bCs w:val="0"/>
          <w:color w:val="0F1115"/>
          <w:kern w:val="2"/>
          <w:sz w:val="32"/>
          <w:szCs w:val="32"/>
          <w:shd w:val="clear" w:fill="FFFFFF"/>
        </w:rPr>
        <w:t>推广合作协议</w:t>
      </w:r>
      <w:r>
        <w:rPr>
          <w:rFonts w:hint="eastAsia" w:ascii="仿宋_GB2312" w:hAnsi="仿宋_GB2312" w:eastAsia="仿宋_GB2312" w:cs="仿宋_GB2312"/>
          <w:b w:val="0"/>
          <w:bCs w:val="0"/>
          <w:i w:val="0"/>
          <w:iCs w:val="0"/>
          <w:caps w:val="0"/>
          <w:color w:val="0F1115"/>
          <w:spacing w:val="0"/>
          <w:sz w:val="32"/>
          <w:szCs w:val="32"/>
          <w:shd w:val="clear" w:fill="FFFFFF"/>
        </w:rPr>
        <w:t>》（合同编号：[填写]）不可分割的组成部分，旨在明确舆情监测服务的具体标准、流程及双方职责。本附件中未尽事宜，以主合同约定为准。</w:t>
      </w:r>
    </w:p>
    <w:p w14:paraId="3AB4C38C">
      <w:pPr>
        <w:pStyle w:val="7"/>
        <w:keepNext w:val="0"/>
        <w:keepLines w:val="0"/>
        <w:widowControl/>
        <w:numPr>
          <w:ilvl w:val="-1"/>
          <w:numId w:val="0"/>
        </w:numPr>
        <w:suppressLineNumbers w:val="0"/>
        <w:shd w:val="clear" w:fill="FFFFFF"/>
        <w:spacing w:before="160" w:beforeAutospacing="0" w:after="160" w:afterAutospacing="0" w:line="560" w:lineRule="exact"/>
        <w:ind w:left="420" w:leftChars="200" w:right="0" w:rightChars="0" w:firstLine="0" w:firstLineChars="0"/>
        <w:outlineLvl w:val="9"/>
        <w:rPr>
          <w:rFonts w:hint="eastAsia" w:ascii="黑体" w:hAnsi="黑体" w:eastAsia="黑体" w:cs="黑体"/>
          <w:b w:val="0"/>
          <w:bCs w:val="0"/>
          <w:i w:val="0"/>
          <w:iCs w:val="0"/>
          <w:caps w:val="0"/>
          <w:color w:val="0F1115"/>
          <w:spacing w:val="0"/>
          <w:sz w:val="32"/>
          <w:szCs w:val="32"/>
        </w:rPr>
      </w:pPr>
      <w:r>
        <w:rPr>
          <w:rStyle w:val="20"/>
          <w:rFonts w:hint="eastAsia" w:ascii="黑体" w:hAnsi="黑体" w:eastAsia="黑体" w:cs="黑体"/>
          <w:b w:val="0"/>
          <w:bCs w:val="0"/>
          <w:i w:val="0"/>
          <w:iCs w:val="0"/>
          <w:caps w:val="0"/>
          <w:color w:val="0F1115"/>
          <w:spacing w:val="0"/>
          <w:sz w:val="32"/>
          <w:szCs w:val="32"/>
          <w:shd w:val="clear" w:fill="FFFFFF"/>
        </w:rPr>
        <w:t>第一条 服务目标与范围</w:t>
      </w:r>
    </w:p>
    <w:p w14:paraId="4F8E5032">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rPr>
        <w:t>1</w:t>
      </w:r>
      <w:r>
        <w:rPr>
          <w:rFonts w:hint="eastAsia" w:ascii="仿宋_GB2312" w:hAnsi="仿宋_GB2312" w:eastAsia="仿宋_GB2312" w:cs="仿宋_GB2312"/>
          <w:b w:val="0"/>
          <w:bCs w:val="0"/>
          <w:i w:val="0"/>
          <w:iCs w:val="0"/>
          <w:caps w:val="0"/>
          <w:color w:val="0F1115"/>
          <w:spacing w:val="0"/>
          <w:sz w:val="32"/>
          <w:szCs w:val="32"/>
          <w:shd w:val="clear" w:fill="FFFFFF"/>
          <w:lang w:eastAsia="zh-CN"/>
        </w:rPr>
        <w:t>.</w:t>
      </w:r>
      <w:r>
        <w:rPr>
          <w:rStyle w:val="20"/>
          <w:rFonts w:hint="eastAsia" w:ascii="仿宋_GB2312" w:hAnsi="仿宋_GB2312" w:eastAsia="仿宋_GB2312" w:cs="仿宋_GB2312"/>
          <w:b w:val="0"/>
          <w:bCs w:val="0"/>
          <w:i w:val="0"/>
          <w:iCs w:val="0"/>
          <w:caps w:val="0"/>
          <w:color w:val="0F1115"/>
          <w:spacing w:val="0"/>
          <w:sz w:val="32"/>
          <w:szCs w:val="32"/>
          <w:shd w:val="clear" w:fill="FFFFFF"/>
        </w:rPr>
        <w:t>服务目标：</w:t>
      </w:r>
      <w:r>
        <w:rPr>
          <w:rFonts w:hint="eastAsia" w:ascii="仿宋_GB2312" w:hAnsi="仿宋_GB2312" w:eastAsia="仿宋_GB2312" w:cs="仿宋_GB2312"/>
          <w:b w:val="0"/>
          <w:bCs w:val="0"/>
          <w:i w:val="0"/>
          <w:iCs w:val="0"/>
          <w:caps w:val="0"/>
          <w:color w:val="0F1115"/>
          <w:spacing w:val="0"/>
          <w:sz w:val="32"/>
          <w:szCs w:val="32"/>
          <w:shd w:val="clear" w:fill="FFFFFF"/>
        </w:rPr>
        <w:t>乙方应建立7×</w:t>
      </w: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16</w:t>
      </w:r>
      <w:r>
        <w:rPr>
          <w:rFonts w:hint="eastAsia" w:ascii="仿宋_GB2312" w:hAnsi="仿宋_GB2312" w:eastAsia="仿宋_GB2312" w:cs="仿宋_GB2312"/>
          <w:b w:val="0"/>
          <w:bCs w:val="0"/>
          <w:i w:val="0"/>
          <w:iCs w:val="0"/>
          <w:caps w:val="0"/>
          <w:color w:val="0F1115"/>
          <w:spacing w:val="0"/>
          <w:sz w:val="32"/>
          <w:szCs w:val="32"/>
          <w:shd w:val="clear" w:fill="FFFFFF"/>
        </w:rPr>
        <w:t>小时不间断的舆情监测体系，旨在对涉及</w:t>
      </w:r>
      <w:r>
        <w:rPr>
          <w:rStyle w:val="20"/>
          <w:rFonts w:hint="eastAsia" w:ascii="仿宋_GB2312" w:hAnsi="仿宋_GB2312" w:eastAsia="仿宋_GB2312" w:cs="仿宋_GB2312"/>
          <w:b w:val="0"/>
          <w:bCs w:val="0"/>
          <w:i w:val="0"/>
          <w:iCs w:val="0"/>
          <w:caps w:val="0"/>
          <w:color w:val="0F1115"/>
          <w:spacing w:val="0"/>
          <w:sz w:val="32"/>
          <w:szCs w:val="32"/>
          <w:shd w:val="clear" w:fill="FFFFFF"/>
        </w:rPr>
        <w:t>甲方公司品牌、</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主合同内涉及开发、运营地产项目</w:t>
      </w:r>
      <w:r>
        <w:rPr>
          <w:rFonts w:hint="eastAsia" w:ascii="仿宋_GB2312" w:hAnsi="仿宋_GB2312" w:eastAsia="仿宋_GB2312" w:cs="仿宋_GB2312"/>
          <w:b w:val="0"/>
          <w:bCs w:val="0"/>
          <w:i w:val="0"/>
          <w:iCs w:val="0"/>
          <w:caps w:val="0"/>
          <w:color w:val="0F1115"/>
          <w:spacing w:val="0"/>
          <w:sz w:val="32"/>
          <w:szCs w:val="32"/>
          <w:shd w:val="clear" w:fill="FFFFFF"/>
        </w:rPr>
        <w:t>的网络信息进行实时监测、快速预警、科学分析，并协助甲方/项目公司提供专业的分析与处置建议，以防范和化解品牌与项目声誉风险。</w:t>
      </w:r>
    </w:p>
    <w:p w14:paraId="5817C50A">
      <w:pPr>
        <w:pStyle w:val="15"/>
        <w:keepNext w:val="0"/>
        <w:keepLines w:val="0"/>
        <w:widowControl/>
        <w:suppressLineNumbers w:val="0"/>
        <w:shd w:val="clear" w:fill="FFFFFF"/>
        <w:spacing w:before="160" w:beforeAutospacing="0" w:after="160" w:afterAutospacing="0" w:line="560" w:lineRule="exact"/>
        <w:ind w:left="0" w:right="0" w:firstLine="640" w:firstLineChars="200"/>
        <w:rPr>
          <w:rStyle w:val="20"/>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lang w:eastAsia="zh-CN"/>
        </w:rPr>
        <w:t>2</w:t>
      </w: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w:t>
      </w:r>
      <w:r>
        <w:rPr>
          <w:rStyle w:val="20"/>
          <w:rFonts w:hint="eastAsia" w:ascii="仿宋_GB2312" w:hAnsi="仿宋_GB2312" w:eastAsia="仿宋_GB2312" w:cs="仿宋_GB2312"/>
          <w:b w:val="0"/>
          <w:bCs w:val="0"/>
          <w:i w:val="0"/>
          <w:iCs w:val="0"/>
          <w:caps w:val="0"/>
          <w:color w:val="0F1115"/>
          <w:spacing w:val="0"/>
          <w:sz w:val="32"/>
          <w:szCs w:val="32"/>
          <w:shd w:val="clear" w:fill="FFFFFF"/>
        </w:rPr>
        <w:t>监测范围：</w:t>
      </w:r>
    </w:p>
    <w:p w14:paraId="68D1F498">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（1）</w:t>
      </w:r>
      <w:r>
        <w:rPr>
          <w:rStyle w:val="20"/>
          <w:rFonts w:hint="eastAsia" w:ascii="仿宋_GB2312" w:hAnsi="仿宋_GB2312" w:eastAsia="仿宋_GB2312" w:cs="仿宋_GB2312"/>
          <w:b w:val="0"/>
          <w:bCs w:val="0"/>
          <w:i w:val="0"/>
          <w:iCs w:val="0"/>
          <w:caps w:val="0"/>
          <w:color w:val="0F1115"/>
          <w:spacing w:val="0"/>
          <w:sz w:val="32"/>
          <w:szCs w:val="32"/>
          <w:shd w:val="clear" w:fill="FFFFFF"/>
        </w:rPr>
        <w:t>监测平台：</w:t>
      </w:r>
      <w:r>
        <w:rPr>
          <w:rFonts w:hint="eastAsia" w:ascii="仿宋_GB2312" w:hAnsi="仿宋_GB2312" w:eastAsia="仿宋_GB2312" w:cs="仿宋_GB2312"/>
          <w:b w:val="0"/>
          <w:bCs w:val="0"/>
          <w:i w:val="0"/>
          <w:iCs w:val="0"/>
          <w:caps w:val="0"/>
          <w:color w:val="0F1115"/>
          <w:spacing w:val="0"/>
          <w:sz w:val="32"/>
          <w:szCs w:val="32"/>
          <w:shd w:val="clear" w:fill="FFFFFF"/>
        </w:rPr>
        <w:t>除通用平台外，须重点覆盖房产垂直门户网站（如房天下、安居客、乐居）、本地生活及投诉平台（如问政平台、黑猫投诉</w:t>
      </w:r>
      <w:r>
        <w:rPr>
          <w:rFonts w:hint="eastAsia" w:ascii="仿宋_GB2312" w:hAnsi="仿宋_GB2312" w:eastAsia="仿宋_GB2312" w:cs="仿宋_GB2312"/>
          <w:b w:val="0"/>
          <w:bCs w:val="0"/>
          <w:i w:val="0"/>
          <w:iCs w:val="0"/>
          <w:caps w:val="0"/>
          <w:color w:val="0F1115"/>
          <w:spacing w:val="0"/>
          <w:sz w:val="32"/>
          <w:szCs w:val="32"/>
          <w:shd w:val="clear" w:fill="FFFFFF"/>
          <w:lang w:eastAsia="zh-CN"/>
        </w:rPr>
        <w:t>、</w:t>
      </w: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12345</w:t>
      </w:r>
      <w:r>
        <w:rPr>
          <w:rFonts w:hint="eastAsia" w:ascii="仿宋_GB2312" w:hAnsi="仿宋_GB2312" w:eastAsia="仿宋_GB2312" w:cs="仿宋_GB2312"/>
          <w:b w:val="0"/>
          <w:bCs w:val="0"/>
          <w:i w:val="0"/>
          <w:iCs w:val="0"/>
          <w:caps w:val="0"/>
          <w:color w:val="0F1115"/>
          <w:spacing w:val="0"/>
          <w:sz w:val="32"/>
          <w:szCs w:val="32"/>
          <w:shd w:val="clear" w:fill="FFFFFF"/>
        </w:rPr>
        <w:t>）、</w:t>
      </w: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本地自媒体账号（平台包括但不限于微信公众号、小红书）、</w:t>
      </w:r>
      <w:r>
        <w:rPr>
          <w:rFonts w:hint="eastAsia" w:ascii="仿宋_GB2312" w:hAnsi="仿宋_GB2312" w:eastAsia="仿宋_GB2312" w:cs="仿宋_GB2312"/>
          <w:b w:val="0"/>
          <w:bCs w:val="0"/>
          <w:i w:val="0"/>
          <w:iCs w:val="0"/>
          <w:caps w:val="0"/>
          <w:color w:val="0F1115"/>
          <w:spacing w:val="0"/>
          <w:sz w:val="32"/>
          <w:szCs w:val="32"/>
          <w:shd w:val="clear" w:fill="FFFFFF"/>
        </w:rPr>
        <w:t>购房者社群及短视频平台</w:t>
      </w:r>
      <w:r>
        <w:rPr>
          <w:rFonts w:hint="eastAsia" w:ascii="仿宋_GB2312" w:hAnsi="仿宋_GB2312" w:eastAsia="仿宋_GB2312" w:cs="仿宋_GB2312"/>
          <w:b w:val="0"/>
          <w:bCs w:val="0"/>
          <w:i w:val="0"/>
          <w:iCs w:val="0"/>
          <w:caps w:val="0"/>
          <w:color w:val="0F1115"/>
          <w:spacing w:val="0"/>
          <w:sz w:val="32"/>
          <w:szCs w:val="32"/>
          <w:shd w:val="clear" w:fill="FFFFFF"/>
          <w:lang w:eastAsia="zh-CN"/>
        </w:rPr>
        <w:t>（</w:t>
      </w: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包括但不限于抖音、快手</w:t>
      </w:r>
      <w:r>
        <w:rPr>
          <w:rFonts w:hint="eastAsia" w:ascii="仿宋_GB2312" w:hAnsi="仿宋_GB2312" w:eastAsia="仿宋_GB2312" w:cs="仿宋_GB2312"/>
          <w:b w:val="0"/>
          <w:bCs w:val="0"/>
          <w:i w:val="0"/>
          <w:iCs w:val="0"/>
          <w:caps w:val="0"/>
          <w:color w:val="0F1115"/>
          <w:spacing w:val="0"/>
          <w:sz w:val="32"/>
          <w:szCs w:val="32"/>
          <w:shd w:val="clear" w:fill="FFFFFF"/>
          <w:lang w:eastAsia="zh-CN"/>
        </w:rPr>
        <w:t>）</w:t>
      </w:r>
      <w:r>
        <w:rPr>
          <w:rFonts w:hint="eastAsia" w:ascii="仿宋_GB2312" w:hAnsi="仿宋_GB2312" w:eastAsia="仿宋_GB2312" w:cs="仿宋_GB2312"/>
          <w:b w:val="0"/>
          <w:bCs w:val="0"/>
          <w:i w:val="0"/>
          <w:iCs w:val="0"/>
          <w:caps w:val="0"/>
          <w:color w:val="0F1115"/>
          <w:spacing w:val="0"/>
          <w:sz w:val="32"/>
          <w:szCs w:val="32"/>
          <w:shd w:val="clear" w:fill="FFFFFF"/>
        </w:rPr>
        <w:t>中的房产版块。</w:t>
      </w:r>
    </w:p>
    <w:p w14:paraId="5AE26B5C">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（2）</w:t>
      </w:r>
      <w:r>
        <w:rPr>
          <w:rStyle w:val="20"/>
          <w:rFonts w:hint="eastAsia" w:ascii="仿宋_GB2312" w:hAnsi="仿宋_GB2312" w:eastAsia="仿宋_GB2312" w:cs="仿宋_GB2312"/>
          <w:b w:val="0"/>
          <w:bCs w:val="0"/>
          <w:i w:val="0"/>
          <w:iCs w:val="0"/>
          <w:caps w:val="0"/>
          <w:color w:val="0F1115"/>
          <w:spacing w:val="0"/>
          <w:sz w:val="32"/>
          <w:szCs w:val="32"/>
          <w:shd w:val="clear" w:fill="FFFFFF"/>
        </w:rPr>
        <w:t>关键词体系：</w:t>
      </w:r>
      <w:r>
        <w:rPr>
          <w:rFonts w:hint="eastAsia" w:ascii="仿宋_GB2312" w:hAnsi="仿宋_GB2312" w:eastAsia="仿宋_GB2312" w:cs="仿宋_GB2312"/>
          <w:b w:val="0"/>
          <w:bCs w:val="0"/>
          <w:i w:val="0"/>
          <w:iCs w:val="0"/>
          <w:caps w:val="0"/>
          <w:color w:val="0F1115"/>
          <w:spacing w:val="0"/>
          <w:sz w:val="32"/>
          <w:szCs w:val="32"/>
          <w:shd w:val="clear" w:fill="FFFFFF"/>
        </w:rPr>
        <w:t>以甲方提供的</w:t>
      </w:r>
      <w:r>
        <w:rPr>
          <w:rStyle w:val="20"/>
          <w:rFonts w:hint="eastAsia" w:ascii="仿宋_GB2312" w:hAnsi="仿宋_GB2312" w:eastAsia="仿宋_GB2312" w:cs="仿宋_GB2312"/>
          <w:b w:val="0"/>
          <w:bCs w:val="0"/>
          <w:i w:val="0"/>
          <w:iCs w:val="0"/>
          <w:caps w:val="0"/>
          <w:color w:val="0F1115"/>
          <w:spacing w:val="0"/>
          <w:sz w:val="32"/>
          <w:szCs w:val="32"/>
          <w:shd w:val="clear" w:fill="FFFFFF"/>
        </w:rPr>
        <w:t>公司品牌词、各项目案名、项目地址、高管</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信息</w:t>
      </w:r>
      <w:r>
        <w:rPr>
          <w:rFonts w:hint="eastAsia" w:ascii="仿宋_GB2312" w:hAnsi="仿宋_GB2312" w:eastAsia="仿宋_GB2312" w:cs="仿宋_GB2312"/>
          <w:b w:val="0"/>
          <w:bCs w:val="0"/>
          <w:i w:val="0"/>
          <w:iCs w:val="0"/>
          <w:caps w:val="0"/>
          <w:color w:val="0F1115"/>
          <w:spacing w:val="0"/>
          <w:sz w:val="32"/>
          <w:szCs w:val="32"/>
          <w:shd w:val="clear" w:fill="FFFFFF"/>
        </w:rPr>
        <w:t>为基础，并结合地产行业高敏感词（如“质量”“维权”“停工”“降价”“虚假宣传”“交付”“物业”等）组成动态监测关键词库。</w:t>
      </w:r>
    </w:p>
    <w:p w14:paraId="4AD5AC85">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3.服务周期与监测方案：</w:t>
      </w:r>
    </w:p>
    <w:p w14:paraId="691A9816">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（1）本服务期限与主合同期限等同。乙方需为此服务提供专用的舆情监测系统支持。</w:t>
      </w:r>
    </w:p>
    <w:p w14:paraId="62BD623A">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（2）乙方须为甲方提供3套定制化监测方案，每套方案包含100个关键词，合计300个关键词。</w:t>
      </w:r>
    </w:p>
    <w:p w14:paraId="7B9F23D1">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（3）</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乙方应每季度与甲方沟通优化关键词库，确保监测的精准性与时效性。</w:t>
      </w:r>
    </w:p>
    <w:p w14:paraId="4C80ACAC">
      <w:pPr>
        <w:pStyle w:val="7"/>
        <w:keepNext w:val="0"/>
        <w:keepLines w:val="0"/>
        <w:widowControl/>
        <w:numPr>
          <w:ilvl w:val="-1"/>
          <w:numId w:val="0"/>
        </w:numPr>
        <w:suppressLineNumbers w:val="0"/>
        <w:shd w:val="clear" w:fill="FFFFFF"/>
        <w:spacing w:before="160" w:beforeAutospacing="0" w:after="160" w:afterAutospacing="0" w:line="560" w:lineRule="exact"/>
        <w:ind w:left="420" w:leftChars="200" w:right="0" w:rightChars="0" w:firstLine="0" w:firstLineChars="0"/>
        <w:outlineLvl w:val="9"/>
        <w:rPr>
          <w:rStyle w:val="20"/>
          <w:rFonts w:hint="eastAsia" w:ascii="黑体" w:hAnsi="黑体" w:eastAsia="黑体" w:cs="黑体"/>
          <w:b w:val="0"/>
          <w:bCs w:val="0"/>
          <w:i w:val="0"/>
          <w:iCs w:val="0"/>
          <w:caps w:val="0"/>
          <w:color w:val="auto"/>
          <w:spacing w:val="0"/>
          <w:sz w:val="32"/>
          <w:szCs w:val="32"/>
          <w:shd w:val="clear" w:fill="FFFFFF"/>
        </w:rPr>
      </w:pPr>
      <w:r>
        <w:rPr>
          <w:rStyle w:val="20"/>
          <w:rFonts w:hint="eastAsia" w:ascii="黑体" w:hAnsi="黑体" w:eastAsia="黑体" w:cs="黑体"/>
          <w:b w:val="0"/>
          <w:bCs w:val="0"/>
          <w:i w:val="0"/>
          <w:iCs w:val="0"/>
          <w:caps w:val="0"/>
          <w:color w:val="auto"/>
          <w:spacing w:val="0"/>
          <w:sz w:val="32"/>
          <w:szCs w:val="32"/>
          <w:shd w:val="clear" w:fill="FFFFFF"/>
        </w:rPr>
        <w:t>第二条 服务效果承诺与验收标准</w:t>
      </w:r>
    </w:p>
    <w:p w14:paraId="4A1C7DE7">
      <w:pPr>
        <w:pStyle w:val="7"/>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160" w:beforeAutospacing="0" w:after="160" w:afterAutospacing="0" w:line="560" w:lineRule="exact"/>
        <w:ind w:left="0" w:leftChars="0" w:right="0" w:rightChars="0" w:firstLine="640" w:firstLineChars="200"/>
        <w:textAlignment w:val="auto"/>
        <w:outlineLvl w:val="9"/>
        <w:rPr>
          <w:rStyle w:val="20"/>
          <w:rFonts w:hint="eastAsia" w:ascii="仿宋_GB2312" w:hAnsi="仿宋_GB2312" w:eastAsia="仿宋_GB2312" w:cs="仿宋_GB2312"/>
          <w:b w:val="0"/>
          <w:bCs w:val="0"/>
          <w:i w:val="0"/>
          <w:iCs w:val="0"/>
          <w:caps w:val="0"/>
          <w:color w:val="auto"/>
          <w:spacing w:val="0"/>
          <w:sz w:val="32"/>
          <w:szCs w:val="32"/>
          <w:shd w:val="clear" w:fill="FFFFFF"/>
        </w:rPr>
      </w:pPr>
      <w:r>
        <w:rPr>
          <w:rStyle w:val="20"/>
          <w:rFonts w:hint="eastAsia" w:ascii="仿宋_GB2312" w:hAnsi="仿宋_GB2312" w:eastAsia="仿宋_GB2312" w:cs="仿宋_GB2312"/>
          <w:b w:val="0"/>
          <w:bCs w:val="0"/>
          <w:i w:val="0"/>
          <w:iCs w:val="0"/>
          <w:caps w:val="0"/>
          <w:color w:val="auto"/>
          <w:spacing w:val="0"/>
          <w:sz w:val="32"/>
          <w:szCs w:val="32"/>
          <w:shd w:val="clear" w:fill="FFFFFF"/>
        </w:rPr>
        <w:t>乙方承诺在本合同服务期内，通过舆情监测及处置服务，为甲方实现以下可量化、可验证的服务效果目标：</w:t>
      </w:r>
    </w:p>
    <w:tbl>
      <w:tblPr>
        <w:tblStyle w:val="18"/>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380"/>
        <w:gridCol w:w="3380"/>
      </w:tblGrid>
      <w:tr w14:paraId="11CB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378" w:type="dxa"/>
            <w:vAlign w:val="center"/>
          </w:tcPr>
          <w:p w14:paraId="502A4916">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维度</w:t>
            </w:r>
          </w:p>
        </w:tc>
        <w:tc>
          <w:tcPr>
            <w:tcW w:w="3380" w:type="dxa"/>
            <w:vAlign w:val="center"/>
          </w:tcPr>
          <w:p w14:paraId="64C8D150">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具体标准</w:t>
            </w:r>
          </w:p>
        </w:tc>
        <w:tc>
          <w:tcPr>
            <w:tcW w:w="3380" w:type="dxa"/>
            <w:vAlign w:val="center"/>
          </w:tcPr>
          <w:p w14:paraId="5633AD3B">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vertAlign w:val="baseline"/>
                <w:lang w:val="en-US" w:eastAsia="zh-CN"/>
              </w:rPr>
              <w:t>验收依据/违约责任</w:t>
            </w:r>
          </w:p>
        </w:tc>
      </w:tr>
      <w:tr w14:paraId="12D3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3378" w:type="dxa"/>
            <w:vAlign w:val="center"/>
          </w:tcPr>
          <w:p w14:paraId="65C7A84F">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监测覆盖率</w:t>
            </w:r>
          </w:p>
        </w:tc>
        <w:tc>
          <w:tcPr>
            <w:tcW w:w="3380" w:type="dxa"/>
            <w:vAlign w:val="center"/>
          </w:tcPr>
          <w:p w14:paraId="74FB6DF9">
            <w:pPr>
              <w:jc w:val="both"/>
              <w:rPr>
                <w:rFonts w:hint="eastAsia" w:ascii="仿宋_GB2312" w:hAnsi="仿宋_GB2312" w:eastAsia="仿宋_GB2312" w:cs="仿宋_GB2312"/>
                <w:sz w:val="24"/>
                <w:szCs w:val="24"/>
                <w:vertAlign w:val="baseline"/>
              </w:rPr>
            </w:pPr>
            <w:r>
              <w:rPr>
                <w:rFonts w:hint="eastAsia" w:ascii="仿宋_GB2312" w:hAnsi="仿宋_GB2312" w:eastAsia="仿宋_GB2312" w:cs="仿宋_GB2312"/>
                <w:i w:val="0"/>
                <w:iCs w:val="0"/>
                <w:caps w:val="0"/>
                <w:color w:val="0F1115"/>
                <w:spacing w:val="0"/>
                <w:sz w:val="24"/>
                <w:szCs w:val="24"/>
                <w:shd w:val="clear" w:fill="FFFFFF"/>
              </w:rPr>
              <w:t>① 对第一条所列监测平台实现7×</w:t>
            </w:r>
            <w:r>
              <w:rPr>
                <w:rFonts w:hint="eastAsia" w:ascii="仿宋_GB2312" w:hAnsi="仿宋_GB2312" w:eastAsia="仿宋_GB2312" w:cs="仿宋_GB2312"/>
                <w:i w:val="0"/>
                <w:iCs w:val="0"/>
                <w:caps w:val="0"/>
                <w:color w:val="0F1115"/>
                <w:spacing w:val="0"/>
                <w:sz w:val="24"/>
                <w:szCs w:val="24"/>
                <w:shd w:val="clear" w:fill="FFFFFF"/>
                <w:lang w:val="en-US" w:eastAsia="zh-CN"/>
              </w:rPr>
              <w:t>16</w:t>
            </w:r>
            <w:r>
              <w:rPr>
                <w:rFonts w:hint="eastAsia" w:ascii="仿宋_GB2312" w:hAnsi="仿宋_GB2312" w:eastAsia="仿宋_GB2312" w:cs="仿宋_GB2312"/>
                <w:i w:val="0"/>
                <w:iCs w:val="0"/>
                <w:caps w:val="0"/>
                <w:color w:val="0F1115"/>
                <w:spacing w:val="0"/>
                <w:sz w:val="24"/>
                <w:szCs w:val="24"/>
                <w:shd w:val="clear" w:fill="FFFFFF"/>
              </w:rPr>
              <w:t>小时全覆盖监测；</w:t>
            </w:r>
            <w:r>
              <w:rPr>
                <w:rFonts w:hint="eastAsia" w:ascii="仿宋_GB2312" w:hAnsi="仿宋_GB2312" w:eastAsia="仿宋_GB2312" w:cs="仿宋_GB2312"/>
                <w:i w:val="0"/>
                <w:iCs w:val="0"/>
                <w:caps w:val="0"/>
                <w:color w:val="0F1115"/>
                <w:spacing w:val="0"/>
                <w:sz w:val="24"/>
                <w:szCs w:val="24"/>
                <w:shd w:val="clear" w:fill="FFFFFF"/>
              </w:rPr>
              <w:br w:type="textWrapping"/>
            </w:r>
            <w:r>
              <w:rPr>
                <w:rFonts w:hint="eastAsia" w:ascii="仿宋_GB2312" w:hAnsi="仿宋_GB2312" w:eastAsia="仿宋_GB2312" w:cs="仿宋_GB2312"/>
                <w:i w:val="0"/>
                <w:iCs w:val="0"/>
                <w:caps w:val="0"/>
                <w:color w:val="0F1115"/>
                <w:spacing w:val="0"/>
                <w:sz w:val="24"/>
                <w:szCs w:val="24"/>
                <w:shd w:val="clear" w:fill="FFFFFF"/>
              </w:rPr>
              <w:t>② 关键词监测方案每季度至少优化更新1次。</w:t>
            </w:r>
          </w:p>
        </w:tc>
        <w:tc>
          <w:tcPr>
            <w:tcW w:w="3380" w:type="dxa"/>
            <w:vAlign w:val="center"/>
          </w:tcPr>
          <w:p w14:paraId="29418BF4">
            <w:pPr>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i w:val="0"/>
                <w:iCs w:val="0"/>
                <w:caps w:val="0"/>
                <w:color w:val="0F1115"/>
                <w:spacing w:val="0"/>
                <w:sz w:val="24"/>
                <w:szCs w:val="24"/>
                <w:shd w:val="clear" w:fill="FFFFFF"/>
              </w:rPr>
              <w:t>《季度舆情监控分析报告》</w:t>
            </w:r>
          </w:p>
        </w:tc>
      </w:tr>
      <w:tr w14:paraId="2166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78" w:type="dxa"/>
            <w:vAlign w:val="center"/>
          </w:tcPr>
          <w:p w14:paraId="578FCF6E">
            <w:pPr>
              <w:jc w:val="center"/>
              <w:rPr>
                <w:rFonts w:hint="eastAsia" w:ascii="仿宋_GB2312" w:hAnsi="仿宋_GB2312" w:eastAsia="仿宋_GB2312" w:cs="仿宋_GB2312"/>
                <w:sz w:val="24"/>
                <w:szCs w:val="24"/>
                <w:vertAlign w:val="baseline"/>
              </w:rPr>
            </w:pPr>
            <w:r>
              <w:rPr>
                <w:rStyle w:val="20"/>
                <w:rFonts w:hint="eastAsia" w:ascii="仿宋_GB2312" w:hAnsi="仿宋_GB2312" w:eastAsia="仿宋_GB2312" w:cs="仿宋_GB2312"/>
                <w:b/>
                <w:bCs/>
                <w:i w:val="0"/>
                <w:iCs w:val="0"/>
                <w:caps w:val="0"/>
                <w:color w:val="0F1115"/>
                <w:spacing w:val="0"/>
                <w:sz w:val="24"/>
                <w:szCs w:val="24"/>
                <w:shd w:val="clear" w:fill="FFFFFF"/>
              </w:rPr>
              <w:t>预警及时性</w:t>
            </w:r>
          </w:p>
        </w:tc>
        <w:tc>
          <w:tcPr>
            <w:tcW w:w="3380" w:type="dxa"/>
            <w:vAlign w:val="center"/>
          </w:tcPr>
          <w:p w14:paraId="41A3640C">
            <w:pPr>
              <w:jc w:val="both"/>
              <w:rPr>
                <w:rFonts w:hint="eastAsia" w:ascii="仿宋_GB2312" w:hAnsi="仿宋_GB2312" w:eastAsia="仿宋_GB2312" w:cs="仿宋_GB2312"/>
                <w:sz w:val="24"/>
                <w:szCs w:val="24"/>
                <w:vertAlign w:val="baseline"/>
              </w:rPr>
            </w:pPr>
            <w:r>
              <w:rPr>
                <w:rFonts w:hint="eastAsia" w:ascii="仿宋_GB2312" w:hAnsi="仿宋_GB2312" w:eastAsia="仿宋_GB2312" w:cs="仿宋_GB2312"/>
                <w:i w:val="0"/>
                <w:iCs w:val="0"/>
                <w:caps w:val="0"/>
                <w:color w:val="0F1115"/>
                <w:spacing w:val="0"/>
                <w:sz w:val="24"/>
                <w:szCs w:val="24"/>
                <w:shd w:val="clear" w:fill="FFFFFF"/>
              </w:rPr>
              <w:t>① 红</w:t>
            </w:r>
            <w:r>
              <w:rPr>
                <w:rFonts w:hint="eastAsia" w:ascii="仿宋_GB2312" w:hAnsi="仿宋_GB2312" w:eastAsia="仿宋_GB2312" w:cs="仿宋_GB2312"/>
                <w:i w:val="0"/>
                <w:iCs w:val="0"/>
                <w:caps w:val="0"/>
                <w:color w:val="0F1115"/>
                <w:spacing w:val="0"/>
                <w:sz w:val="24"/>
                <w:szCs w:val="24"/>
                <w:shd w:val="clear" w:fill="FFFFFF"/>
                <w:lang w:val="en-US" w:eastAsia="zh-CN"/>
              </w:rPr>
              <w:t>色预警：自信息互联网公开起，30分钟内完成人工识别并推送至甲方，同时提交初步处置建议；</w:t>
            </w:r>
            <w:r>
              <w:rPr>
                <w:rFonts w:hint="eastAsia" w:ascii="仿宋_GB2312" w:hAnsi="仿宋_GB2312" w:eastAsia="仿宋_GB2312" w:cs="仿宋_GB2312"/>
                <w:i w:val="0"/>
                <w:iCs w:val="0"/>
                <w:caps w:val="0"/>
                <w:color w:val="0F1115"/>
                <w:spacing w:val="0"/>
                <w:sz w:val="24"/>
                <w:szCs w:val="24"/>
                <w:shd w:val="clear" w:fill="FFFFFF"/>
                <w:lang w:val="en-US" w:eastAsia="zh-CN"/>
              </w:rPr>
              <w:br w:type="textWrapping"/>
            </w:r>
            <w:r>
              <w:rPr>
                <w:rFonts w:hint="eastAsia" w:ascii="仿宋_GB2312" w:hAnsi="仿宋_GB2312" w:eastAsia="仿宋_GB2312" w:cs="仿宋_GB2312"/>
                <w:i w:val="0"/>
                <w:iCs w:val="0"/>
                <w:caps w:val="0"/>
                <w:color w:val="0F1115"/>
                <w:spacing w:val="0"/>
                <w:sz w:val="24"/>
                <w:szCs w:val="24"/>
                <w:shd w:val="clear" w:fill="FFFFFF"/>
                <w:lang w:val="en-US" w:eastAsia="zh-CN"/>
              </w:rPr>
              <w:t>②</w:t>
            </w:r>
            <w:r>
              <w:rPr>
                <w:rFonts w:hint="eastAsia" w:ascii="仿宋_GB2312" w:hAnsi="仿宋_GB2312" w:eastAsia="仿宋_GB2312" w:cs="仿宋_GB2312"/>
                <w:i w:val="0"/>
                <w:iCs w:val="0"/>
                <w:caps w:val="0"/>
                <w:color w:val="0F1115"/>
                <w:spacing w:val="0"/>
                <w:sz w:val="24"/>
                <w:szCs w:val="24"/>
                <w:shd w:val="clear" w:fill="FFFFFF"/>
              </w:rPr>
              <w:t>橙色预警：自信息互联网公开起，</w:t>
            </w:r>
            <w:r>
              <w:rPr>
                <w:rStyle w:val="20"/>
                <w:rFonts w:hint="eastAsia" w:ascii="仿宋_GB2312" w:hAnsi="仿宋_GB2312" w:eastAsia="仿宋_GB2312" w:cs="仿宋_GB2312"/>
                <w:b/>
                <w:bCs/>
                <w:i w:val="0"/>
                <w:iCs w:val="0"/>
                <w:caps w:val="0"/>
                <w:color w:val="0F1115"/>
                <w:spacing w:val="0"/>
                <w:sz w:val="24"/>
                <w:szCs w:val="24"/>
                <w:shd w:val="clear" w:fill="FFFFFF"/>
                <w:lang w:val="en-US" w:eastAsia="zh-CN"/>
              </w:rPr>
              <w:t>30分钟内</w:t>
            </w:r>
            <w:r>
              <w:rPr>
                <w:rFonts w:hint="eastAsia" w:ascii="仿宋_GB2312" w:hAnsi="仿宋_GB2312" w:eastAsia="仿宋_GB2312" w:cs="仿宋_GB2312"/>
                <w:i w:val="0"/>
                <w:iCs w:val="0"/>
                <w:caps w:val="0"/>
                <w:color w:val="0F1115"/>
                <w:spacing w:val="0"/>
                <w:sz w:val="24"/>
                <w:szCs w:val="24"/>
                <w:shd w:val="clear" w:fill="FFFFFF"/>
              </w:rPr>
              <w:t>完成人工识别并推送至甲方</w:t>
            </w:r>
            <w:r>
              <w:rPr>
                <w:rFonts w:hint="eastAsia" w:ascii="仿宋_GB2312" w:hAnsi="仿宋_GB2312" w:eastAsia="仿宋_GB2312" w:cs="仿宋_GB2312"/>
                <w:i w:val="0"/>
                <w:iCs w:val="0"/>
                <w:caps w:val="0"/>
                <w:color w:val="0F1115"/>
                <w:spacing w:val="0"/>
                <w:sz w:val="24"/>
                <w:szCs w:val="24"/>
                <w:shd w:val="clear" w:fill="FFFFFF"/>
                <w:lang w:eastAsia="zh-CN"/>
              </w:rPr>
              <w:t>，</w:t>
            </w:r>
            <w:r>
              <w:rPr>
                <w:rFonts w:hint="eastAsia" w:ascii="仿宋_GB2312" w:hAnsi="仿宋_GB2312" w:eastAsia="仿宋_GB2312" w:cs="仿宋_GB2312"/>
                <w:i w:val="0"/>
                <w:iCs w:val="0"/>
                <w:caps w:val="0"/>
                <w:color w:val="0F1115"/>
                <w:spacing w:val="0"/>
                <w:sz w:val="24"/>
                <w:szCs w:val="24"/>
                <w:shd w:val="clear" w:fill="FFFFFF"/>
                <w:lang w:val="en-US" w:eastAsia="zh-CN"/>
              </w:rPr>
              <w:t>同时提交初步处置建议</w:t>
            </w:r>
            <w:r>
              <w:rPr>
                <w:rFonts w:hint="eastAsia" w:ascii="仿宋_GB2312" w:hAnsi="仿宋_GB2312" w:eastAsia="仿宋_GB2312" w:cs="仿宋_GB2312"/>
                <w:i w:val="0"/>
                <w:iCs w:val="0"/>
                <w:caps w:val="0"/>
                <w:color w:val="0F1115"/>
                <w:spacing w:val="0"/>
                <w:sz w:val="24"/>
                <w:szCs w:val="24"/>
                <w:shd w:val="clear" w:fill="FFFFFF"/>
              </w:rPr>
              <w:t>；</w:t>
            </w:r>
            <w:r>
              <w:rPr>
                <w:rFonts w:hint="eastAsia" w:ascii="仿宋_GB2312" w:hAnsi="仿宋_GB2312" w:eastAsia="仿宋_GB2312" w:cs="仿宋_GB2312"/>
                <w:i w:val="0"/>
                <w:iCs w:val="0"/>
                <w:caps w:val="0"/>
                <w:color w:val="0F1115"/>
                <w:spacing w:val="0"/>
                <w:sz w:val="24"/>
                <w:szCs w:val="24"/>
                <w:shd w:val="clear" w:fill="FFFFFF"/>
              </w:rPr>
              <w:br w:type="textWrapping"/>
            </w:r>
            <w:r>
              <w:rPr>
                <w:rFonts w:hint="eastAsia" w:ascii="仿宋_GB2312" w:hAnsi="仿宋_GB2312" w:eastAsia="仿宋_GB2312" w:cs="仿宋_GB2312"/>
                <w:i w:val="0"/>
                <w:iCs w:val="0"/>
                <w:caps w:val="0"/>
                <w:color w:val="0F1115"/>
                <w:spacing w:val="0"/>
                <w:sz w:val="24"/>
                <w:szCs w:val="24"/>
                <w:shd w:val="clear" w:fill="FFFFFF"/>
                <w:lang w:val="en-US" w:eastAsia="zh-CN"/>
              </w:rPr>
              <w:t>③</w:t>
            </w:r>
            <w:r>
              <w:rPr>
                <w:rFonts w:hint="eastAsia" w:ascii="仿宋_GB2312" w:hAnsi="仿宋_GB2312" w:eastAsia="仿宋_GB2312" w:cs="仿宋_GB2312"/>
                <w:i w:val="0"/>
                <w:iCs w:val="0"/>
                <w:caps w:val="0"/>
                <w:color w:val="0F1115"/>
                <w:spacing w:val="0"/>
                <w:sz w:val="24"/>
                <w:szCs w:val="24"/>
                <w:shd w:val="clear" w:fill="FFFFFF"/>
              </w:rPr>
              <w:t xml:space="preserve"> 单季度</w:t>
            </w:r>
            <w:r>
              <w:rPr>
                <w:rFonts w:hint="eastAsia" w:ascii="仿宋_GB2312" w:hAnsi="仿宋_GB2312" w:eastAsia="仿宋_GB2312" w:cs="仿宋_GB2312"/>
                <w:i w:val="0"/>
                <w:iCs w:val="0"/>
                <w:caps w:val="0"/>
                <w:color w:val="0F1115"/>
                <w:spacing w:val="0"/>
                <w:sz w:val="24"/>
                <w:szCs w:val="24"/>
                <w:shd w:val="clear" w:fill="FFFFFF"/>
                <w:lang w:val="en-US" w:eastAsia="zh-CN"/>
              </w:rPr>
              <w:t>红/橙预警</w:t>
            </w:r>
            <w:r>
              <w:rPr>
                <w:rFonts w:hint="eastAsia" w:ascii="仿宋_GB2312" w:hAnsi="仿宋_GB2312" w:eastAsia="仿宋_GB2312" w:cs="仿宋_GB2312"/>
                <w:i w:val="0"/>
                <w:iCs w:val="0"/>
                <w:caps w:val="0"/>
                <w:color w:val="0F1115"/>
                <w:spacing w:val="0"/>
                <w:sz w:val="24"/>
                <w:szCs w:val="24"/>
                <w:shd w:val="clear" w:fill="FFFFFF"/>
              </w:rPr>
              <w:t>漏报/迟报（超</w:t>
            </w:r>
            <w:r>
              <w:rPr>
                <w:rFonts w:hint="eastAsia" w:ascii="仿宋_GB2312" w:hAnsi="仿宋_GB2312" w:eastAsia="仿宋_GB2312" w:cs="仿宋_GB2312"/>
                <w:i w:val="0"/>
                <w:iCs w:val="0"/>
                <w:caps w:val="0"/>
                <w:color w:val="0F1115"/>
                <w:spacing w:val="0"/>
                <w:sz w:val="24"/>
                <w:szCs w:val="24"/>
                <w:shd w:val="clear" w:fill="FFFFFF"/>
                <w:lang w:val="en-US" w:eastAsia="zh-CN"/>
              </w:rPr>
              <w:t>时</w:t>
            </w:r>
            <w:r>
              <w:rPr>
                <w:rFonts w:hint="eastAsia" w:ascii="仿宋_GB2312" w:hAnsi="仿宋_GB2312" w:eastAsia="仿宋_GB2312" w:cs="仿宋_GB2312"/>
                <w:i w:val="0"/>
                <w:iCs w:val="0"/>
                <w:caps w:val="0"/>
                <w:color w:val="0F1115"/>
                <w:spacing w:val="0"/>
                <w:sz w:val="24"/>
                <w:szCs w:val="24"/>
                <w:shd w:val="clear" w:fill="FFFFFF"/>
              </w:rPr>
              <w:t>）</w:t>
            </w:r>
            <w:r>
              <w:rPr>
                <w:rStyle w:val="20"/>
                <w:rFonts w:hint="eastAsia" w:ascii="仿宋_GB2312" w:hAnsi="仿宋_GB2312" w:eastAsia="仿宋_GB2312" w:cs="仿宋_GB2312"/>
                <w:b/>
                <w:bCs/>
                <w:i w:val="0"/>
                <w:iCs w:val="0"/>
                <w:caps w:val="0"/>
                <w:color w:val="0F1115"/>
                <w:spacing w:val="0"/>
                <w:sz w:val="24"/>
                <w:szCs w:val="24"/>
                <w:shd w:val="clear" w:fill="FFFFFF"/>
              </w:rPr>
              <w:t>≤2次</w:t>
            </w:r>
            <w:r>
              <w:rPr>
                <w:rFonts w:hint="eastAsia" w:ascii="仿宋_GB2312" w:hAnsi="仿宋_GB2312" w:eastAsia="仿宋_GB2312" w:cs="仿宋_GB2312"/>
                <w:i w:val="0"/>
                <w:iCs w:val="0"/>
                <w:caps w:val="0"/>
                <w:color w:val="0F1115"/>
                <w:spacing w:val="0"/>
                <w:sz w:val="24"/>
                <w:szCs w:val="24"/>
                <w:shd w:val="clear" w:fill="FFFFFF"/>
              </w:rPr>
              <w:t>。</w:t>
            </w:r>
          </w:p>
        </w:tc>
        <w:tc>
          <w:tcPr>
            <w:tcW w:w="3380" w:type="dxa"/>
            <w:vAlign w:val="center"/>
          </w:tcPr>
          <w:p w14:paraId="3E5657D0">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i w:val="0"/>
                <w:iCs w:val="0"/>
                <w:caps w:val="0"/>
                <w:color w:val="0F1115"/>
                <w:spacing w:val="0"/>
                <w:sz w:val="24"/>
                <w:szCs w:val="24"/>
                <w:shd w:val="clear" w:fill="FFFFFF"/>
              </w:rPr>
              <w:t>项目专属群聊天记录、推送时间截图</w:t>
            </w:r>
            <w:r>
              <w:rPr>
                <w:rFonts w:hint="eastAsia" w:ascii="仿宋_GB2312" w:hAnsi="仿宋_GB2312" w:eastAsia="仿宋_GB2312" w:cs="仿宋_GB2312"/>
                <w:i w:val="0"/>
                <w:iCs w:val="0"/>
                <w:caps w:val="0"/>
                <w:color w:val="0F1115"/>
                <w:spacing w:val="0"/>
                <w:sz w:val="24"/>
                <w:szCs w:val="24"/>
                <w:shd w:val="clear" w:fill="FFFFFF"/>
                <w:lang w:eastAsia="zh-CN"/>
              </w:rPr>
              <w:t>、</w:t>
            </w:r>
            <w:r>
              <w:rPr>
                <w:rFonts w:hint="eastAsia" w:ascii="仿宋_GB2312" w:hAnsi="仿宋_GB2312" w:eastAsia="仿宋_GB2312" w:cs="仿宋_GB2312"/>
                <w:i w:val="0"/>
                <w:iCs w:val="0"/>
                <w:caps w:val="0"/>
                <w:color w:val="0F1115"/>
                <w:spacing w:val="0"/>
                <w:sz w:val="24"/>
                <w:szCs w:val="24"/>
                <w:shd w:val="clear" w:fill="FFFFFF"/>
                <w:lang w:val="en-US" w:eastAsia="zh-CN"/>
              </w:rPr>
              <w:t>处置建议提交记录</w:t>
            </w:r>
          </w:p>
        </w:tc>
      </w:tr>
      <w:tr w14:paraId="62E5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8" w:hRule="atLeast"/>
          <w:jc w:val="center"/>
        </w:trPr>
        <w:tc>
          <w:tcPr>
            <w:tcW w:w="3378" w:type="dxa"/>
            <w:vAlign w:val="center"/>
          </w:tcPr>
          <w:p w14:paraId="5620A08A">
            <w:pPr>
              <w:jc w:val="center"/>
              <w:rPr>
                <w:rFonts w:hint="eastAsia" w:ascii="仿宋_GB2312" w:hAnsi="仿宋_GB2312" w:eastAsia="仿宋_GB2312" w:cs="仿宋_GB2312"/>
                <w:sz w:val="24"/>
                <w:szCs w:val="24"/>
                <w:vertAlign w:val="baseline"/>
              </w:rPr>
            </w:pPr>
            <w:r>
              <w:rPr>
                <w:rStyle w:val="20"/>
                <w:rFonts w:hint="eastAsia" w:ascii="仿宋_GB2312" w:hAnsi="仿宋_GB2312" w:eastAsia="仿宋_GB2312" w:cs="仿宋_GB2312"/>
                <w:b/>
                <w:bCs/>
                <w:i w:val="0"/>
                <w:iCs w:val="0"/>
                <w:caps w:val="0"/>
                <w:color w:val="0F1115"/>
                <w:spacing w:val="0"/>
                <w:sz w:val="24"/>
                <w:szCs w:val="24"/>
                <w:shd w:val="clear" w:fill="FFFFFF"/>
              </w:rPr>
              <w:t>报告与复盘</w:t>
            </w:r>
          </w:p>
        </w:tc>
        <w:tc>
          <w:tcPr>
            <w:tcW w:w="3380" w:type="dxa"/>
            <w:vAlign w:val="center"/>
          </w:tcPr>
          <w:p w14:paraId="19F68275">
            <w:pPr>
              <w:jc w:val="both"/>
              <w:rPr>
                <w:rFonts w:hint="eastAsia" w:ascii="仿宋_GB2312" w:hAnsi="仿宋_GB2312" w:eastAsia="仿宋_GB2312" w:cs="仿宋_GB2312"/>
                <w:sz w:val="24"/>
                <w:szCs w:val="24"/>
                <w:vertAlign w:val="baseline"/>
              </w:rPr>
            </w:pPr>
            <w:r>
              <w:rPr>
                <w:rFonts w:hint="eastAsia" w:ascii="仿宋_GB2312" w:hAnsi="仿宋_GB2312" w:eastAsia="仿宋_GB2312" w:cs="仿宋_GB2312"/>
                <w:i w:val="0"/>
                <w:iCs w:val="0"/>
                <w:caps w:val="0"/>
                <w:color w:val="0F1115"/>
                <w:spacing w:val="0"/>
                <w:sz w:val="24"/>
                <w:szCs w:val="24"/>
                <w:shd w:val="clear" w:fill="FFFFFF"/>
              </w:rPr>
              <w:t>① 每季度提交《季度舆情监控分析报告》</w:t>
            </w:r>
            <w:r>
              <w:rPr>
                <w:rFonts w:hint="eastAsia" w:ascii="仿宋_GB2312" w:hAnsi="仿宋_GB2312" w:eastAsia="仿宋_GB2312" w:cs="仿宋_GB2312"/>
                <w:i w:val="0"/>
                <w:iCs w:val="0"/>
                <w:caps w:val="0"/>
                <w:color w:val="0F1115"/>
                <w:spacing w:val="0"/>
                <w:sz w:val="24"/>
                <w:szCs w:val="24"/>
                <w:shd w:val="clear" w:fill="FFFFFF"/>
              </w:rPr>
              <w:br w:type="textWrapping"/>
            </w:r>
            <w:r>
              <w:rPr>
                <w:rFonts w:hint="eastAsia" w:ascii="仿宋_GB2312" w:hAnsi="仿宋_GB2312" w:eastAsia="仿宋_GB2312" w:cs="仿宋_GB2312"/>
                <w:i w:val="0"/>
                <w:iCs w:val="0"/>
                <w:caps w:val="0"/>
                <w:color w:val="0F1115"/>
                <w:spacing w:val="0"/>
                <w:sz w:val="24"/>
                <w:szCs w:val="24"/>
                <w:shd w:val="clear" w:fill="FFFFFF"/>
              </w:rPr>
              <w:t>② </w:t>
            </w:r>
            <w:r>
              <w:rPr>
                <w:rFonts w:hint="eastAsia" w:ascii="仿宋_GB2312" w:hAnsi="仿宋_GB2312" w:eastAsia="仿宋_GB2312" w:cs="仿宋_GB2312"/>
                <w:i w:val="0"/>
                <w:iCs w:val="0"/>
                <w:caps w:val="0"/>
                <w:color w:val="0F1115"/>
                <w:spacing w:val="0"/>
                <w:sz w:val="24"/>
                <w:szCs w:val="24"/>
                <w:shd w:val="clear" w:fill="FFFFFF"/>
                <w:lang w:val="en-US" w:eastAsia="zh-CN"/>
              </w:rPr>
              <w:t>每年提交《事件速报》《事件专报》</w:t>
            </w:r>
          </w:p>
        </w:tc>
        <w:tc>
          <w:tcPr>
            <w:tcW w:w="3380" w:type="dxa"/>
            <w:vAlign w:val="center"/>
          </w:tcPr>
          <w:p w14:paraId="6289782C">
            <w:pPr>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i w:val="0"/>
                <w:iCs w:val="0"/>
                <w:caps w:val="0"/>
                <w:color w:val="0F1115"/>
                <w:spacing w:val="0"/>
                <w:sz w:val="24"/>
                <w:szCs w:val="24"/>
                <w:shd w:val="clear" w:fill="FFFFFF"/>
              </w:rPr>
              <w:t>《季度舆情监控分析报告》</w:t>
            </w:r>
            <w:r>
              <w:rPr>
                <w:rFonts w:hint="eastAsia" w:ascii="仿宋_GB2312" w:hAnsi="仿宋_GB2312" w:eastAsia="仿宋_GB2312" w:cs="仿宋_GB2312"/>
                <w:i w:val="0"/>
                <w:iCs w:val="0"/>
                <w:caps w:val="0"/>
                <w:color w:val="0F1115"/>
                <w:spacing w:val="0"/>
                <w:sz w:val="24"/>
                <w:szCs w:val="24"/>
                <w:shd w:val="clear" w:fill="FFFFFF"/>
                <w:lang w:eastAsia="zh-CN"/>
              </w:rPr>
              <w:t>《</w:t>
            </w:r>
            <w:r>
              <w:rPr>
                <w:rFonts w:hint="eastAsia" w:ascii="仿宋_GB2312" w:hAnsi="仿宋_GB2312" w:eastAsia="仿宋_GB2312" w:cs="仿宋_GB2312"/>
                <w:i w:val="0"/>
                <w:iCs w:val="0"/>
                <w:caps w:val="0"/>
                <w:color w:val="0F1115"/>
                <w:spacing w:val="0"/>
                <w:sz w:val="24"/>
                <w:szCs w:val="24"/>
                <w:shd w:val="clear" w:fill="FFFFFF"/>
                <w:lang w:val="en-US" w:eastAsia="zh-CN"/>
              </w:rPr>
              <w:t>事件速报</w:t>
            </w:r>
            <w:r>
              <w:rPr>
                <w:rFonts w:hint="eastAsia" w:ascii="仿宋_GB2312" w:hAnsi="仿宋_GB2312" w:eastAsia="仿宋_GB2312" w:cs="仿宋_GB2312"/>
                <w:i w:val="0"/>
                <w:iCs w:val="0"/>
                <w:caps w:val="0"/>
                <w:color w:val="0F1115"/>
                <w:spacing w:val="0"/>
                <w:sz w:val="24"/>
                <w:szCs w:val="24"/>
                <w:shd w:val="clear" w:fill="FFFFFF"/>
                <w:lang w:eastAsia="zh-CN"/>
              </w:rPr>
              <w:t>》《</w:t>
            </w:r>
            <w:r>
              <w:rPr>
                <w:rFonts w:hint="eastAsia" w:ascii="仿宋_GB2312" w:hAnsi="仿宋_GB2312" w:eastAsia="仿宋_GB2312" w:cs="仿宋_GB2312"/>
                <w:i w:val="0"/>
                <w:iCs w:val="0"/>
                <w:caps w:val="0"/>
                <w:color w:val="0F1115"/>
                <w:spacing w:val="0"/>
                <w:sz w:val="24"/>
                <w:szCs w:val="24"/>
                <w:shd w:val="clear" w:fill="FFFFFF"/>
                <w:lang w:val="en-US" w:eastAsia="zh-CN"/>
              </w:rPr>
              <w:t>事件专报</w:t>
            </w:r>
            <w:r>
              <w:rPr>
                <w:rFonts w:hint="eastAsia" w:ascii="仿宋_GB2312" w:hAnsi="仿宋_GB2312" w:eastAsia="仿宋_GB2312" w:cs="仿宋_GB2312"/>
                <w:i w:val="0"/>
                <w:iCs w:val="0"/>
                <w:caps w:val="0"/>
                <w:color w:val="0F1115"/>
                <w:spacing w:val="0"/>
                <w:sz w:val="24"/>
                <w:szCs w:val="24"/>
                <w:shd w:val="clear" w:fill="FFFFFF"/>
                <w:lang w:eastAsia="zh-CN"/>
              </w:rPr>
              <w:t>》</w:t>
            </w:r>
          </w:p>
        </w:tc>
      </w:tr>
    </w:tbl>
    <w:p w14:paraId="26506F60">
      <w:pPr>
        <w:rPr>
          <w:rFonts w:hint="eastAsia"/>
        </w:rPr>
      </w:pPr>
    </w:p>
    <w:p w14:paraId="7B398D79">
      <w:pPr>
        <w:pStyle w:val="7"/>
        <w:keepNext w:val="0"/>
        <w:keepLines w:val="0"/>
        <w:widowControl/>
        <w:numPr>
          <w:ilvl w:val="-1"/>
          <w:numId w:val="0"/>
        </w:numPr>
        <w:suppressLineNumbers w:val="0"/>
        <w:shd w:val="clear" w:fill="FFFFFF"/>
        <w:spacing w:before="160" w:beforeAutospacing="0" w:after="160" w:afterAutospacing="0" w:line="560" w:lineRule="exact"/>
        <w:ind w:left="420" w:leftChars="200" w:right="0" w:rightChars="0" w:firstLine="0" w:firstLineChars="0"/>
        <w:outlineLvl w:val="9"/>
        <w:rPr>
          <w:rFonts w:hint="eastAsia" w:ascii="仿宋_GB2312" w:hAnsi="仿宋_GB2312" w:eastAsia="仿宋_GB2312" w:cs="仿宋_GB2312"/>
          <w:b w:val="0"/>
          <w:bCs w:val="0"/>
          <w:i w:val="0"/>
          <w:iCs w:val="0"/>
          <w:caps w:val="0"/>
          <w:color w:val="0F1115"/>
          <w:spacing w:val="0"/>
          <w:sz w:val="32"/>
          <w:szCs w:val="32"/>
        </w:rPr>
      </w:pPr>
      <w:r>
        <w:rPr>
          <w:rStyle w:val="20"/>
          <w:rFonts w:hint="eastAsia" w:ascii="黑体" w:hAnsi="黑体" w:eastAsia="黑体" w:cs="黑体"/>
          <w:b w:val="0"/>
          <w:bCs w:val="0"/>
          <w:i w:val="0"/>
          <w:iCs w:val="0"/>
          <w:caps w:val="0"/>
          <w:color w:val="0F1115"/>
          <w:spacing w:val="0"/>
          <w:sz w:val="32"/>
          <w:szCs w:val="32"/>
          <w:shd w:val="clear" w:fill="FFFFFF"/>
        </w:rPr>
        <w:t>第</w:t>
      </w:r>
      <w:r>
        <w:rPr>
          <w:rStyle w:val="20"/>
          <w:rFonts w:hint="eastAsia" w:ascii="黑体" w:hAnsi="黑体" w:eastAsia="黑体" w:cs="黑体"/>
          <w:b w:val="0"/>
          <w:bCs w:val="0"/>
          <w:i w:val="0"/>
          <w:iCs w:val="0"/>
          <w:caps w:val="0"/>
          <w:color w:val="0F1115"/>
          <w:spacing w:val="0"/>
          <w:sz w:val="32"/>
          <w:szCs w:val="32"/>
          <w:shd w:val="clear" w:fill="FFFFFF"/>
          <w:lang w:val="en-US" w:eastAsia="zh-CN"/>
        </w:rPr>
        <w:t>三</w:t>
      </w:r>
      <w:r>
        <w:rPr>
          <w:rStyle w:val="20"/>
          <w:rFonts w:hint="eastAsia" w:ascii="黑体" w:hAnsi="黑体" w:eastAsia="黑体" w:cs="黑体"/>
          <w:b w:val="0"/>
          <w:bCs w:val="0"/>
          <w:i w:val="0"/>
          <w:iCs w:val="0"/>
          <w:caps w:val="0"/>
          <w:color w:val="0F1115"/>
          <w:spacing w:val="0"/>
          <w:sz w:val="32"/>
          <w:szCs w:val="32"/>
          <w:shd w:val="clear" w:fill="FFFFFF"/>
        </w:rPr>
        <w:t>条 舆情分级与预警标准</w:t>
      </w:r>
    </w:p>
    <w:p w14:paraId="4C7D16A3">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rPr>
        <w:t>根据地产行业特点，将舆情信息按潜在影响力进行分级预警。乙方须根据以下标准判断并发布预警：</w:t>
      </w:r>
    </w:p>
    <w:tbl>
      <w:tblPr>
        <w:tblStyle w:val="18"/>
        <w:tblW w:w="10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3202"/>
        <w:gridCol w:w="2505"/>
        <w:gridCol w:w="2505"/>
      </w:tblGrid>
      <w:tr w14:paraId="2EDE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7" w:type="dxa"/>
            <w:vAlign w:val="center"/>
          </w:tcPr>
          <w:p w14:paraId="0D5FF6F9">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8"/>
                <w:szCs w:val="28"/>
                <w:shd w:val="clear" w:fill="FFFFFF"/>
                <w:vertAlign w:val="baseline"/>
              </w:rPr>
            </w:pPr>
            <w:r>
              <w:rPr>
                <w:rStyle w:val="20"/>
                <w:rFonts w:hint="eastAsia" w:ascii="仿宋_GB2312" w:hAnsi="仿宋_GB2312" w:eastAsia="仿宋_GB2312" w:cs="仿宋_GB2312"/>
                <w:b/>
                <w:bCs/>
                <w:i w:val="0"/>
                <w:iCs w:val="0"/>
                <w:caps w:val="0"/>
                <w:color w:val="0F1115"/>
                <w:spacing w:val="0"/>
                <w:sz w:val="28"/>
                <w:szCs w:val="28"/>
                <w:shd w:val="clear" w:fill="FFFFFF"/>
              </w:rPr>
              <w:t>预警等级</w:t>
            </w:r>
          </w:p>
        </w:tc>
        <w:tc>
          <w:tcPr>
            <w:tcW w:w="3202" w:type="dxa"/>
            <w:vAlign w:val="center"/>
          </w:tcPr>
          <w:p w14:paraId="12B0207D">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8"/>
                <w:szCs w:val="28"/>
                <w:shd w:val="clear" w:fill="FFFFFF"/>
                <w:vertAlign w:val="baseline"/>
              </w:rPr>
            </w:pPr>
            <w:r>
              <w:rPr>
                <w:rStyle w:val="20"/>
                <w:rFonts w:hint="eastAsia" w:ascii="仿宋_GB2312" w:hAnsi="仿宋_GB2312" w:eastAsia="仿宋_GB2312" w:cs="仿宋_GB2312"/>
                <w:b/>
                <w:bCs/>
                <w:i w:val="0"/>
                <w:iCs w:val="0"/>
                <w:caps w:val="0"/>
                <w:color w:val="0F1115"/>
                <w:spacing w:val="0"/>
                <w:sz w:val="28"/>
                <w:szCs w:val="28"/>
                <w:shd w:val="clear" w:fill="FFFFFF"/>
              </w:rPr>
              <w:t>典型场景</w:t>
            </w:r>
          </w:p>
        </w:tc>
        <w:tc>
          <w:tcPr>
            <w:tcW w:w="2505" w:type="dxa"/>
            <w:vAlign w:val="center"/>
          </w:tcPr>
          <w:p w14:paraId="24CD9ADB">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8"/>
                <w:szCs w:val="28"/>
                <w:shd w:val="clear" w:fill="FFFFFF"/>
                <w:vertAlign w:val="baseline"/>
              </w:rPr>
            </w:pPr>
            <w:r>
              <w:rPr>
                <w:rStyle w:val="20"/>
                <w:rFonts w:hint="eastAsia" w:ascii="仿宋_GB2312" w:hAnsi="仿宋_GB2312" w:eastAsia="仿宋_GB2312" w:cs="仿宋_GB2312"/>
                <w:b/>
                <w:bCs/>
                <w:i w:val="0"/>
                <w:iCs w:val="0"/>
                <w:caps w:val="0"/>
                <w:color w:val="0F1115"/>
                <w:spacing w:val="0"/>
                <w:sz w:val="28"/>
                <w:szCs w:val="28"/>
                <w:shd w:val="clear" w:fill="FFFFFF"/>
              </w:rPr>
              <w:t>传播指标</w:t>
            </w:r>
          </w:p>
        </w:tc>
        <w:tc>
          <w:tcPr>
            <w:tcW w:w="2505" w:type="dxa"/>
            <w:vAlign w:val="center"/>
          </w:tcPr>
          <w:p w14:paraId="1E9F0E4E">
            <w:pPr>
              <w:pStyle w:val="15"/>
              <w:keepNext w:val="0"/>
              <w:keepLines w:val="0"/>
              <w:widowControl/>
              <w:suppressLineNumbers w:val="0"/>
              <w:spacing w:before="160" w:beforeAutospacing="0" w:after="160" w:afterAutospacing="0" w:line="560" w:lineRule="exact"/>
              <w:ind w:right="0"/>
              <w:jc w:val="center"/>
              <w:rPr>
                <w:rStyle w:val="20"/>
                <w:rFonts w:hint="eastAsia" w:ascii="仿宋_GB2312" w:hAnsi="仿宋_GB2312" w:eastAsia="仿宋_GB2312" w:cs="仿宋_GB2312"/>
                <w:b/>
                <w:bCs/>
                <w:i w:val="0"/>
                <w:iCs w:val="0"/>
                <w:caps w:val="0"/>
                <w:color w:val="0F1115"/>
                <w:spacing w:val="0"/>
                <w:sz w:val="28"/>
                <w:szCs w:val="28"/>
                <w:shd w:val="clear" w:fill="FFFFFF"/>
              </w:rPr>
            </w:pPr>
            <w:r>
              <w:rPr>
                <w:rStyle w:val="20"/>
                <w:rFonts w:hint="eastAsia" w:ascii="仿宋_GB2312" w:hAnsi="仿宋_GB2312" w:eastAsia="仿宋_GB2312" w:cs="仿宋_GB2312"/>
                <w:b/>
                <w:bCs/>
                <w:i w:val="0"/>
                <w:iCs w:val="0"/>
                <w:caps w:val="0"/>
                <w:color w:val="0F1115"/>
                <w:spacing w:val="0"/>
                <w:sz w:val="28"/>
                <w:szCs w:val="28"/>
                <w:shd w:val="clear" w:fill="FFFFFF"/>
              </w:rPr>
              <w:t>响应要求</w:t>
            </w:r>
          </w:p>
        </w:tc>
      </w:tr>
      <w:tr w14:paraId="4253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3" w:hRule="atLeast"/>
          <w:jc w:val="center"/>
        </w:trPr>
        <w:tc>
          <w:tcPr>
            <w:tcW w:w="1807" w:type="dxa"/>
            <w:vAlign w:val="center"/>
          </w:tcPr>
          <w:p w14:paraId="69C3B620">
            <w:pPr>
              <w:pStyle w:val="15"/>
              <w:keepNext w:val="0"/>
              <w:keepLines w:val="0"/>
              <w:widowControl/>
              <w:suppressLineNumbers w:val="0"/>
              <w:spacing w:before="160" w:beforeAutospacing="0" w:after="160" w:afterAutospacing="0" w:line="560" w:lineRule="exact"/>
              <w:ind w:right="0"/>
              <w:jc w:val="center"/>
              <w:rPr>
                <w:rStyle w:val="20"/>
                <w:rFonts w:hint="eastAsia" w:ascii="仿宋_GB2312" w:hAnsi="仿宋_GB2312" w:eastAsia="仿宋_GB2312" w:cs="仿宋_GB2312"/>
                <w:b/>
                <w:bCs/>
                <w:i w:val="0"/>
                <w:iCs w:val="0"/>
                <w:caps w:val="0"/>
                <w:color w:val="0F1115"/>
                <w:spacing w:val="0"/>
                <w:sz w:val="24"/>
                <w:szCs w:val="24"/>
                <w:shd w:val="clear" w:fill="FFFFFF"/>
              </w:rPr>
            </w:pPr>
            <w:r>
              <w:rPr>
                <w:rStyle w:val="20"/>
                <w:rFonts w:hint="eastAsia" w:ascii="仿宋_GB2312" w:hAnsi="仿宋_GB2312" w:eastAsia="仿宋_GB2312" w:cs="仿宋_GB2312"/>
                <w:b/>
                <w:bCs/>
                <w:i w:val="0"/>
                <w:iCs w:val="0"/>
                <w:caps w:val="0"/>
                <w:color w:val="0F1115"/>
                <w:spacing w:val="0"/>
                <w:sz w:val="24"/>
                <w:szCs w:val="24"/>
                <w:shd w:val="clear" w:fill="FFFFFF"/>
              </w:rPr>
              <w:t>红色预警</w:t>
            </w:r>
          </w:p>
          <w:p w14:paraId="44C9AFDA">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4"/>
                <w:szCs w:val="24"/>
                <w:shd w:val="clear" w:fill="FFFFFF"/>
                <w:vertAlign w:val="baseline"/>
              </w:rPr>
            </w:pPr>
            <w:r>
              <w:rPr>
                <w:rFonts w:hint="eastAsia" w:ascii="仿宋_GB2312" w:hAnsi="仿宋_GB2312" w:eastAsia="仿宋_GB2312" w:cs="仿宋_GB2312"/>
                <w:i w:val="0"/>
                <w:iCs w:val="0"/>
                <w:caps w:val="0"/>
                <w:color w:val="0F1115"/>
                <w:spacing w:val="0"/>
                <w:sz w:val="24"/>
                <w:szCs w:val="24"/>
                <w:shd w:val="clear" w:fill="FFFFFF"/>
              </w:rPr>
              <w:t>（重大负面）</w:t>
            </w:r>
          </w:p>
        </w:tc>
        <w:tc>
          <w:tcPr>
            <w:tcW w:w="3202" w:type="dxa"/>
            <w:vAlign w:val="center"/>
          </w:tcPr>
          <w:p w14:paraId="523ABEEB">
            <w:pPr>
              <w:pStyle w:val="15"/>
              <w:keepNext w:val="0"/>
              <w:keepLines w:val="0"/>
              <w:widowControl/>
              <w:suppressLineNumbers w:val="0"/>
              <w:spacing w:before="160" w:beforeAutospacing="0" w:after="160" w:afterAutospacing="0" w:line="560" w:lineRule="exact"/>
              <w:ind w:right="0"/>
              <w:jc w:val="both"/>
              <w:rPr>
                <w:rFonts w:hint="eastAsia" w:ascii="仿宋_GB2312" w:hAnsi="仿宋_GB2312" w:eastAsia="仿宋_GB2312" w:cs="仿宋_GB2312"/>
                <w:b w:val="0"/>
                <w:bCs w:val="0"/>
                <w:i w:val="0"/>
                <w:iCs w:val="0"/>
                <w:caps w:val="0"/>
                <w:color w:val="0F1115"/>
                <w:spacing w:val="0"/>
                <w:sz w:val="24"/>
                <w:szCs w:val="24"/>
                <w:shd w:val="clear" w:fill="FFFFFF"/>
                <w:vertAlign w:val="baseline"/>
              </w:rPr>
            </w:pPr>
            <w:r>
              <w:rPr>
                <w:rFonts w:hint="eastAsia" w:ascii="仿宋_GB2312" w:hAnsi="仿宋_GB2312" w:eastAsia="仿宋_GB2312" w:cs="仿宋_GB2312"/>
                <w:i w:val="0"/>
                <w:iCs w:val="0"/>
                <w:caps w:val="0"/>
                <w:color w:val="0F1115"/>
                <w:spacing w:val="0"/>
                <w:sz w:val="24"/>
                <w:szCs w:val="24"/>
                <w:shd w:val="clear" w:fill="FFFFFF"/>
              </w:rPr>
              <w:t>• 重大工程质量/安全事故（塌陷、火灾、严重漏水）；</w:t>
            </w:r>
            <w:r>
              <w:rPr>
                <w:rFonts w:hint="eastAsia" w:ascii="仿宋_GB2312" w:hAnsi="仿宋_GB2312" w:eastAsia="仿宋_GB2312" w:cs="仿宋_GB2312"/>
                <w:i w:val="0"/>
                <w:iCs w:val="0"/>
                <w:caps w:val="0"/>
                <w:color w:val="0F1115"/>
                <w:spacing w:val="0"/>
                <w:sz w:val="24"/>
                <w:szCs w:val="24"/>
                <w:shd w:val="clear" w:fill="FFFFFF"/>
              </w:rPr>
              <w:br w:type="textWrapping"/>
            </w:r>
            <w:r>
              <w:rPr>
                <w:rFonts w:hint="eastAsia" w:ascii="仿宋_GB2312" w:hAnsi="仿宋_GB2312" w:eastAsia="仿宋_GB2312" w:cs="仿宋_GB2312"/>
                <w:i w:val="0"/>
                <w:iCs w:val="0"/>
                <w:caps w:val="0"/>
                <w:color w:val="0F1115"/>
                <w:spacing w:val="0"/>
                <w:sz w:val="24"/>
                <w:szCs w:val="24"/>
                <w:shd w:val="clear" w:fill="FFFFFF"/>
              </w:rPr>
              <w:t>• “停工”“烂尾”“资金链断裂”等群体性恐慌谣言；</w:t>
            </w:r>
            <w:r>
              <w:rPr>
                <w:rFonts w:hint="eastAsia" w:ascii="仿宋_GB2312" w:hAnsi="仿宋_GB2312" w:eastAsia="仿宋_GB2312" w:cs="仿宋_GB2312"/>
                <w:i w:val="0"/>
                <w:iCs w:val="0"/>
                <w:caps w:val="0"/>
                <w:color w:val="0F1115"/>
                <w:spacing w:val="0"/>
                <w:sz w:val="24"/>
                <w:szCs w:val="24"/>
                <w:shd w:val="clear" w:fill="FFFFFF"/>
              </w:rPr>
              <w:br w:type="textWrapping"/>
            </w:r>
            <w:r>
              <w:rPr>
                <w:rFonts w:hint="eastAsia" w:ascii="仿宋_GB2312" w:hAnsi="仿宋_GB2312" w:eastAsia="仿宋_GB2312" w:cs="仿宋_GB2312"/>
                <w:i w:val="0"/>
                <w:iCs w:val="0"/>
                <w:caps w:val="0"/>
                <w:color w:val="0F1115"/>
                <w:spacing w:val="0"/>
                <w:sz w:val="24"/>
                <w:szCs w:val="24"/>
                <w:shd w:val="clear" w:fill="FFFFFF"/>
              </w:rPr>
              <w:t>• 大规模线下维权网络发酵；</w:t>
            </w:r>
            <w:r>
              <w:rPr>
                <w:rFonts w:hint="eastAsia" w:ascii="仿宋_GB2312" w:hAnsi="仿宋_GB2312" w:eastAsia="仿宋_GB2312" w:cs="仿宋_GB2312"/>
                <w:i w:val="0"/>
                <w:iCs w:val="0"/>
                <w:caps w:val="0"/>
                <w:color w:val="0F1115"/>
                <w:spacing w:val="0"/>
                <w:sz w:val="24"/>
                <w:szCs w:val="24"/>
                <w:shd w:val="clear" w:fill="FFFFFF"/>
              </w:rPr>
              <w:br w:type="textWrapping"/>
            </w:r>
            <w:r>
              <w:rPr>
                <w:rFonts w:hint="eastAsia" w:ascii="仿宋_GB2312" w:hAnsi="仿宋_GB2312" w:eastAsia="仿宋_GB2312" w:cs="仿宋_GB2312"/>
                <w:i w:val="0"/>
                <w:iCs w:val="0"/>
                <w:caps w:val="0"/>
                <w:color w:val="0F1115"/>
                <w:spacing w:val="0"/>
                <w:sz w:val="24"/>
                <w:szCs w:val="24"/>
                <w:shd w:val="clear" w:fill="FFFFFF"/>
              </w:rPr>
              <w:t>• 中央/省级主流媒体介入调查负面报道。</w:t>
            </w:r>
          </w:p>
        </w:tc>
        <w:tc>
          <w:tcPr>
            <w:tcW w:w="2505" w:type="dxa"/>
            <w:vAlign w:val="center"/>
          </w:tcPr>
          <w:p w14:paraId="1A4A66CC">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4"/>
                <w:szCs w:val="24"/>
                <w:shd w:val="clear" w:fill="FFFFFF"/>
                <w:vertAlign w:val="baseline"/>
              </w:rPr>
            </w:pPr>
            <w:r>
              <w:rPr>
                <w:rFonts w:hint="eastAsia" w:ascii="仿宋_GB2312" w:hAnsi="仿宋_GB2312" w:eastAsia="仿宋_GB2312" w:cs="仿宋_GB2312"/>
                <w:i w:val="0"/>
                <w:iCs w:val="0"/>
                <w:caps w:val="0"/>
                <w:color w:val="0F1115"/>
                <w:spacing w:val="0"/>
                <w:sz w:val="24"/>
                <w:szCs w:val="24"/>
                <w:shd w:val="clear" w:fill="FFFFFF"/>
              </w:rPr>
              <w:t>核心媒体发布，或单一平台2小时内转评超100次，或登上本地热搜榜。</w:t>
            </w:r>
          </w:p>
        </w:tc>
        <w:tc>
          <w:tcPr>
            <w:tcW w:w="2505" w:type="dxa"/>
            <w:vAlign w:val="center"/>
          </w:tcPr>
          <w:p w14:paraId="51A0AACC">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i w:val="0"/>
                <w:iCs w:val="0"/>
                <w:caps w:val="0"/>
                <w:color w:val="0F1115"/>
                <w:spacing w:val="0"/>
                <w:sz w:val="24"/>
                <w:szCs w:val="24"/>
                <w:shd w:val="clear" w:fill="FFFFFF"/>
              </w:rPr>
            </w:pPr>
            <w:r>
              <w:rPr>
                <w:rFonts w:hint="eastAsia" w:ascii="仿宋_GB2312" w:hAnsi="仿宋_GB2312" w:eastAsia="仿宋_GB2312" w:cs="仿宋_GB2312"/>
                <w:i w:val="0"/>
                <w:iCs w:val="0"/>
                <w:caps w:val="0"/>
                <w:color w:val="0F1115"/>
                <w:spacing w:val="0"/>
                <w:sz w:val="24"/>
                <w:szCs w:val="24"/>
                <w:shd w:val="clear" w:fill="FFFFFF"/>
              </w:rPr>
              <w:t>触发主合同“2小时”应急响应机制</w:t>
            </w:r>
          </w:p>
        </w:tc>
      </w:tr>
      <w:tr w14:paraId="72B5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807" w:type="dxa"/>
            <w:vAlign w:val="center"/>
          </w:tcPr>
          <w:p w14:paraId="5801D930">
            <w:pPr>
              <w:pStyle w:val="15"/>
              <w:keepNext w:val="0"/>
              <w:keepLines w:val="0"/>
              <w:widowControl/>
              <w:suppressLineNumbers w:val="0"/>
              <w:spacing w:before="160" w:beforeAutospacing="0" w:after="160" w:afterAutospacing="0" w:line="560" w:lineRule="exact"/>
              <w:ind w:right="0"/>
              <w:jc w:val="center"/>
              <w:rPr>
                <w:rStyle w:val="20"/>
                <w:rFonts w:hint="eastAsia" w:ascii="仿宋_GB2312" w:hAnsi="仿宋_GB2312" w:eastAsia="仿宋_GB2312" w:cs="仿宋_GB2312"/>
                <w:b/>
                <w:bCs/>
                <w:i w:val="0"/>
                <w:iCs w:val="0"/>
                <w:caps w:val="0"/>
                <w:color w:val="0F1115"/>
                <w:spacing w:val="0"/>
                <w:sz w:val="24"/>
                <w:szCs w:val="24"/>
                <w:shd w:val="clear" w:fill="FFFFFF"/>
              </w:rPr>
            </w:pPr>
            <w:r>
              <w:rPr>
                <w:rStyle w:val="20"/>
                <w:rFonts w:hint="eastAsia" w:ascii="仿宋_GB2312" w:hAnsi="仿宋_GB2312" w:eastAsia="仿宋_GB2312" w:cs="仿宋_GB2312"/>
                <w:b/>
                <w:bCs/>
                <w:i w:val="0"/>
                <w:iCs w:val="0"/>
                <w:caps w:val="0"/>
                <w:color w:val="0F1115"/>
                <w:spacing w:val="0"/>
                <w:sz w:val="24"/>
                <w:szCs w:val="24"/>
                <w:shd w:val="clear" w:fill="FFFFFF"/>
              </w:rPr>
              <w:t>橙色预警</w:t>
            </w:r>
          </w:p>
          <w:p w14:paraId="2B6E03E0">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4"/>
                <w:szCs w:val="24"/>
                <w:shd w:val="clear" w:fill="FFFFFF"/>
                <w:vertAlign w:val="baseline"/>
              </w:rPr>
            </w:pPr>
            <w:r>
              <w:rPr>
                <w:rFonts w:hint="eastAsia" w:ascii="仿宋_GB2312" w:hAnsi="仿宋_GB2312" w:eastAsia="仿宋_GB2312" w:cs="仿宋_GB2312"/>
                <w:i w:val="0"/>
                <w:iCs w:val="0"/>
                <w:caps w:val="0"/>
                <w:color w:val="0F1115"/>
                <w:spacing w:val="0"/>
                <w:sz w:val="24"/>
                <w:szCs w:val="24"/>
                <w:shd w:val="clear" w:fill="FFFFFF"/>
              </w:rPr>
              <w:t>（中等负面）</w:t>
            </w:r>
          </w:p>
        </w:tc>
        <w:tc>
          <w:tcPr>
            <w:tcW w:w="3202" w:type="dxa"/>
            <w:vAlign w:val="center"/>
          </w:tcPr>
          <w:p w14:paraId="55540983">
            <w:pPr>
              <w:pStyle w:val="15"/>
              <w:keepNext w:val="0"/>
              <w:keepLines w:val="0"/>
              <w:widowControl/>
              <w:suppressLineNumbers w:val="0"/>
              <w:spacing w:before="160" w:beforeAutospacing="0" w:after="160" w:afterAutospacing="0" w:line="560" w:lineRule="exact"/>
              <w:ind w:right="0"/>
              <w:jc w:val="both"/>
              <w:rPr>
                <w:rFonts w:hint="eastAsia" w:ascii="仿宋_GB2312" w:hAnsi="仿宋_GB2312" w:eastAsia="仿宋_GB2312" w:cs="仿宋_GB2312"/>
                <w:b w:val="0"/>
                <w:bCs w:val="0"/>
                <w:i w:val="0"/>
                <w:iCs w:val="0"/>
                <w:caps w:val="0"/>
                <w:color w:val="0F1115"/>
                <w:spacing w:val="0"/>
                <w:sz w:val="24"/>
                <w:szCs w:val="24"/>
                <w:shd w:val="clear" w:fill="FFFFFF"/>
                <w:vertAlign w:val="baseline"/>
              </w:rPr>
            </w:pPr>
            <w:r>
              <w:rPr>
                <w:rFonts w:hint="eastAsia" w:ascii="仿宋_GB2312" w:hAnsi="仿宋_GB2312" w:eastAsia="仿宋_GB2312" w:cs="仿宋_GB2312"/>
                <w:i w:val="0"/>
                <w:iCs w:val="0"/>
                <w:caps w:val="0"/>
                <w:color w:val="0F1115"/>
                <w:spacing w:val="0"/>
                <w:sz w:val="24"/>
                <w:szCs w:val="24"/>
                <w:shd w:val="clear" w:fill="FFFFFF"/>
              </w:rPr>
              <w:t>• 规划变更、配套未兑现、装修减配、学位问题集中投诉；</w:t>
            </w:r>
            <w:r>
              <w:rPr>
                <w:rFonts w:hint="eastAsia" w:ascii="仿宋_GB2312" w:hAnsi="仿宋_GB2312" w:eastAsia="仿宋_GB2312" w:cs="仿宋_GB2312"/>
                <w:i w:val="0"/>
                <w:iCs w:val="0"/>
                <w:caps w:val="0"/>
                <w:color w:val="0F1115"/>
                <w:spacing w:val="0"/>
                <w:sz w:val="24"/>
                <w:szCs w:val="24"/>
                <w:shd w:val="clear" w:fill="FFFFFF"/>
              </w:rPr>
              <w:br w:type="textWrapping"/>
            </w:r>
            <w:r>
              <w:rPr>
                <w:rFonts w:hint="eastAsia" w:ascii="仿宋_GB2312" w:hAnsi="仿宋_GB2312" w:eastAsia="仿宋_GB2312" w:cs="仿宋_GB2312"/>
                <w:i w:val="0"/>
                <w:iCs w:val="0"/>
                <w:caps w:val="0"/>
                <w:color w:val="0F1115"/>
                <w:spacing w:val="0"/>
                <w:sz w:val="24"/>
                <w:szCs w:val="24"/>
                <w:shd w:val="clear" w:fill="FFFFFF"/>
              </w:rPr>
              <w:t>• 物业服务群体性不满网络扩散；</w:t>
            </w:r>
            <w:r>
              <w:rPr>
                <w:rFonts w:hint="eastAsia" w:ascii="仿宋_GB2312" w:hAnsi="仿宋_GB2312" w:eastAsia="仿宋_GB2312" w:cs="仿宋_GB2312"/>
                <w:i w:val="0"/>
                <w:iCs w:val="0"/>
                <w:caps w:val="0"/>
                <w:color w:val="0F1115"/>
                <w:spacing w:val="0"/>
                <w:sz w:val="24"/>
                <w:szCs w:val="24"/>
                <w:shd w:val="clear" w:fill="FFFFFF"/>
              </w:rPr>
              <w:br w:type="textWrapping"/>
            </w:r>
            <w:r>
              <w:rPr>
                <w:rFonts w:hint="eastAsia" w:ascii="仿宋_GB2312" w:hAnsi="仿宋_GB2312" w:eastAsia="仿宋_GB2312" w:cs="仿宋_GB2312"/>
                <w:i w:val="0"/>
                <w:iCs w:val="0"/>
                <w:caps w:val="0"/>
                <w:color w:val="0F1115"/>
                <w:spacing w:val="0"/>
                <w:sz w:val="24"/>
                <w:szCs w:val="24"/>
                <w:shd w:val="clear" w:fill="FFFFFF"/>
              </w:rPr>
              <w:t>• 房价波动、折扣差异引发维权讨论；</w:t>
            </w:r>
            <w:r>
              <w:rPr>
                <w:rFonts w:hint="eastAsia" w:ascii="仿宋_GB2312" w:hAnsi="仿宋_GB2312" w:eastAsia="仿宋_GB2312" w:cs="仿宋_GB2312"/>
                <w:i w:val="0"/>
                <w:iCs w:val="0"/>
                <w:caps w:val="0"/>
                <w:color w:val="0F1115"/>
                <w:spacing w:val="0"/>
                <w:sz w:val="24"/>
                <w:szCs w:val="24"/>
                <w:shd w:val="clear" w:fill="FFFFFF"/>
              </w:rPr>
              <w:br w:type="textWrapping"/>
            </w:r>
            <w:r>
              <w:rPr>
                <w:rFonts w:hint="eastAsia" w:ascii="仿宋_GB2312" w:hAnsi="仿宋_GB2312" w:eastAsia="仿宋_GB2312" w:cs="仿宋_GB2312"/>
                <w:i w:val="0"/>
                <w:iCs w:val="0"/>
                <w:caps w:val="0"/>
                <w:color w:val="0F1115"/>
                <w:spacing w:val="0"/>
                <w:sz w:val="24"/>
                <w:szCs w:val="24"/>
                <w:shd w:val="clear" w:fill="FFFFFF"/>
              </w:rPr>
              <w:t>• 地方媒体/知名自媒体发布调查类负面文章。</w:t>
            </w:r>
          </w:p>
        </w:tc>
        <w:tc>
          <w:tcPr>
            <w:tcW w:w="2505" w:type="dxa"/>
            <w:vAlign w:val="center"/>
          </w:tcPr>
          <w:p w14:paraId="4527EF4B">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4"/>
                <w:szCs w:val="24"/>
                <w:shd w:val="clear" w:fill="FFFFFF"/>
                <w:vertAlign w:val="baseline"/>
              </w:rPr>
            </w:pPr>
            <w:r>
              <w:rPr>
                <w:rFonts w:hint="eastAsia" w:ascii="仿宋_GB2312" w:hAnsi="仿宋_GB2312" w:eastAsia="仿宋_GB2312" w:cs="仿宋_GB2312"/>
                <w:i w:val="0"/>
                <w:iCs w:val="0"/>
                <w:caps w:val="0"/>
                <w:color w:val="0F1115"/>
                <w:spacing w:val="0"/>
                <w:sz w:val="24"/>
                <w:szCs w:val="24"/>
                <w:shd w:val="clear" w:fill="FFFFFF"/>
              </w:rPr>
              <w:t>地方媒体/垂直平台发布，或业主社群/论坛4小时内回复超20条。</w:t>
            </w:r>
          </w:p>
        </w:tc>
        <w:tc>
          <w:tcPr>
            <w:tcW w:w="2505" w:type="dxa"/>
            <w:vAlign w:val="center"/>
          </w:tcPr>
          <w:p w14:paraId="4BA727A2">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i w:val="0"/>
                <w:iCs w:val="0"/>
                <w:caps w:val="0"/>
                <w:color w:val="0F1115"/>
                <w:spacing w:val="0"/>
                <w:sz w:val="24"/>
                <w:szCs w:val="24"/>
                <w:shd w:val="clear" w:fill="FFFFFF"/>
              </w:rPr>
            </w:pPr>
            <w:r>
              <w:rPr>
                <w:rFonts w:hint="eastAsia" w:ascii="仿宋_GB2312" w:hAnsi="仿宋_GB2312" w:eastAsia="仿宋_GB2312" w:cs="仿宋_GB2312"/>
                <w:i w:val="0"/>
                <w:iCs w:val="0"/>
                <w:caps w:val="0"/>
                <w:color w:val="0F1115"/>
                <w:spacing w:val="0"/>
                <w:sz w:val="24"/>
                <w:szCs w:val="24"/>
                <w:shd w:val="clear" w:fill="FFFFFF"/>
              </w:rPr>
              <w:t>监测后30分钟内预警，2小时内提交初步分析报告及处置建议</w:t>
            </w:r>
          </w:p>
        </w:tc>
      </w:tr>
      <w:tr w14:paraId="76CC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1807" w:type="dxa"/>
            <w:vAlign w:val="center"/>
          </w:tcPr>
          <w:p w14:paraId="01ABB79C">
            <w:pPr>
              <w:pStyle w:val="15"/>
              <w:keepNext w:val="0"/>
              <w:keepLines w:val="0"/>
              <w:widowControl/>
              <w:suppressLineNumbers w:val="0"/>
              <w:spacing w:before="160" w:beforeAutospacing="0" w:after="160" w:afterAutospacing="0" w:line="560" w:lineRule="exact"/>
              <w:ind w:right="0"/>
              <w:jc w:val="center"/>
              <w:rPr>
                <w:rStyle w:val="20"/>
                <w:rFonts w:hint="eastAsia" w:ascii="仿宋_GB2312" w:hAnsi="仿宋_GB2312" w:eastAsia="仿宋_GB2312" w:cs="仿宋_GB2312"/>
                <w:b/>
                <w:bCs/>
                <w:i w:val="0"/>
                <w:iCs w:val="0"/>
                <w:caps w:val="0"/>
                <w:color w:val="0F1115"/>
                <w:spacing w:val="0"/>
                <w:sz w:val="24"/>
                <w:szCs w:val="24"/>
                <w:shd w:val="clear" w:fill="FFFFFF"/>
              </w:rPr>
            </w:pPr>
            <w:r>
              <w:rPr>
                <w:rStyle w:val="20"/>
                <w:rFonts w:hint="eastAsia" w:ascii="仿宋_GB2312" w:hAnsi="仿宋_GB2312" w:eastAsia="仿宋_GB2312" w:cs="仿宋_GB2312"/>
                <w:b/>
                <w:bCs/>
                <w:i w:val="0"/>
                <w:iCs w:val="0"/>
                <w:caps w:val="0"/>
                <w:color w:val="0F1115"/>
                <w:spacing w:val="0"/>
                <w:sz w:val="24"/>
                <w:szCs w:val="24"/>
                <w:shd w:val="clear" w:fill="FFFFFF"/>
              </w:rPr>
              <w:t>蓝色预警</w:t>
            </w:r>
          </w:p>
          <w:p w14:paraId="25FFFF3D">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4"/>
                <w:szCs w:val="24"/>
                <w:shd w:val="clear" w:fill="FFFFFF"/>
                <w:vertAlign w:val="baseline"/>
              </w:rPr>
            </w:pPr>
            <w:r>
              <w:rPr>
                <w:rFonts w:hint="eastAsia" w:ascii="仿宋_GB2312" w:hAnsi="仿宋_GB2312" w:eastAsia="仿宋_GB2312" w:cs="仿宋_GB2312"/>
                <w:i w:val="0"/>
                <w:iCs w:val="0"/>
                <w:caps w:val="0"/>
                <w:color w:val="0F1115"/>
                <w:spacing w:val="0"/>
                <w:sz w:val="24"/>
                <w:szCs w:val="24"/>
                <w:shd w:val="clear" w:fill="FFFFFF"/>
              </w:rPr>
              <w:t>（一般关注）</w:t>
            </w:r>
          </w:p>
        </w:tc>
        <w:tc>
          <w:tcPr>
            <w:tcW w:w="3202" w:type="dxa"/>
            <w:vAlign w:val="center"/>
          </w:tcPr>
          <w:p w14:paraId="0EB5ACA7">
            <w:pPr>
              <w:pStyle w:val="15"/>
              <w:keepNext w:val="0"/>
              <w:keepLines w:val="0"/>
              <w:widowControl/>
              <w:suppressLineNumbers w:val="0"/>
              <w:spacing w:before="160" w:beforeAutospacing="0" w:after="160" w:afterAutospacing="0" w:line="560" w:lineRule="exact"/>
              <w:ind w:right="0"/>
              <w:jc w:val="both"/>
              <w:rPr>
                <w:rFonts w:hint="eastAsia" w:ascii="仿宋_GB2312" w:hAnsi="仿宋_GB2312" w:eastAsia="仿宋_GB2312" w:cs="仿宋_GB2312"/>
                <w:b w:val="0"/>
                <w:bCs w:val="0"/>
                <w:i w:val="0"/>
                <w:iCs w:val="0"/>
                <w:caps w:val="0"/>
                <w:color w:val="0F1115"/>
                <w:spacing w:val="0"/>
                <w:sz w:val="24"/>
                <w:szCs w:val="24"/>
                <w:shd w:val="clear" w:fill="FFFFFF"/>
                <w:vertAlign w:val="baseline"/>
              </w:rPr>
            </w:pPr>
            <w:r>
              <w:rPr>
                <w:rFonts w:hint="eastAsia" w:ascii="仿宋_GB2312" w:hAnsi="仿宋_GB2312" w:eastAsia="仿宋_GB2312" w:cs="仿宋_GB2312"/>
                <w:i w:val="0"/>
                <w:iCs w:val="0"/>
                <w:caps w:val="0"/>
                <w:color w:val="0F1115"/>
                <w:spacing w:val="0"/>
                <w:sz w:val="24"/>
                <w:szCs w:val="24"/>
                <w:shd w:val="clear" w:fill="FFFFFF"/>
              </w:rPr>
              <w:t>个别业主投诉、销售服务意见、市场竞争对比、行业政策讨论等。</w:t>
            </w:r>
          </w:p>
        </w:tc>
        <w:tc>
          <w:tcPr>
            <w:tcW w:w="2505" w:type="dxa"/>
            <w:vAlign w:val="center"/>
          </w:tcPr>
          <w:p w14:paraId="590359D0">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pPr>
            <w:r>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t>/</w:t>
            </w:r>
          </w:p>
        </w:tc>
        <w:tc>
          <w:tcPr>
            <w:tcW w:w="2505" w:type="dxa"/>
            <w:vAlign w:val="center"/>
          </w:tcPr>
          <w:p w14:paraId="44C37EED">
            <w:pPr>
              <w:pStyle w:val="15"/>
              <w:keepNext w:val="0"/>
              <w:keepLines w:val="0"/>
              <w:widowControl/>
              <w:suppressLineNumbers w:val="0"/>
              <w:spacing w:before="160" w:beforeAutospacing="0" w:after="160" w:afterAutospacing="0" w:line="560" w:lineRule="exact"/>
              <w:ind w:right="0"/>
              <w:jc w:val="center"/>
              <w:rPr>
                <w:rFonts w:hint="eastAsia" w:ascii="仿宋_GB2312" w:hAnsi="仿宋_GB2312" w:eastAsia="仿宋_GB2312" w:cs="仿宋_GB2312"/>
                <w:b w:val="0"/>
                <w:bCs w:val="0"/>
                <w:i w:val="0"/>
                <w:iCs w:val="0"/>
                <w:caps w:val="0"/>
                <w:color w:val="0F1115"/>
                <w:spacing w:val="0"/>
                <w:sz w:val="24"/>
                <w:szCs w:val="24"/>
                <w:shd w:val="clear" w:fill="FFFFFF"/>
                <w:vertAlign w:val="baseline"/>
              </w:rPr>
            </w:pPr>
            <w:r>
              <w:rPr>
                <w:rFonts w:hint="eastAsia" w:ascii="仿宋_GB2312" w:hAnsi="仿宋_GB2312" w:eastAsia="仿宋_GB2312" w:cs="仿宋_GB2312"/>
                <w:i w:val="0"/>
                <w:iCs w:val="0"/>
                <w:caps w:val="0"/>
                <w:color w:val="0F1115"/>
                <w:spacing w:val="0"/>
                <w:sz w:val="24"/>
                <w:szCs w:val="24"/>
                <w:shd w:val="clear" w:fill="FFFFFF"/>
              </w:rPr>
              <w:t>汇总于每日舆情简报</w:t>
            </w:r>
          </w:p>
        </w:tc>
      </w:tr>
    </w:tbl>
    <w:p w14:paraId="248C25C4">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560" w:lineRule="exact"/>
        <w:ind w:right="0" w:firstLine="640" w:firstLineChars="200"/>
        <w:textAlignment w:val="auto"/>
        <w:rPr>
          <w:rFonts w:hint="eastAsia" w:ascii="仿宋_GB2312" w:hAnsi="仿宋_GB2312" w:eastAsia="仿宋_GB2312" w:cs="仿宋_GB2312"/>
          <w:b w:val="0"/>
          <w:bCs w:val="0"/>
          <w:i w:val="0"/>
          <w:iCs w:val="0"/>
          <w:caps w:val="0"/>
          <w:color w:val="0F1115"/>
          <w:spacing w:val="0"/>
          <w:sz w:val="32"/>
          <w:szCs w:val="32"/>
        </w:rPr>
      </w:pPr>
      <w:r>
        <w:rPr>
          <w:rStyle w:val="20"/>
          <w:rFonts w:hint="eastAsia" w:ascii="仿宋_GB2312" w:hAnsi="仿宋_GB2312" w:eastAsia="仿宋_GB2312" w:cs="仿宋_GB2312"/>
          <w:b w:val="0"/>
          <w:bCs w:val="0"/>
          <w:i w:val="0"/>
          <w:iCs w:val="0"/>
          <w:caps w:val="0"/>
          <w:color w:val="0F1115"/>
          <w:spacing w:val="0"/>
          <w:sz w:val="32"/>
          <w:szCs w:val="32"/>
          <w:shd w:val="clear" w:fill="FFFFFF"/>
        </w:rPr>
        <w:t>预警的发布与确认：</w:t>
      </w: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乙方通过双方约定的即时通讯工具（如项目微信专属群/电话联系）进行预警发布。甲方对接人应在接收到预警后15分钟内确认或提出异议，超时未反馈则视为确认。</w:t>
      </w:r>
    </w:p>
    <w:p w14:paraId="1DF6233E">
      <w:pPr>
        <w:pStyle w:val="7"/>
        <w:keepNext w:val="0"/>
        <w:keepLines w:val="0"/>
        <w:widowControl/>
        <w:numPr>
          <w:ilvl w:val="-1"/>
          <w:numId w:val="0"/>
        </w:numPr>
        <w:suppressLineNumbers w:val="0"/>
        <w:shd w:val="clear" w:fill="FFFFFF"/>
        <w:spacing w:before="160" w:beforeAutospacing="0" w:after="160" w:afterAutospacing="0" w:line="560" w:lineRule="exact"/>
        <w:ind w:left="420" w:leftChars="200" w:right="0" w:rightChars="0" w:firstLine="0" w:firstLineChars="0"/>
        <w:outlineLvl w:val="9"/>
        <w:rPr>
          <w:rFonts w:hint="eastAsia" w:ascii="黑体" w:hAnsi="黑体" w:eastAsia="黑体" w:cs="黑体"/>
          <w:b w:val="0"/>
          <w:bCs w:val="0"/>
          <w:i w:val="0"/>
          <w:iCs w:val="0"/>
          <w:caps w:val="0"/>
          <w:color w:val="0F1115"/>
          <w:spacing w:val="0"/>
          <w:sz w:val="32"/>
          <w:szCs w:val="32"/>
        </w:rPr>
      </w:pPr>
      <w:r>
        <w:rPr>
          <w:rStyle w:val="20"/>
          <w:rFonts w:hint="eastAsia" w:ascii="黑体" w:hAnsi="黑体" w:eastAsia="黑体" w:cs="黑体"/>
          <w:b w:val="0"/>
          <w:bCs w:val="0"/>
          <w:i w:val="0"/>
          <w:iCs w:val="0"/>
          <w:caps w:val="0"/>
          <w:color w:val="0F1115"/>
          <w:spacing w:val="0"/>
          <w:sz w:val="32"/>
          <w:szCs w:val="32"/>
          <w:shd w:val="clear" w:fill="FFFFFF"/>
        </w:rPr>
        <w:t>第</w:t>
      </w:r>
      <w:r>
        <w:rPr>
          <w:rStyle w:val="20"/>
          <w:rFonts w:hint="eastAsia" w:ascii="黑体" w:hAnsi="黑体" w:eastAsia="黑体" w:cs="黑体"/>
          <w:b w:val="0"/>
          <w:bCs w:val="0"/>
          <w:i w:val="0"/>
          <w:iCs w:val="0"/>
          <w:caps w:val="0"/>
          <w:color w:val="0F1115"/>
          <w:spacing w:val="0"/>
          <w:sz w:val="32"/>
          <w:szCs w:val="32"/>
          <w:shd w:val="clear" w:fill="FFFFFF"/>
          <w:lang w:val="en-US" w:eastAsia="zh-CN"/>
        </w:rPr>
        <w:t>四</w:t>
      </w:r>
      <w:r>
        <w:rPr>
          <w:rStyle w:val="20"/>
          <w:rFonts w:hint="eastAsia" w:ascii="黑体" w:hAnsi="黑体" w:eastAsia="黑体" w:cs="黑体"/>
          <w:b w:val="0"/>
          <w:bCs w:val="0"/>
          <w:i w:val="0"/>
          <w:iCs w:val="0"/>
          <w:caps w:val="0"/>
          <w:color w:val="0F1115"/>
          <w:spacing w:val="0"/>
          <w:sz w:val="32"/>
          <w:szCs w:val="32"/>
          <w:shd w:val="clear" w:fill="FFFFFF"/>
        </w:rPr>
        <w:t xml:space="preserve">条 </w:t>
      </w:r>
      <w:r>
        <w:rPr>
          <w:rStyle w:val="20"/>
          <w:rFonts w:hint="eastAsia" w:ascii="黑体" w:hAnsi="黑体" w:eastAsia="黑体" w:cs="黑体"/>
          <w:b w:val="0"/>
          <w:bCs w:val="0"/>
          <w:i w:val="0"/>
          <w:iCs w:val="0"/>
          <w:caps w:val="0"/>
          <w:color w:val="0F1115"/>
          <w:spacing w:val="0"/>
          <w:sz w:val="32"/>
          <w:szCs w:val="32"/>
          <w:shd w:val="clear" w:fill="FFFFFF"/>
          <w:lang w:val="en-US" w:eastAsia="zh-CN"/>
        </w:rPr>
        <w:t>预警</w:t>
      </w:r>
      <w:r>
        <w:rPr>
          <w:rStyle w:val="20"/>
          <w:rFonts w:hint="eastAsia" w:ascii="黑体" w:hAnsi="黑体" w:eastAsia="黑体" w:cs="黑体"/>
          <w:b w:val="0"/>
          <w:bCs w:val="0"/>
          <w:i w:val="0"/>
          <w:iCs w:val="0"/>
          <w:caps w:val="0"/>
          <w:color w:val="0F1115"/>
          <w:spacing w:val="0"/>
          <w:sz w:val="32"/>
          <w:szCs w:val="32"/>
          <w:shd w:val="clear" w:fill="FFFFFF"/>
        </w:rPr>
        <w:t>响应与</w:t>
      </w:r>
      <w:r>
        <w:rPr>
          <w:rStyle w:val="20"/>
          <w:rFonts w:hint="eastAsia" w:ascii="黑体" w:hAnsi="黑体" w:eastAsia="黑体" w:cs="黑体"/>
          <w:b w:val="0"/>
          <w:bCs w:val="0"/>
          <w:i w:val="0"/>
          <w:iCs w:val="0"/>
          <w:caps w:val="0"/>
          <w:color w:val="0F1115"/>
          <w:spacing w:val="0"/>
          <w:sz w:val="32"/>
          <w:szCs w:val="32"/>
          <w:shd w:val="clear" w:fill="FFFFFF"/>
          <w:lang w:val="en-US" w:eastAsia="zh-CN"/>
        </w:rPr>
        <w:t>建议提交</w:t>
      </w:r>
      <w:r>
        <w:rPr>
          <w:rStyle w:val="20"/>
          <w:rFonts w:hint="eastAsia" w:ascii="黑体" w:hAnsi="黑体" w:eastAsia="黑体" w:cs="黑体"/>
          <w:b w:val="0"/>
          <w:bCs w:val="0"/>
          <w:i w:val="0"/>
          <w:iCs w:val="0"/>
          <w:caps w:val="0"/>
          <w:color w:val="0F1115"/>
          <w:spacing w:val="0"/>
          <w:sz w:val="32"/>
          <w:szCs w:val="32"/>
          <w:shd w:val="clear" w:fill="FFFFFF"/>
        </w:rPr>
        <w:t>标准</w:t>
      </w:r>
    </w:p>
    <w:p w14:paraId="166AD003">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1.预警后初步响应：</w:t>
      </w:r>
    </w:p>
    <w:p w14:paraId="2D72A568">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乙方发布红/橙预警时，须同时提供初步处置建议，内容包括：</w:t>
      </w:r>
    </w:p>
    <w:p w14:paraId="358F3D44">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（1）事件核心事实摘要；</w:t>
      </w:r>
    </w:p>
    <w:p w14:paraId="2DF9C09E">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（2）初步的风险等级判断及理由；</w:t>
      </w:r>
    </w:p>
    <w:p w14:paraId="2774352F">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（3）建议的紧急应对方向（如：是否需立即回应、是否需要联系特定媒体等）。</w:t>
      </w:r>
    </w:p>
    <w:p w14:paraId="62A80521">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2.</w:t>
      </w: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完整《舆情事件处置报告》的提交：</w:t>
      </w:r>
    </w:p>
    <w:p w14:paraId="462726FE">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对于红色预警，乙方须在预警发出后【24小时】内提交完整的《舆情事件处置报告》；对于橙色预警，乙方须在预警发出后【48小时】内提交。报告须包含：</w:t>
      </w:r>
    </w:p>
    <w:p w14:paraId="0AB056C1">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（1）事件详细脉络与传播数据；</w:t>
      </w:r>
    </w:p>
    <w:p w14:paraId="11D418BC">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（2）舆论焦点归纳及关键意见领袖（KOL）分析；</w:t>
      </w:r>
    </w:p>
    <w:p w14:paraId="6B9909C5">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（3）风险研判及可能的发展趋势；</w:t>
      </w:r>
    </w:p>
    <w:p w14:paraId="3DE31FC0">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（4）分阶段的应对策略及具体措施建议；</w:t>
      </w:r>
    </w:p>
    <w:p w14:paraId="4AFA5E91">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（5）声明稿、话术模板、问答手册等可直接使用的材料（如适用）。</w:t>
      </w:r>
    </w:p>
    <w:p w14:paraId="2EA4CEA8">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3.</w:t>
      </w: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报告的验收与修改：</w:t>
      </w:r>
    </w:p>
    <w:p w14:paraId="291E8B97">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甲方在收到报告后【5个工作日】内提出书面异议或修改要求的，乙方应在【12小时】内完成修改并重新提交。若乙方连续两次修改后仍无法满足甲方合理要求的，甲方有权认定本次报告“不合格”，并按主合同第五条第4款约定处理。</w:t>
      </w:r>
    </w:p>
    <w:p w14:paraId="730ECE66">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4.</w:t>
      </w: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协助执行：</w:t>
      </w:r>
    </w:p>
    <w:p w14:paraId="6437587B">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default" w:ascii="仿宋_GB2312" w:hAnsi="仿宋_GB2312" w:eastAsia="仿宋_GB2312" w:cs="仿宋_GB2312"/>
          <w:b w:val="0"/>
          <w:bCs w:val="0"/>
          <w:i w:val="0"/>
          <w:iCs w:val="0"/>
          <w:caps w:val="0"/>
          <w:color w:val="0F1115"/>
          <w:spacing w:val="0"/>
          <w:sz w:val="32"/>
          <w:szCs w:val="32"/>
          <w:shd w:val="clear" w:fill="FFFFFF"/>
          <w:lang w:val="en-US" w:eastAsia="zh-CN"/>
        </w:rPr>
        <w:t>甲方明确要求乙方协助执行处置措施的（如联系媒体、发布声明等），乙方应在【2小时】内响应，并按甲方指示执行。乙方的协助范围及责任以甲方书面指示为限，乙方不对甲方决策的后果承担责任。</w:t>
      </w:r>
    </w:p>
    <w:p w14:paraId="52A66A39">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5.处置建议“不合格”的认定标准：</w:t>
      </w:r>
    </w:p>
    <w:p w14:paraId="3C0CEEAA">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乙方提交的处置建议出现以下情形之一的，甲方可认定为“不合格”：</w:t>
      </w:r>
    </w:p>
    <w:p w14:paraId="7BE66606">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（1）事件核心事实描述存在明显错误或重大遗漏，与可验证的公开信息不符；</w:t>
      </w:r>
    </w:p>
    <w:p w14:paraId="623CE1C7">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（2）风险等级判断与本附件第三条定义的预警标准明显不符，且无法提供合理解释；</w:t>
      </w:r>
    </w:p>
    <w:p w14:paraId="7FDA9CF2">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（3）应对策略明显不可行（例如，建议对已发生的重大安全事故采取“不予回应”的策略）；</w:t>
      </w:r>
    </w:p>
    <w:p w14:paraId="1157239C">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default"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（4）报告内容严重缺失，缺少本条第2款要求的任何一项核心内容。</w:t>
      </w:r>
    </w:p>
    <w:p w14:paraId="2F450516">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黑体" w:hAnsi="黑体" w:eastAsia="黑体" w:cs="黑体"/>
          <w:b w:val="0"/>
          <w:bCs w:val="0"/>
          <w:i w:val="0"/>
          <w:iCs w:val="0"/>
          <w:caps w:val="0"/>
          <w:color w:val="0F1115"/>
          <w:spacing w:val="0"/>
          <w:sz w:val="32"/>
          <w:szCs w:val="32"/>
          <w:shd w:val="clear" w:fill="FFFFFF"/>
          <w:lang w:val="en-US" w:eastAsia="zh-CN"/>
        </w:rPr>
      </w:pPr>
      <w:r>
        <w:rPr>
          <w:rFonts w:hint="eastAsia" w:ascii="黑体" w:hAnsi="黑体" w:eastAsia="黑体" w:cs="黑体"/>
          <w:b w:val="0"/>
          <w:bCs w:val="0"/>
          <w:i w:val="0"/>
          <w:iCs w:val="0"/>
          <w:caps w:val="0"/>
          <w:color w:val="0F1115"/>
          <w:spacing w:val="0"/>
          <w:sz w:val="32"/>
          <w:szCs w:val="32"/>
          <w:shd w:val="clear" w:fill="FFFFFF"/>
          <w:lang w:val="en-US" w:eastAsia="zh-CN"/>
        </w:rPr>
        <w:t>第五条 服务流程与成果标准</w:t>
      </w:r>
    </w:p>
    <w:p w14:paraId="12148822">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1.7×16小时监测与智能推送服务</w:t>
      </w:r>
    </w:p>
    <w:p w14:paraId="1B3955C7">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（1）乙方须组建专职舆情监测团队，实行 7×16小时轮班监测。</w:t>
      </w:r>
    </w:p>
    <w:p w14:paraId="6D944C69">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（2）乙方应通过自有技术系统实现舆情信息的即时抓取与初步筛选，并由专职监测员进行人工二次筛选与核查，评估其真实性及预警等级。</w:t>
      </w:r>
    </w:p>
    <w:p w14:paraId="4BAD0C3C">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（3）信息推送机制：</w:t>
      </w:r>
    </w:p>
    <w:p w14:paraId="4BC32B61">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日常推送（智能推送）：工作日内（早9:00－晚18:00），监测员应将经筛选的、涉及甲方公司及地产项目的全部关联舆情信息（含蓝色预警及一般性信息），通过双方约定即时通信工具（如项目微信专属群、钉钉群、QQ群）/平台/系统进行定时或实时推送。</w:t>
      </w:r>
    </w:p>
    <w:p w14:paraId="76ADAB04">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预警推送（人工快报）：一旦识别出符合红色或橙色预警标准的敏感舆情，监测员须立即（原则上不超过监测发现后15分钟）通过主流即时通信工具（如项目微信专属群、钉钉群、QQ群）向甲方指定对接人进行人工重点推送。推送内容应包括：预警等级、事件标题、核心链接、简要分析和初步建议。</w:t>
      </w:r>
    </w:p>
    <w:p w14:paraId="2B19BFDF">
      <w:pPr>
        <w:pStyle w:val="15"/>
        <w:keepNext w:val="0"/>
        <w:keepLines w:val="0"/>
        <w:widowControl/>
        <w:suppressLineNumbers w:val="0"/>
        <w:shd w:val="clear" w:fill="FFFFFF"/>
        <w:spacing w:before="160" w:beforeAutospacing="0" w:after="160" w:afterAutospacing="0" w:line="560" w:lineRule="exact"/>
        <w:ind w:left="0" w:leftChars="0" w:right="0" w:rightChars="0" w:firstLine="640" w:firstLineChars="200"/>
        <w:outlineLvl w:val="9"/>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2.周期性分析报告</w:t>
      </w:r>
    </w:p>
    <w:p w14:paraId="6CF95A8B">
      <w:pPr>
        <w:pStyle w:val="15"/>
        <w:keepNext w:val="0"/>
        <w:keepLines w:val="0"/>
        <w:widowControl/>
        <w:suppressLineNumbers w:val="0"/>
        <w:shd w:val="clear" w:fill="FFFFFF"/>
        <w:spacing w:before="160" w:beforeAutospacing="0" w:after="160" w:afterAutospacing="0" w:line="560" w:lineRule="exact"/>
        <w:ind w:left="0" w:leftChars="0" w:right="0" w:rightChars="0" w:firstLine="640" w:firstLineChars="200"/>
        <w:outlineLvl w:val="9"/>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（1）《季度舆情监控分析报告》：</w:t>
      </w:r>
    </w:p>
    <w:p w14:paraId="69624348">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·每季度结束后10个工作日内提供。</w:t>
      </w:r>
    </w:p>
    <w:p w14:paraId="182EA981">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·核心内容：</w:t>
      </w:r>
    </w:p>
    <w:p w14:paraId="45FD55CC">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a）传播数据总览：全网信息总量及环比变化、各平台信息量走势图、信息来源类型分布图。</w:t>
      </w:r>
    </w:p>
    <w:p w14:paraId="23C0A166">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b）敏感性分析：敏感/负面信息总量、占比及环比分析。</w:t>
      </w:r>
    </w:p>
    <w:p w14:paraId="101B65DA">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c）媒体分析：活跃媒体榜单（TOP 10）、重点媒体类型分布。</w:t>
      </w:r>
    </w:p>
    <w:p w14:paraId="3A5056EA">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d）内容分析：关键词云图、关注点信息量对比（如“交付”vs“质量”）、周期内热点事件（含正面与负面）回顾与传播路径分析。</w:t>
      </w:r>
    </w:p>
    <w:p w14:paraId="37D86F62">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e）趋势研判与策略建议：基于季度数据，总结舆论场动态，预测下一季度潜在风险，并提出针对性的声誉管理建议。</w:t>
      </w:r>
    </w:p>
    <w:p w14:paraId="41F741B8">
      <w:pPr>
        <w:pStyle w:val="15"/>
        <w:keepNext w:val="0"/>
        <w:keepLines w:val="0"/>
        <w:widowControl/>
        <w:suppressLineNumbers w:val="0"/>
        <w:shd w:val="clear" w:fill="FFFFFF"/>
        <w:spacing w:before="160" w:beforeAutospacing="0" w:after="160" w:afterAutospacing="0" w:line="560" w:lineRule="exact"/>
        <w:ind w:left="0" w:leftChars="0" w:right="0" w:rightChars="0" w:firstLine="640" w:firstLineChars="200"/>
        <w:outlineLvl w:val="9"/>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（2）《专项事件报告》：</w:t>
      </w:r>
    </w:p>
    <w:tbl>
      <w:tblPr>
        <w:tblStyle w:val="18"/>
        <w:tblW w:w="9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2270"/>
        <w:gridCol w:w="1533"/>
        <w:gridCol w:w="2411"/>
        <w:gridCol w:w="1972"/>
      </w:tblGrid>
      <w:tr w14:paraId="34D4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4" w:type="dxa"/>
            <w:vAlign w:val="center"/>
          </w:tcPr>
          <w:p w14:paraId="6492D767">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b/>
                <w:bCs/>
                <w:i w:val="0"/>
                <w:iCs w:val="0"/>
                <w:caps w:val="0"/>
                <w:color w:val="0F1115"/>
                <w:spacing w:val="0"/>
                <w:sz w:val="28"/>
                <w:szCs w:val="28"/>
                <w:shd w:val="clear" w:fill="FFFFFF"/>
                <w:vertAlign w:val="baseline"/>
                <w:lang w:val="en-US" w:eastAsia="zh-CN"/>
              </w:rPr>
            </w:pPr>
            <w:r>
              <w:rPr>
                <w:rFonts w:hint="eastAsia" w:ascii="仿宋_GB2312" w:hAnsi="仿宋_GB2312" w:eastAsia="仿宋_GB2312" w:cs="仿宋_GB2312"/>
                <w:b/>
                <w:bCs/>
                <w:i w:val="0"/>
                <w:iCs w:val="0"/>
                <w:caps w:val="0"/>
                <w:color w:val="0F1115"/>
                <w:spacing w:val="0"/>
                <w:sz w:val="28"/>
                <w:szCs w:val="28"/>
                <w:shd w:val="clear" w:fill="FFFFFF"/>
              </w:rPr>
              <w:t>报告类型</w:t>
            </w:r>
          </w:p>
        </w:tc>
        <w:tc>
          <w:tcPr>
            <w:tcW w:w="2270" w:type="dxa"/>
            <w:vAlign w:val="center"/>
          </w:tcPr>
          <w:p w14:paraId="6840F3E3">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b/>
                <w:bCs/>
                <w:i w:val="0"/>
                <w:iCs w:val="0"/>
                <w:caps w:val="0"/>
                <w:color w:val="0F1115"/>
                <w:spacing w:val="0"/>
                <w:sz w:val="28"/>
                <w:szCs w:val="28"/>
                <w:shd w:val="clear" w:fill="FFFFFF"/>
                <w:vertAlign w:val="baseline"/>
                <w:lang w:val="en-US" w:eastAsia="zh-CN"/>
              </w:rPr>
            </w:pPr>
            <w:r>
              <w:rPr>
                <w:rFonts w:hint="eastAsia" w:ascii="仿宋_GB2312" w:hAnsi="仿宋_GB2312" w:eastAsia="仿宋_GB2312" w:cs="仿宋_GB2312"/>
                <w:b/>
                <w:bCs/>
                <w:i w:val="0"/>
                <w:iCs w:val="0"/>
                <w:caps w:val="0"/>
                <w:color w:val="0F1115"/>
                <w:spacing w:val="0"/>
                <w:sz w:val="28"/>
                <w:szCs w:val="28"/>
                <w:shd w:val="clear" w:fill="FFFFFF"/>
              </w:rPr>
              <w:t>触发条件</w:t>
            </w:r>
          </w:p>
        </w:tc>
        <w:tc>
          <w:tcPr>
            <w:tcW w:w="1533" w:type="dxa"/>
            <w:vAlign w:val="center"/>
          </w:tcPr>
          <w:p w14:paraId="2E031AFF">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b/>
                <w:bCs/>
                <w:i w:val="0"/>
                <w:iCs w:val="0"/>
                <w:caps w:val="0"/>
                <w:color w:val="0F1115"/>
                <w:spacing w:val="0"/>
                <w:sz w:val="28"/>
                <w:szCs w:val="28"/>
                <w:shd w:val="clear" w:fill="FFFFFF"/>
                <w:vertAlign w:val="baseline"/>
                <w:lang w:val="en-US" w:eastAsia="zh-CN"/>
              </w:rPr>
            </w:pPr>
            <w:r>
              <w:rPr>
                <w:rFonts w:hint="eastAsia" w:ascii="仿宋_GB2312" w:hAnsi="仿宋_GB2312" w:eastAsia="仿宋_GB2312" w:cs="仿宋_GB2312"/>
                <w:b/>
                <w:bCs/>
                <w:i w:val="0"/>
                <w:iCs w:val="0"/>
                <w:caps w:val="0"/>
                <w:color w:val="0F1115"/>
                <w:spacing w:val="0"/>
                <w:sz w:val="28"/>
                <w:szCs w:val="28"/>
                <w:shd w:val="clear" w:fill="FFFFFF"/>
              </w:rPr>
              <w:t>交付时效</w:t>
            </w:r>
          </w:p>
        </w:tc>
        <w:tc>
          <w:tcPr>
            <w:tcW w:w="2411" w:type="dxa"/>
            <w:vAlign w:val="center"/>
          </w:tcPr>
          <w:p w14:paraId="12760ABA">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b/>
                <w:bCs/>
                <w:i w:val="0"/>
                <w:iCs w:val="0"/>
                <w:caps w:val="0"/>
                <w:color w:val="0F1115"/>
                <w:spacing w:val="0"/>
                <w:sz w:val="28"/>
                <w:szCs w:val="28"/>
                <w:shd w:val="clear" w:fill="FFFFFF"/>
                <w:vertAlign w:val="baseline"/>
                <w:lang w:val="en-US" w:eastAsia="zh-CN"/>
              </w:rPr>
            </w:pPr>
            <w:r>
              <w:rPr>
                <w:rFonts w:hint="eastAsia" w:ascii="仿宋_GB2312" w:hAnsi="仿宋_GB2312" w:eastAsia="仿宋_GB2312" w:cs="仿宋_GB2312"/>
                <w:b/>
                <w:bCs/>
                <w:i w:val="0"/>
                <w:iCs w:val="0"/>
                <w:caps w:val="0"/>
                <w:color w:val="0F1115"/>
                <w:spacing w:val="0"/>
                <w:sz w:val="28"/>
                <w:szCs w:val="28"/>
                <w:shd w:val="clear" w:fill="FFFFFF"/>
              </w:rPr>
              <w:t>核心内容</w:t>
            </w:r>
          </w:p>
        </w:tc>
        <w:tc>
          <w:tcPr>
            <w:tcW w:w="1972" w:type="dxa"/>
            <w:vAlign w:val="center"/>
          </w:tcPr>
          <w:p w14:paraId="3FDF651C">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b/>
                <w:bCs/>
                <w:i w:val="0"/>
                <w:iCs w:val="0"/>
                <w:caps w:val="0"/>
                <w:color w:val="0F1115"/>
                <w:spacing w:val="0"/>
                <w:sz w:val="28"/>
                <w:szCs w:val="28"/>
                <w:shd w:val="clear" w:fill="FFFFFF"/>
                <w:lang w:val="en-US" w:eastAsia="zh-CN"/>
              </w:rPr>
            </w:pPr>
            <w:r>
              <w:rPr>
                <w:rFonts w:hint="eastAsia" w:ascii="仿宋_GB2312" w:hAnsi="仿宋_GB2312" w:eastAsia="仿宋_GB2312" w:cs="仿宋_GB2312"/>
                <w:b/>
                <w:bCs/>
                <w:i w:val="0"/>
                <w:iCs w:val="0"/>
                <w:caps w:val="0"/>
                <w:color w:val="0F1115"/>
                <w:spacing w:val="0"/>
                <w:sz w:val="28"/>
                <w:szCs w:val="28"/>
                <w:shd w:val="clear" w:fill="FFFFFF"/>
                <w:lang w:val="en-US" w:eastAsia="zh-CN"/>
              </w:rPr>
              <w:t>年度保障额度</w:t>
            </w:r>
          </w:p>
        </w:tc>
      </w:tr>
      <w:tr w14:paraId="2EBA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4" w:type="dxa"/>
            <w:vAlign w:val="center"/>
          </w:tcPr>
          <w:p w14:paraId="61B1D403">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0F1115"/>
                <w:spacing w:val="0"/>
                <w:sz w:val="24"/>
                <w:szCs w:val="24"/>
                <w:shd w:val="clear" w:fill="FFFFFF"/>
              </w:rPr>
              <w:t>事件速报</w:t>
            </w:r>
          </w:p>
        </w:tc>
        <w:tc>
          <w:tcPr>
            <w:tcW w:w="2270" w:type="dxa"/>
            <w:vAlign w:val="center"/>
          </w:tcPr>
          <w:p w14:paraId="7864FED6">
            <w:pPr>
              <w:pStyle w:val="15"/>
              <w:keepNext w:val="0"/>
              <w:keepLines w:val="0"/>
              <w:widowControl/>
              <w:suppressLineNumbers w:val="0"/>
              <w:spacing w:before="160" w:beforeAutospacing="0" w:after="160" w:afterAutospacing="0" w:line="560" w:lineRule="exact"/>
              <w:ind w:right="0" w:rightChars="0"/>
              <w:jc w:val="both"/>
              <w:outlineLvl w:val="9"/>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0F1115"/>
                <w:spacing w:val="0"/>
                <w:sz w:val="24"/>
                <w:szCs w:val="24"/>
                <w:shd w:val="clear" w:fill="FFFFFF"/>
              </w:rPr>
              <w:t>发生红色预警舆情或甲方临时要求</w:t>
            </w:r>
          </w:p>
        </w:tc>
        <w:tc>
          <w:tcPr>
            <w:tcW w:w="1533" w:type="dxa"/>
            <w:vAlign w:val="center"/>
          </w:tcPr>
          <w:p w14:paraId="1BC2D1D8">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0F1115"/>
                <w:spacing w:val="0"/>
                <w:sz w:val="24"/>
                <w:szCs w:val="24"/>
                <w:shd w:val="clear" w:fill="FFFFFF"/>
              </w:rPr>
              <w:t>24小时内</w:t>
            </w:r>
          </w:p>
        </w:tc>
        <w:tc>
          <w:tcPr>
            <w:tcW w:w="2411" w:type="dxa"/>
            <w:vAlign w:val="center"/>
          </w:tcPr>
          <w:p w14:paraId="03471C02">
            <w:pPr>
              <w:pStyle w:val="15"/>
              <w:keepNext w:val="0"/>
              <w:keepLines w:val="0"/>
              <w:widowControl/>
              <w:suppressLineNumbers w:val="0"/>
              <w:spacing w:before="160" w:beforeAutospacing="0" w:after="160" w:afterAutospacing="0" w:line="560" w:lineRule="exact"/>
              <w:ind w:right="0" w:rightChars="0"/>
              <w:jc w:val="both"/>
              <w:outlineLvl w:val="9"/>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0F1115"/>
                <w:spacing w:val="0"/>
                <w:sz w:val="24"/>
                <w:szCs w:val="24"/>
                <w:shd w:val="clear" w:fill="FFFFFF"/>
              </w:rPr>
              <w:t>事件概述、传播规模、观点归纳、快速研判、紧急性处置建议</w:t>
            </w:r>
          </w:p>
        </w:tc>
        <w:tc>
          <w:tcPr>
            <w:tcW w:w="1972" w:type="dxa"/>
            <w:vAlign w:val="center"/>
          </w:tcPr>
          <w:p w14:paraId="6F20BC6A">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i w:val="0"/>
                <w:iCs w:val="0"/>
                <w:caps w:val="0"/>
                <w:color w:val="0F1115"/>
                <w:spacing w:val="0"/>
                <w:sz w:val="24"/>
                <w:szCs w:val="24"/>
                <w:shd w:val="clear" w:fill="FFFFFF"/>
              </w:rPr>
            </w:pPr>
            <w:r>
              <w:rPr>
                <w:rFonts w:hint="eastAsia" w:ascii="仿宋_GB2312" w:hAnsi="仿宋_GB2312" w:eastAsia="仿宋_GB2312" w:cs="仿宋_GB2312"/>
                <w:i w:val="0"/>
                <w:iCs w:val="0"/>
                <w:caps w:val="0"/>
                <w:color w:val="0F1115"/>
                <w:spacing w:val="0"/>
                <w:sz w:val="24"/>
                <w:szCs w:val="24"/>
                <w:shd w:val="clear" w:fill="FFFFFF"/>
              </w:rPr>
              <w:t>2次</w:t>
            </w:r>
          </w:p>
        </w:tc>
      </w:tr>
      <w:tr w14:paraId="7EE2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1674" w:type="dxa"/>
            <w:vAlign w:val="center"/>
          </w:tcPr>
          <w:p w14:paraId="71E67F3D">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0F1115"/>
                <w:spacing w:val="0"/>
                <w:sz w:val="24"/>
                <w:szCs w:val="24"/>
                <w:shd w:val="clear" w:fill="FFFFFF"/>
              </w:rPr>
              <w:t>事件专报</w:t>
            </w:r>
          </w:p>
        </w:tc>
        <w:tc>
          <w:tcPr>
            <w:tcW w:w="2270" w:type="dxa"/>
            <w:vAlign w:val="center"/>
          </w:tcPr>
          <w:p w14:paraId="09EC5081">
            <w:pPr>
              <w:pStyle w:val="15"/>
              <w:keepNext w:val="0"/>
              <w:keepLines w:val="0"/>
              <w:widowControl/>
              <w:suppressLineNumbers w:val="0"/>
              <w:spacing w:before="160" w:beforeAutospacing="0" w:after="160" w:afterAutospacing="0" w:line="560" w:lineRule="exact"/>
              <w:ind w:right="0" w:rightChars="0"/>
              <w:jc w:val="both"/>
              <w:outlineLvl w:val="9"/>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0F1115"/>
                <w:spacing w:val="0"/>
                <w:sz w:val="24"/>
                <w:szCs w:val="24"/>
                <w:shd w:val="clear" w:fill="FFFFFF"/>
              </w:rPr>
              <w:t>复杂背景/持续发酵/长远影响舆情</w:t>
            </w:r>
          </w:p>
        </w:tc>
        <w:tc>
          <w:tcPr>
            <w:tcW w:w="1533" w:type="dxa"/>
            <w:vAlign w:val="center"/>
          </w:tcPr>
          <w:p w14:paraId="36B4C797">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0F1115"/>
                <w:spacing w:val="0"/>
                <w:sz w:val="24"/>
                <w:szCs w:val="24"/>
                <w:shd w:val="clear" w:fill="FFFFFF"/>
              </w:rPr>
              <w:t>7个工作日内</w:t>
            </w:r>
          </w:p>
        </w:tc>
        <w:tc>
          <w:tcPr>
            <w:tcW w:w="2411" w:type="dxa"/>
            <w:vAlign w:val="center"/>
          </w:tcPr>
          <w:p w14:paraId="3BDE8CE2">
            <w:pPr>
              <w:pStyle w:val="15"/>
              <w:keepNext w:val="0"/>
              <w:keepLines w:val="0"/>
              <w:widowControl/>
              <w:suppressLineNumbers w:val="0"/>
              <w:spacing w:before="160" w:beforeAutospacing="0" w:after="160" w:afterAutospacing="0" w:line="560" w:lineRule="exact"/>
              <w:ind w:right="0" w:rightChars="0"/>
              <w:jc w:val="both"/>
              <w:outlineLvl w:val="9"/>
              <w:rPr>
                <w:rFonts w:hint="eastAsia" w:ascii="仿宋_GB2312" w:hAnsi="仿宋_GB2312" w:eastAsia="仿宋_GB2312" w:cs="仿宋_GB2312"/>
                <w:b w:val="0"/>
                <w:bCs w:val="0"/>
                <w:i w:val="0"/>
                <w:iCs w:val="0"/>
                <w:caps w:val="0"/>
                <w:color w:val="0F1115"/>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0F1115"/>
                <w:spacing w:val="0"/>
                <w:sz w:val="24"/>
                <w:szCs w:val="24"/>
                <w:shd w:val="clear" w:fill="FFFFFF"/>
              </w:rPr>
              <w:t>事件脉络、多维传播分析、舆论焦点、相关方分析、深度风险研判、全面应对策略</w:t>
            </w:r>
          </w:p>
        </w:tc>
        <w:tc>
          <w:tcPr>
            <w:tcW w:w="1972" w:type="dxa"/>
            <w:vAlign w:val="center"/>
          </w:tcPr>
          <w:p w14:paraId="469ECE3C">
            <w:pPr>
              <w:pStyle w:val="15"/>
              <w:keepNext w:val="0"/>
              <w:keepLines w:val="0"/>
              <w:widowControl/>
              <w:suppressLineNumbers w:val="0"/>
              <w:spacing w:before="160" w:beforeAutospacing="0" w:after="160" w:afterAutospacing="0" w:line="560" w:lineRule="exact"/>
              <w:ind w:right="0" w:rightChars="0"/>
              <w:jc w:val="center"/>
              <w:outlineLvl w:val="9"/>
              <w:rPr>
                <w:rFonts w:hint="eastAsia" w:ascii="仿宋_GB2312" w:hAnsi="仿宋_GB2312" w:eastAsia="仿宋_GB2312" w:cs="仿宋_GB2312"/>
                <w:i w:val="0"/>
                <w:iCs w:val="0"/>
                <w:caps w:val="0"/>
                <w:color w:val="0F1115"/>
                <w:spacing w:val="0"/>
                <w:sz w:val="24"/>
                <w:szCs w:val="24"/>
                <w:shd w:val="clear" w:fill="FFFFFF"/>
              </w:rPr>
            </w:pPr>
            <w:r>
              <w:rPr>
                <w:rFonts w:hint="eastAsia" w:ascii="仿宋_GB2312" w:hAnsi="仿宋_GB2312" w:eastAsia="仿宋_GB2312" w:cs="仿宋_GB2312"/>
                <w:i w:val="0"/>
                <w:iCs w:val="0"/>
                <w:caps w:val="0"/>
                <w:color w:val="0F1115"/>
                <w:spacing w:val="0"/>
                <w:sz w:val="24"/>
                <w:szCs w:val="24"/>
                <w:shd w:val="clear" w:fill="FFFFFF"/>
              </w:rPr>
              <w:t>2次</w:t>
            </w:r>
          </w:p>
        </w:tc>
      </w:tr>
    </w:tbl>
    <w:p w14:paraId="61D090BD">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160" w:beforeAutospacing="0" w:after="160" w:afterAutospacing="0" w:line="560" w:lineRule="exact"/>
        <w:ind w:right="0" w:rightChars="0" w:firstLine="640" w:firstLineChars="200"/>
        <w:textAlignment w:val="auto"/>
        <w:outlineLvl w:val="9"/>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3.报告交付与验收</w:t>
      </w:r>
    </w:p>
    <w:p w14:paraId="4295E46E">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所有报告均应以电子版（PDF及可编辑文档格式）交付至甲方指定邮箱或系统。甲方在收到报告后5个工作日内未提出书面异议，视为报告内容符合约定标准。</w:t>
      </w:r>
    </w:p>
    <w:p w14:paraId="3C857E46">
      <w:pPr>
        <w:keepNext w:val="0"/>
        <w:keepLines w:val="0"/>
        <w:widowControl/>
        <w:numPr>
          <w:ilvl w:val="-1"/>
          <w:numId w:val="0"/>
        </w:numPr>
        <w:suppressLineNumbers w:val="0"/>
        <w:shd w:val="clear" w:fill="FFFFFF"/>
        <w:spacing w:before="160" w:beforeAutospacing="0" w:after="160" w:afterAutospacing="0" w:line="560" w:lineRule="exact"/>
        <w:ind w:left="420" w:leftChars="200" w:right="0" w:rightChars="0" w:firstLine="0" w:firstLineChars="0"/>
        <w:outlineLvl w:val="9"/>
        <w:rPr>
          <w:rStyle w:val="20"/>
          <w:rFonts w:hint="eastAsia" w:ascii="黑体" w:hAnsi="黑体" w:eastAsia="黑体" w:cs="黑体"/>
          <w:b w:val="0"/>
          <w:bCs w:val="0"/>
          <w:i w:val="0"/>
          <w:iCs w:val="0"/>
          <w:caps w:val="0"/>
          <w:color w:val="0F1115"/>
          <w:spacing w:val="0"/>
          <w:sz w:val="32"/>
          <w:szCs w:val="32"/>
          <w:shd w:val="clear" w:fill="FFFFFF"/>
          <w:lang w:val="en-US" w:eastAsia="zh-CN"/>
        </w:rPr>
      </w:pPr>
      <w:r>
        <w:rPr>
          <w:rStyle w:val="20"/>
          <w:rFonts w:hint="eastAsia" w:ascii="黑体" w:hAnsi="黑体" w:eastAsia="黑体" w:cs="黑体"/>
          <w:b w:val="0"/>
          <w:bCs w:val="0"/>
          <w:i w:val="0"/>
          <w:iCs w:val="0"/>
          <w:caps w:val="0"/>
          <w:color w:val="0F1115"/>
          <w:spacing w:val="0"/>
          <w:sz w:val="32"/>
          <w:szCs w:val="32"/>
          <w:shd w:val="clear" w:fill="FFFFFF"/>
        </w:rPr>
        <w:t>第</w:t>
      </w:r>
      <w:r>
        <w:rPr>
          <w:rStyle w:val="20"/>
          <w:rFonts w:hint="eastAsia" w:ascii="黑体" w:hAnsi="黑体" w:eastAsia="黑体" w:cs="黑体"/>
          <w:b w:val="0"/>
          <w:bCs w:val="0"/>
          <w:i w:val="0"/>
          <w:iCs w:val="0"/>
          <w:caps w:val="0"/>
          <w:color w:val="0F1115"/>
          <w:spacing w:val="0"/>
          <w:sz w:val="32"/>
          <w:szCs w:val="32"/>
          <w:shd w:val="clear" w:fill="FFFFFF"/>
          <w:lang w:val="en-US" w:eastAsia="zh-CN"/>
        </w:rPr>
        <w:t>六</w:t>
      </w:r>
      <w:r>
        <w:rPr>
          <w:rStyle w:val="20"/>
          <w:rFonts w:hint="eastAsia" w:ascii="黑体" w:hAnsi="黑体" w:eastAsia="黑体" w:cs="黑体"/>
          <w:b w:val="0"/>
          <w:bCs w:val="0"/>
          <w:i w:val="0"/>
          <w:iCs w:val="0"/>
          <w:caps w:val="0"/>
          <w:color w:val="0F1115"/>
          <w:spacing w:val="0"/>
          <w:sz w:val="32"/>
          <w:szCs w:val="32"/>
          <w:shd w:val="clear" w:fill="FFFFFF"/>
        </w:rPr>
        <w:t xml:space="preserve">条 </w:t>
      </w:r>
      <w:r>
        <w:rPr>
          <w:rStyle w:val="20"/>
          <w:rFonts w:hint="eastAsia" w:ascii="黑体" w:hAnsi="黑体" w:eastAsia="黑体" w:cs="黑体"/>
          <w:b w:val="0"/>
          <w:bCs w:val="0"/>
          <w:i w:val="0"/>
          <w:iCs w:val="0"/>
          <w:caps w:val="0"/>
          <w:color w:val="0F1115"/>
          <w:spacing w:val="0"/>
          <w:sz w:val="32"/>
          <w:szCs w:val="32"/>
          <w:shd w:val="clear" w:fill="FFFFFF"/>
          <w:lang w:val="en-US" w:eastAsia="zh-CN"/>
        </w:rPr>
        <w:t>媒体公关及协调处理服务</w:t>
      </w:r>
    </w:p>
    <w:p w14:paraId="0B6BF50E">
      <w:pPr>
        <w:keepNext w:val="0"/>
        <w:keepLines w:val="0"/>
        <w:widowControl/>
        <w:numPr>
          <w:ilvl w:val="-1"/>
          <w:numId w:val="0"/>
        </w:numPr>
        <w:suppressLineNumbers w:val="0"/>
        <w:shd w:val="clear" w:fill="FFFFFF"/>
        <w:spacing w:before="160" w:beforeAutospacing="0" w:after="160" w:afterAutospacing="0" w:line="560" w:lineRule="exact"/>
        <w:ind w:left="420" w:leftChars="200" w:right="0" w:rightChars="0" w:firstLine="0" w:firstLineChars="0"/>
        <w:outlineLvl w:val="9"/>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1.媒体关系维护：</w:t>
      </w:r>
    </w:p>
    <w:p w14:paraId="242F1E59">
      <w:pPr>
        <w:pStyle w:val="7"/>
        <w:keepNext w:val="0"/>
        <w:keepLines w:val="0"/>
        <w:widowControl/>
        <w:numPr>
          <w:ilvl w:val="-1"/>
          <w:numId w:val="0"/>
        </w:numPr>
        <w:suppressLineNumbers w:val="0"/>
        <w:shd w:val="clear" w:fill="FFFFFF"/>
        <w:spacing w:before="160" w:beforeAutospacing="0" w:after="160" w:afterAutospacing="0" w:line="560" w:lineRule="exact"/>
        <w:ind w:left="0" w:leftChars="0" w:right="0" w:rightChars="0" w:firstLine="640" w:firstLineChars="200"/>
        <w:outlineLvl w:val="9"/>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（1）乙方应为甲方建立并维护媒体资源库</w:t>
      </w:r>
      <w:r>
        <w:rPr>
          <w:rStyle w:val="20"/>
          <w:rFonts w:hint="eastAsia" w:hAnsi="仿宋_GB2312" w:cs="仿宋_GB2312"/>
          <w:b w:val="0"/>
          <w:bCs w:val="0"/>
          <w:i w:val="0"/>
          <w:iCs w:val="0"/>
          <w:caps w:val="0"/>
          <w:color w:val="0F1115"/>
          <w:spacing w:val="0"/>
          <w:sz w:val="32"/>
          <w:szCs w:val="32"/>
          <w:shd w:val="clear" w:fill="FFFFFF"/>
          <w:lang w:val="en-US" w:eastAsia="zh-CN"/>
        </w:rPr>
        <w:t>（</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覆盖主流媒体、行业垂直媒体</w:t>
      </w:r>
      <w:r>
        <w:rPr>
          <w:rStyle w:val="20"/>
          <w:rFonts w:hint="eastAsia" w:hAnsi="仿宋_GB2312" w:cs="仿宋_GB2312"/>
          <w:b w:val="0"/>
          <w:bCs w:val="0"/>
          <w:i w:val="0"/>
          <w:iCs w:val="0"/>
          <w:caps w:val="0"/>
          <w:color w:val="0F1115"/>
          <w:spacing w:val="0"/>
          <w:sz w:val="32"/>
          <w:szCs w:val="32"/>
          <w:shd w:val="clear" w:fill="FFFFFF"/>
          <w:lang w:val="en-US" w:eastAsia="zh-CN"/>
        </w:rPr>
        <w:t>、</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本地关键自媒体</w:t>
      </w:r>
      <w:r>
        <w:rPr>
          <w:rStyle w:val="20"/>
          <w:rFonts w:hint="eastAsia" w:hAnsi="仿宋_GB2312" w:cs="仿宋_GB2312"/>
          <w:b w:val="0"/>
          <w:bCs w:val="0"/>
          <w:i w:val="0"/>
          <w:iCs w:val="0"/>
          <w:caps w:val="0"/>
          <w:color w:val="0F1115"/>
          <w:spacing w:val="0"/>
          <w:sz w:val="32"/>
          <w:szCs w:val="32"/>
          <w:shd w:val="clear" w:fill="FFFFFF"/>
          <w:lang w:val="en-US" w:eastAsia="zh-CN"/>
        </w:rPr>
        <w:t>）</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，定期更新联系人、联系方式及其报道偏好。</w:t>
      </w:r>
    </w:p>
    <w:p w14:paraId="17F18C61">
      <w:pPr>
        <w:pStyle w:val="7"/>
        <w:keepNext w:val="0"/>
        <w:keepLines w:val="0"/>
        <w:widowControl/>
        <w:numPr>
          <w:ilvl w:val="-1"/>
          <w:numId w:val="0"/>
        </w:numPr>
        <w:suppressLineNumbers w:val="0"/>
        <w:shd w:val="clear" w:fill="FFFFFF"/>
        <w:spacing w:before="160" w:beforeAutospacing="0" w:after="160" w:afterAutospacing="0" w:line="560" w:lineRule="exact"/>
        <w:ind w:left="0" w:leftChars="0" w:right="0" w:rightChars="0" w:firstLine="640" w:firstLineChars="200"/>
        <w:outlineLvl w:val="9"/>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（2）乙方应每月组织开展至少一次媒体沟通会或行业沙龙，同步行业动态，了解舆情风向，维护良好的媒体关系。</w:t>
      </w:r>
    </w:p>
    <w:p w14:paraId="4A0D3361">
      <w:pPr>
        <w:keepNext w:val="0"/>
        <w:keepLines w:val="0"/>
        <w:widowControl/>
        <w:numPr>
          <w:ilvl w:val="-1"/>
          <w:numId w:val="0"/>
        </w:numPr>
        <w:suppressLineNumbers w:val="0"/>
        <w:shd w:val="clear" w:fill="FFFFFF"/>
        <w:spacing w:before="160" w:beforeAutospacing="0" w:after="160" w:afterAutospacing="0" w:line="560" w:lineRule="exact"/>
        <w:ind w:left="420" w:leftChars="200" w:right="0" w:rightChars="0" w:firstLine="0" w:firstLineChars="0"/>
        <w:outlineLvl w:val="9"/>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2.危机公关支持：</w:t>
      </w:r>
    </w:p>
    <w:p w14:paraId="7C6B718E">
      <w:pPr>
        <w:pStyle w:val="7"/>
        <w:keepNext w:val="0"/>
        <w:keepLines w:val="0"/>
        <w:widowControl/>
        <w:numPr>
          <w:ilvl w:val="-1"/>
          <w:numId w:val="0"/>
        </w:numPr>
        <w:suppressLineNumbers w:val="0"/>
        <w:shd w:val="clear" w:fill="FFFFFF"/>
        <w:spacing w:before="160" w:beforeAutospacing="0" w:after="160" w:afterAutospacing="0" w:line="560" w:lineRule="exact"/>
        <w:ind w:left="0" w:leftChars="0" w:right="0" w:rightChars="0" w:firstLine="640" w:firstLineChars="200"/>
        <w:outlineLvl w:val="9"/>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pP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（1）乙方须制定《危机公关分级响应预案》，明确不同类型、级别舆情的响应流程与时限（如一般舆情24小时内响应，重大事件1小时内启动应急机制），作为本服务的操作指南。</w:t>
      </w:r>
    </w:p>
    <w:p w14:paraId="43C34A96">
      <w:pPr>
        <w:pStyle w:val="7"/>
        <w:keepNext w:val="0"/>
        <w:keepLines w:val="0"/>
        <w:widowControl/>
        <w:numPr>
          <w:ilvl w:val="-1"/>
          <w:numId w:val="0"/>
        </w:numPr>
        <w:suppressLineNumbers w:val="0"/>
        <w:shd w:val="clear" w:fill="FFFFFF"/>
        <w:spacing w:before="160" w:beforeAutospacing="0" w:after="160" w:afterAutospacing="0" w:line="560" w:lineRule="exact"/>
        <w:ind w:left="0" w:leftChars="0" w:right="0" w:rightChars="0" w:firstLine="640" w:firstLineChars="200"/>
        <w:outlineLvl w:val="9"/>
        <w:rPr>
          <w:rStyle w:val="20"/>
          <w:rFonts w:hint="eastAsia" w:ascii="仿宋_GB2312" w:hAnsi="仿宋_GB2312" w:eastAsia="仿宋_GB2312" w:cs="仿宋_GB2312"/>
          <w:b w:val="0"/>
          <w:bCs w:val="0"/>
          <w:i w:val="0"/>
          <w:iCs w:val="0"/>
          <w:caps w:val="0"/>
          <w:color w:val="0F1115"/>
          <w:spacing w:val="0"/>
          <w:sz w:val="32"/>
          <w:szCs w:val="32"/>
          <w:shd w:val="clear" w:fill="FFFFFF"/>
        </w:rPr>
      </w:pP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（2）当发生重大舆情（红色预警）时，乙方除按附件第</w:t>
      </w:r>
      <w:r>
        <w:rPr>
          <w:rStyle w:val="20"/>
          <w:rFonts w:hint="eastAsia" w:hAnsi="仿宋_GB2312" w:cs="仿宋_GB2312"/>
          <w:b w:val="0"/>
          <w:bCs w:val="0"/>
          <w:i w:val="0"/>
          <w:iCs w:val="0"/>
          <w:caps w:val="0"/>
          <w:color w:val="0F1115"/>
          <w:spacing w:val="0"/>
          <w:sz w:val="32"/>
          <w:szCs w:val="32"/>
          <w:shd w:val="clear" w:fill="FFFFFF"/>
          <w:lang w:val="en-US" w:eastAsia="zh-CN"/>
        </w:rPr>
        <w:t>四</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条提供处置建议外，应主动协调媒体资源，协助甲方发布事实声明、安排专访或发布权威信息，以引导舆论走向，有效降低负面影响的深度与广度。</w:t>
      </w:r>
    </w:p>
    <w:p w14:paraId="149C9338">
      <w:pPr>
        <w:keepNext w:val="0"/>
        <w:keepLines w:val="0"/>
        <w:widowControl/>
        <w:numPr>
          <w:ilvl w:val="-1"/>
          <w:numId w:val="0"/>
        </w:numPr>
        <w:suppressLineNumbers w:val="0"/>
        <w:shd w:val="clear" w:fill="FFFFFF"/>
        <w:spacing w:before="160" w:beforeAutospacing="0" w:after="160" w:afterAutospacing="0" w:line="560" w:lineRule="exact"/>
        <w:ind w:left="420" w:leftChars="200" w:right="0" w:rightChars="0" w:firstLine="0" w:firstLineChars="0"/>
        <w:outlineLvl w:val="9"/>
        <w:rPr>
          <w:rFonts w:hint="eastAsia" w:ascii="黑体" w:hAnsi="黑体" w:eastAsia="黑体" w:cs="黑体"/>
          <w:b w:val="0"/>
          <w:bCs w:val="0"/>
          <w:i w:val="0"/>
          <w:iCs w:val="0"/>
          <w:caps w:val="0"/>
          <w:color w:val="0F1115"/>
          <w:spacing w:val="0"/>
          <w:sz w:val="32"/>
          <w:szCs w:val="32"/>
        </w:rPr>
      </w:pPr>
      <w:r>
        <w:rPr>
          <w:rStyle w:val="20"/>
          <w:rFonts w:hint="eastAsia" w:ascii="黑体" w:hAnsi="黑体" w:eastAsia="黑体" w:cs="黑体"/>
          <w:b w:val="0"/>
          <w:bCs w:val="0"/>
          <w:i w:val="0"/>
          <w:iCs w:val="0"/>
          <w:caps w:val="0"/>
          <w:color w:val="0F1115"/>
          <w:spacing w:val="0"/>
          <w:sz w:val="32"/>
          <w:szCs w:val="32"/>
          <w:shd w:val="clear" w:fill="FFFFFF"/>
          <w:lang w:val="en-US" w:eastAsia="zh-CN"/>
        </w:rPr>
        <w:t xml:space="preserve">第七条 </w:t>
      </w:r>
      <w:r>
        <w:rPr>
          <w:rStyle w:val="20"/>
          <w:rFonts w:hint="eastAsia" w:ascii="黑体" w:hAnsi="黑体" w:eastAsia="黑体" w:cs="黑体"/>
          <w:b w:val="0"/>
          <w:bCs w:val="0"/>
          <w:i w:val="0"/>
          <w:iCs w:val="0"/>
          <w:caps w:val="0"/>
          <w:color w:val="0F1115"/>
          <w:spacing w:val="0"/>
          <w:sz w:val="32"/>
          <w:szCs w:val="32"/>
          <w:shd w:val="clear" w:fill="FFFFFF"/>
        </w:rPr>
        <w:t>违约触发机制</w:t>
      </w:r>
    </w:p>
    <w:p w14:paraId="11AED058">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1.</w:t>
      </w:r>
      <w:r>
        <w:rPr>
          <w:rFonts w:hint="eastAsia" w:ascii="仿宋_GB2312" w:hAnsi="仿宋_GB2312" w:eastAsia="仿宋_GB2312" w:cs="仿宋_GB2312"/>
          <w:b w:val="0"/>
          <w:bCs w:val="0"/>
          <w:i w:val="0"/>
          <w:iCs w:val="0"/>
          <w:caps w:val="0"/>
          <w:color w:val="0F1115"/>
          <w:spacing w:val="0"/>
          <w:sz w:val="32"/>
          <w:szCs w:val="32"/>
          <w:shd w:val="clear" w:fill="FFFFFF"/>
        </w:rPr>
        <w:t>主合同第五条所述的违约责任，适用于以下情形：</w:t>
      </w:r>
    </w:p>
    <w:p w14:paraId="773D2432">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rPr>
        <w:t>（1）乙方未在规定时限内发出预警（红/橙/蓝）；</w:t>
      </w:r>
    </w:p>
    <w:p w14:paraId="649E5BAC">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rPr>
        <w:t>（2）乙方发出预警时未同步提交初步处置建议；</w:t>
      </w:r>
    </w:p>
    <w:p w14:paraId="73BF1130">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rPr>
        <w:t>（3）乙方未在规定时限内提交完整的《舆情事件处置报告》；</w:t>
      </w:r>
    </w:p>
    <w:p w14:paraId="6E4AEA99">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rPr>
        <w:t>（4）乙方提交的处置建议经甲方两次要求修改后仍被认定为不合格。</w:t>
      </w:r>
    </w:p>
    <w:p w14:paraId="6270C2D0">
      <w:pPr>
        <w:pStyle w:val="15"/>
        <w:keepNext w:val="0"/>
        <w:keepLines w:val="0"/>
        <w:widowControl/>
        <w:suppressLineNumbers w:val="0"/>
        <w:shd w:val="clear" w:fill="FFFFFF"/>
        <w:spacing w:before="160" w:beforeAutospacing="0" w:after="160" w:afterAutospacing="0" w:line="560" w:lineRule="exact"/>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2.</w:t>
      </w:r>
      <w:r>
        <w:rPr>
          <w:rFonts w:hint="eastAsia" w:ascii="仿宋_GB2312" w:hAnsi="仿宋_GB2312" w:eastAsia="仿宋_GB2312" w:cs="仿宋_GB2312"/>
          <w:b w:val="0"/>
          <w:bCs w:val="0"/>
          <w:i w:val="0"/>
          <w:iCs w:val="0"/>
          <w:caps w:val="0"/>
          <w:color w:val="0F1115"/>
          <w:spacing w:val="0"/>
          <w:sz w:val="32"/>
          <w:szCs w:val="32"/>
          <w:shd w:val="clear" w:fill="FFFFFF"/>
        </w:rPr>
        <w:t>乙方不因其提供的处置建议被甲方采纳或不采纳、或因采纳后的处置后果承担任何违约责任。甲方依据自身判断做出的决策及执行后果，由甲方自行承担。</w:t>
      </w:r>
    </w:p>
    <w:p w14:paraId="7668DEE3">
      <w:pPr>
        <w:pStyle w:val="15"/>
        <w:keepNext w:val="0"/>
        <w:keepLines w:val="0"/>
        <w:widowControl/>
        <w:suppressLineNumbers w:val="0"/>
        <w:pBdr>
          <w:top w:val="none" w:color="auto" w:sz="0" w:space="0"/>
          <w:left w:val="none" w:color="auto" w:sz="0" w:space="0"/>
          <w:right w:val="none" w:color="auto" w:sz="0" w:space="0"/>
        </w:pBdr>
        <w:shd w:val="clear" w:fill="FFFFFF"/>
        <w:spacing w:before="160" w:beforeAutospacing="0" w:after="160" w:afterAutospacing="0"/>
        <w:ind w:left="0" w:right="0" w:firstLine="640" w:firstLineChars="200"/>
        <w:rPr>
          <w:rFonts w:hint="eastAsia" w:ascii="仿宋_GB2312" w:hAnsi="仿宋_GB2312" w:eastAsia="仿宋_GB2312" w:cs="仿宋_GB2312"/>
          <w:b w:val="0"/>
          <w:bCs w:val="0"/>
          <w:i w:val="0"/>
          <w:iCs w:val="0"/>
          <w:caps w:val="0"/>
          <w:color w:val="0F1115"/>
          <w:spacing w:val="0"/>
          <w:sz w:val="32"/>
          <w:szCs w:val="32"/>
          <w:shd w:val="clear" w:fill="FFFFFF"/>
        </w:rPr>
      </w:pPr>
      <w:r>
        <w:rPr>
          <w:rFonts w:hint="eastAsia" w:ascii="仿宋_GB2312" w:hAnsi="仿宋_GB2312" w:eastAsia="仿宋_GB2312" w:cs="仿宋_GB2312"/>
          <w:b w:val="0"/>
          <w:bCs w:val="0"/>
          <w:i w:val="0"/>
          <w:iCs w:val="0"/>
          <w:caps w:val="0"/>
          <w:color w:val="0F1115"/>
          <w:spacing w:val="0"/>
          <w:sz w:val="32"/>
          <w:szCs w:val="32"/>
          <w:shd w:val="clear" w:fill="FFFFFF"/>
          <w:lang w:val="en-US" w:eastAsia="zh-CN"/>
        </w:rPr>
        <w:t>3.</w:t>
      </w:r>
      <w:r>
        <w:rPr>
          <w:rFonts w:hint="eastAsia" w:ascii="仿宋_GB2312" w:hAnsi="仿宋_GB2312" w:eastAsia="仿宋_GB2312" w:cs="仿宋_GB2312"/>
          <w:b w:val="0"/>
          <w:bCs w:val="0"/>
          <w:i w:val="0"/>
          <w:iCs w:val="0"/>
          <w:caps w:val="0"/>
          <w:color w:val="0F1115"/>
          <w:spacing w:val="0"/>
          <w:sz w:val="32"/>
          <w:szCs w:val="32"/>
          <w:shd w:val="clear" w:fill="FFFFFF"/>
        </w:rPr>
        <w:t>“累计”次数计算：以单次舆情事件为计数单位，同一事件在不同平台发酵，计为一次事件。</w:t>
      </w:r>
    </w:p>
    <w:p w14:paraId="32B8928F">
      <w:pPr>
        <w:pStyle w:val="15"/>
        <w:keepNext w:val="0"/>
        <w:keepLines w:val="0"/>
        <w:widowControl/>
        <w:suppressLineNumbers w:val="0"/>
        <w:shd w:val="clear" w:fill="FFFFFF"/>
        <w:spacing w:before="160" w:beforeAutospacing="0" w:after="160" w:afterAutospacing="0" w:line="560" w:lineRule="exact"/>
        <w:ind w:left="0" w:right="0" w:firstLine="0"/>
        <w:rPr>
          <w:rStyle w:val="20"/>
          <w:rFonts w:hint="eastAsia" w:ascii="仿宋_GB2312" w:hAnsi="仿宋_GB2312" w:eastAsia="仿宋_GB2312" w:cs="仿宋_GB2312"/>
          <w:b w:val="0"/>
          <w:bCs w:val="0"/>
          <w:i w:val="0"/>
          <w:iCs w:val="0"/>
          <w:caps w:val="0"/>
          <w:color w:val="0F1115"/>
          <w:spacing w:val="0"/>
          <w:sz w:val="32"/>
          <w:szCs w:val="32"/>
          <w:shd w:val="clear" w:fill="FFFFFF"/>
        </w:rPr>
      </w:pPr>
      <w:r>
        <w:rPr>
          <w:rStyle w:val="20"/>
          <w:rFonts w:hint="eastAsia" w:ascii="仿宋_GB2312" w:hAnsi="仿宋_GB2312" w:eastAsia="仿宋_GB2312" w:cs="仿宋_GB2312"/>
          <w:b w:val="0"/>
          <w:bCs w:val="0"/>
          <w:i w:val="0"/>
          <w:iCs w:val="0"/>
          <w:caps w:val="0"/>
          <w:color w:val="0F1115"/>
          <w:spacing w:val="0"/>
          <w:sz w:val="32"/>
          <w:szCs w:val="32"/>
          <w:shd w:val="clear" w:fill="FFFFFF"/>
        </w:rPr>
        <w:t>（以下为签</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章区</w:t>
      </w:r>
      <w:r>
        <w:rPr>
          <w:rStyle w:val="20"/>
          <w:rFonts w:hint="eastAsia" w:ascii="仿宋_GB2312" w:hAnsi="仿宋_GB2312" w:eastAsia="仿宋_GB2312" w:cs="仿宋_GB2312"/>
          <w:b w:val="0"/>
          <w:bCs w:val="0"/>
          <w:i w:val="0"/>
          <w:iCs w:val="0"/>
          <w:caps w:val="0"/>
          <w:color w:val="0F1115"/>
          <w:spacing w:val="0"/>
          <w:sz w:val="32"/>
          <w:szCs w:val="32"/>
          <w:shd w:val="clear" w:fill="FFFFFF"/>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gridCol w:w="4360"/>
      </w:tblGrid>
      <w:tr w14:paraId="1B706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top"/>
          </w:tcPr>
          <w:p w14:paraId="4BCFB16C">
            <w:pPr>
              <w:pStyle w:val="15"/>
              <w:keepNext w:val="0"/>
              <w:keepLines w:val="0"/>
              <w:widowControl/>
              <w:suppressLineNumbers w:val="0"/>
              <w:spacing w:before="160" w:beforeAutospacing="0" w:after="160" w:afterAutospacing="0" w:line="560" w:lineRule="exact"/>
              <w:ind w:right="0"/>
              <w:rPr>
                <w:rStyle w:val="20"/>
                <w:rFonts w:hint="eastAsia" w:ascii="仿宋_GB2312" w:hAnsi="仿宋_GB2312" w:eastAsia="仿宋_GB2312" w:cs="仿宋_GB2312"/>
                <w:b w:val="0"/>
                <w:bCs w:val="0"/>
                <w:i w:val="0"/>
                <w:iCs w:val="0"/>
                <w:caps w:val="0"/>
                <w:color w:val="0F1115"/>
                <w:spacing w:val="0"/>
                <w:sz w:val="32"/>
                <w:szCs w:val="32"/>
                <w:shd w:val="clear" w:fill="FFFFFF"/>
                <w:vertAlign w:val="baseline"/>
              </w:rPr>
            </w:pPr>
            <w:r>
              <w:rPr>
                <w:rStyle w:val="20"/>
                <w:rFonts w:hint="eastAsia" w:ascii="仿宋_GB2312" w:hAnsi="仿宋_GB2312" w:eastAsia="仿宋_GB2312" w:cs="仿宋_GB2312"/>
                <w:b w:val="0"/>
                <w:bCs w:val="0"/>
                <w:i w:val="0"/>
                <w:iCs w:val="0"/>
                <w:caps w:val="0"/>
                <w:color w:val="0F1115"/>
                <w:spacing w:val="0"/>
                <w:sz w:val="32"/>
                <w:szCs w:val="32"/>
                <w:shd w:val="clear" w:fill="FFFFFF"/>
              </w:rPr>
              <w:t>甲方（盖章）</w:t>
            </w:r>
          </w:p>
        </w:tc>
        <w:tc>
          <w:tcPr>
            <w:tcW w:w="4360" w:type="dxa"/>
            <w:tcBorders>
              <w:tl2br w:val="nil"/>
              <w:tr2bl w:val="nil"/>
            </w:tcBorders>
            <w:vAlign w:val="top"/>
          </w:tcPr>
          <w:p w14:paraId="3320F7D7">
            <w:pPr>
              <w:pStyle w:val="15"/>
              <w:keepNext w:val="0"/>
              <w:keepLines w:val="0"/>
              <w:widowControl/>
              <w:suppressLineNumbers w:val="0"/>
              <w:spacing w:before="160" w:beforeAutospacing="0" w:after="160" w:afterAutospacing="0" w:line="560" w:lineRule="exact"/>
              <w:ind w:right="0"/>
              <w:rPr>
                <w:rStyle w:val="20"/>
                <w:rFonts w:hint="eastAsia" w:ascii="仿宋_GB2312" w:hAnsi="仿宋_GB2312" w:eastAsia="仿宋_GB2312" w:cs="仿宋_GB2312"/>
                <w:b w:val="0"/>
                <w:bCs w:val="0"/>
                <w:i w:val="0"/>
                <w:iCs w:val="0"/>
                <w:caps w:val="0"/>
                <w:color w:val="0F1115"/>
                <w:spacing w:val="0"/>
                <w:sz w:val="32"/>
                <w:szCs w:val="32"/>
                <w:shd w:val="clear" w:fill="FFFFFF"/>
                <w:vertAlign w:val="baseline"/>
              </w:rPr>
            </w:pPr>
            <w:r>
              <w:rPr>
                <w:rFonts w:hint="eastAsia" w:ascii="仿宋_GB2312" w:hAnsi="仿宋_GB2312" w:eastAsia="仿宋_GB2312" w:cs="仿宋_GB2312"/>
                <w:b w:val="0"/>
                <w:bCs w:val="0"/>
                <w:i w:val="0"/>
                <w:iCs w:val="0"/>
                <w:caps w:val="0"/>
                <w:color w:val="0F1115"/>
                <w:spacing w:val="0"/>
                <w:sz w:val="32"/>
                <w:szCs w:val="32"/>
                <w:shd w:val="clear" w:fill="FFFFFF"/>
              </w:rPr>
              <w:t> </w:t>
            </w:r>
            <w:r>
              <w:rPr>
                <w:rStyle w:val="20"/>
                <w:rFonts w:hint="eastAsia" w:ascii="仿宋_GB2312" w:hAnsi="仿宋_GB2312" w:eastAsia="仿宋_GB2312" w:cs="仿宋_GB2312"/>
                <w:b w:val="0"/>
                <w:bCs w:val="0"/>
                <w:i w:val="0"/>
                <w:iCs w:val="0"/>
                <w:caps w:val="0"/>
                <w:color w:val="0F1115"/>
                <w:spacing w:val="0"/>
                <w:sz w:val="32"/>
                <w:szCs w:val="32"/>
                <w:shd w:val="clear" w:fill="FFFFFF"/>
              </w:rPr>
              <w:t>乙方（盖章）</w:t>
            </w:r>
          </w:p>
        </w:tc>
      </w:tr>
      <w:tr w14:paraId="7E41C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top"/>
          </w:tcPr>
          <w:p w14:paraId="0EEF8B71">
            <w:pPr>
              <w:pStyle w:val="15"/>
              <w:keepNext w:val="0"/>
              <w:keepLines w:val="0"/>
              <w:widowControl/>
              <w:suppressLineNumbers w:val="0"/>
              <w:spacing w:before="160" w:beforeAutospacing="0" w:after="160" w:afterAutospacing="0" w:line="560" w:lineRule="exact"/>
              <w:ind w:right="0"/>
              <w:rPr>
                <w:rStyle w:val="20"/>
                <w:rFonts w:hint="eastAsia" w:ascii="仿宋_GB2312" w:hAnsi="仿宋_GB2312" w:eastAsia="仿宋_GB2312" w:cs="仿宋_GB2312"/>
                <w:b w:val="0"/>
                <w:bCs w:val="0"/>
                <w:i w:val="0"/>
                <w:iCs w:val="0"/>
                <w:caps w:val="0"/>
                <w:color w:val="0F1115"/>
                <w:spacing w:val="0"/>
                <w:sz w:val="32"/>
                <w:szCs w:val="32"/>
                <w:shd w:val="clear" w:fill="FFFFFF"/>
                <w:vertAlign w:val="baseline"/>
              </w:rPr>
            </w:pPr>
            <w:r>
              <w:rPr>
                <w:rStyle w:val="20"/>
                <w:rFonts w:hint="eastAsia" w:ascii="仿宋_GB2312" w:hAnsi="仿宋_GB2312" w:eastAsia="仿宋_GB2312" w:cs="仿宋_GB2312"/>
                <w:b w:val="0"/>
                <w:bCs w:val="0"/>
                <w:i w:val="0"/>
                <w:iCs w:val="0"/>
                <w:caps w:val="0"/>
                <w:color w:val="0F1115"/>
                <w:spacing w:val="0"/>
                <w:sz w:val="32"/>
                <w:szCs w:val="32"/>
                <w:shd w:val="clear" w:fill="FFFFFF"/>
              </w:rPr>
              <w:t>授权代表（签字）</w:t>
            </w:r>
          </w:p>
        </w:tc>
        <w:tc>
          <w:tcPr>
            <w:tcW w:w="4360" w:type="dxa"/>
            <w:tcBorders>
              <w:tl2br w:val="nil"/>
              <w:tr2bl w:val="nil"/>
            </w:tcBorders>
            <w:vAlign w:val="top"/>
          </w:tcPr>
          <w:p w14:paraId="312B86E7">
            <w:pPr>
              <w:pStyle w:val="15"/>
              <w:keepNext w:val="0"/>
              <w:keepLines w:val="0"/>
              <w:widowControl/>
              <w:suppressLineNumbers w:val="0"/>
              <w:spacing w:before="160" w:beforeAutospacing="0" w:after="160" w:afterAutospacing="0" w:line="560" w:lineRule="exact"/>
              <w:ind w:right="0"/>
              <w:rPr>
                <w:rStyle w:val="20"/>
                <w:rFonts w:hint="eastAsia" w:ascii="仿宋_GB2312" w:hAnsi="仿宋_GB2312" w:eastAsia="仿宋_GB2312" w:cs="仿宋_GB2312"/>
                <w:b w:val="0"/>
                <w:bCs w:val="0"/>
                <w:i w:val="0"/>
                <w:iCs w:val="0"/>
                <w:caps w:val="0"/>
                <w:color w:val="0F1115"/>
                <w:spacing w:val="0"/>
                <w:sz w:val="32"/>
                <w:szCs w:val="32"/>
                <w:shd w:val="clear" w:fill="FFFFFF"/>
                <w:vertAlign w:val="baseline"/>
              </w:rPr>
            </w:pPr>
            <w:r>
              <w:rPr>
                <w:rStyle w:val="20"/>
                <w:rFonts w:hint="eastAsia" w:ascii="仿宋_GB2312" w:hAnsi="仿宋_GB2312" w:eastAsia="仿宋_GB2312" w:cs="仿宋_GB2312"/>
                <w:b w:val="0"/>
                <w:bCs w:val="0"/>
                <w:i w:val="0"/>
                <w:iCs w:val="0"/>
                <w:caps w:val="0"/>
                <w:color w:val="0F1115"/>
                <w:spacing w:val="0"/>
                <w:sz w:val="32"/>
                <w:szCs w:val="32"/>
                <w:shd w:val="clear" w:fill="FFFFFF"/>
              </w:rPr>
              <w:t>授权代表（签字）</w:t>
            </w:r>
          </w:p>
        </w:tc>
      </w:tr>
      <w:tr w14:paraId="01690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vAlign w:val="top"/>
          </w:tcPr>
          <w:p w14:paraId="5B11714A">
            <w:pPr>
              <w:pStyle w:val="15"/>
              <w:keepNext w:val="0"/>
              <w:keepLines w:val="0"/>
              <w:widowControl/>
              <w:suppressLineNumbers w:val="0"/>
              <w:spacing w:before="160" w:beforeAutospacing="0" w:after="160" w:afterAutospacing="0" w:line="560" w:lineRule="exact"/>
              <w:ind w:right="0"/>
              <w:rPr>
                <w:rStyle w:val="20"/>
                <w:rFonts w:hint="eastAsia" w:ascii="仿宋_GB2312" w:hAnsi="仿宋_GB2312" w:eastAsia="仿宋_GB2312" w:cs="仿宋_GB2312"/>
                <w:b w:val="0"/>
                <w:bCs w:val="0"/>
                <w:i w:val="0"/>
                <w:iCs w:val="0"/>
                <w:caps w:val="0"/>
                <w:color w:val="0F1115"/>
                <w:spacing w:val="0"/>
                <w:sz w:val="32"/>
                <w:szCs w:val="32"/>
                <w:shd w:val="clear" w:fill="FFFFFF"/>
              </w:rPr>
            </w:pPr>
            <w:r>
              <w:rPr>
                <w:rStyle w:val="20"/>
                <w:rFonts w:hint="eastAsia" w:ascii="仿宋_GB2312" w:hAnsi="仿宋_GB2312" w:eastAsia="仿宋_GB2312" w:cs="仿宋_GB2312"/>
                <w:b w:val="0"/>
                <w:bCs w:val="0"/>
                <w:i w:val="0"/>
                <w:iCs w:val="0"/>
                <w:caps w:val="0"/>
                <w:color w:val="0F1115"/>
                <w:spacing w:val="0"/>
                <w:sz w:val="32"/>
                <w:szCs w:val="32"/>
                <w:shd w:val="clear" w:fill="FFFFFF"/>
              </w:rPr>
              <w:t>日期：</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 xml:space="preserve">  </w:t>
            </w:r>
            <w:r>
              <w:rPr>
                <w:rFonts w:hint="eastAsia" w:ascii="仿宋_GB2312" w:hAnsi="仿宋_GB2312" w:eastAsia="仿宋_GB2312" w:cs="仿宋_GB2312"/>
                <w:b w:val="0"/>
                <w:bCs w:val="0"/>
                <w:i w:val="0"/>
                <w:iCs w:val="0"/>
                <w:caps w:val="0"/>
                <w:color w:val="0F1115"/>
                <w:spacing w:val="0"/>
                <w:sz w:val="32"/>
                <w:szCs w:val="32"/>
                <w:shd w:val="clear" w:fill="FFFFFF"/>
              </w:rPr>
              <w:t> </w:t>
            </w:r>
            <w:r>
              <w:rPr>
                <w:rStyle w:val="20"/>
                <w:rFonts w:hint="eastAsia" w:ascii="仿宋_GB2312" w:hAnsi="仿宋_GB2312" w:eastAsia="仿宋_GB2312" w:cs="仿宋_GB2312"/>
                <w:b w:val="0"/>
                <w:bCs w:val="0"/>
                <w:i w:val="0"/>
                <w:iCs w:val="0"/>
                <w:caps w:val="0"/>
                <w:color w:val="0F1115"/>
                <w:spacing w:val="0"/>
                <w:sz w:val="32"/>
                <w:szCs w:val="32"/>
                <w:shd w:val="clear" w:fill="FFFFFF"/>
              </w:rPr>
              <w:t xml:space="preserve">年 </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 xml:space="preserve">   </w:t>
            </w:r>
            <w:r>
              <w:rPr>
                <w:rStyle w:val="20"/>
                <w:rFonts w:hint="eastAsia" w:ascii="仿宋_GB2312" w:hAnsi="仿宋_GB2312" w:eastAsia="仿宋_GB2312" w:cs="仿宋_GB2312"/>
                <w:b w:val="0"/>
                <w:bCs w:val="0"/>
                <w:i w:val="0"/>
                <w:iCs w:val="0"/>
                <w:caps w:val="0"/>
                <w:color w:val="0F1115"/>
                <w:spacing w:val="0"/>
                <w:sz w:val="32"/>
                <w:szCs w:val="32"/>
                <w:shd w:val="clear" w:fill="FFFFFF"/>
              </w:rPr>
              <w:t>月</w:t>
            </w:r>
            <w:r>
              <w:rPr>
                <w:rStyle w:val="20"/>
                <w:rFonts w:hint="eastAsia" w:ascii="仿宋_GB2312" w:hAnsi="仿宋_GB2312" w:eastAsia="仿宋_GB2312" w:cs="仿宋_GB2312"/>
                <w:b w:val="0"/>
                <w:bCs w:val="0"/>
                <w:i w:val="0"/>
                <w:iCs w:val="0"/>
                <w:caps w:val="0"/>
                <w:color w:val="0F1115"/>
                <w:spacing w:val="0"/>
                <w:sz w:val="32"/>
                <w:szCs w:val="32"/>
                <w:shd w:val="clear" w:fill="FFFFFF"/>
                <w:lang w:val="en-US" w:eastAsia="zh-CN"/>
              </w:rPr>
              <w:t xml:space="preserve">    </w:t>
            </w:r>
            <w:r>
              <w:rPr>
                <w:rStyle w:val="20"/>
                <w:rFonts w:hint="eastAsia" w:ascii="仿宋_GB2312" w:hAnsi="仿宋_GB2312" w:eastAsia="仿宋_GB2312" w:cs="仿宋_GB2312"/>
                <w:b w:val="0"/>
                <w:bCs w:val="0"/>
                <w:i w:val="0"/>
                <w:iCs w:val="0"/>
                <w:caps w:val="0"/>
                <w:color w:val="0F1115"/>
                <w:spacing w:val="0"/>
                <w:sz w:val="32"/>
                <w:szCs w:val="32"/>
                <w:shd w:val="clear" w:fill="FFFFFF"/>
              </w:rPr>
              <w:t xml:space="preserve"> 日</w:t>
            </w:r>
          </w:p>
        </w:tc>
        <w:tc>
          <w:tcPr>
            <w:tcW w:w="4360" w:type="dxa"/>
            <w:tcBorders>
              <w:tl2br w:val="nil"/>
              <w:tr2bl w:val="nil"/>
            </w:tcBorders>
            <w:vAlign w:val="top"/>
          </w:tcPr>
          <w:p w14:paraId="418B61D6">
            <w:pPr>
              <w:pStyle w:val="15"/>
              <w:keepNext w:val="0"/>
              <w:keepLines w:val="0"/>
              <w:widowControl/>
              <w:suppressLineNumbers w:val="0"/>
              <w:spacing w:before="160" w:beforeAutospacing="0" w:after="160" w:afterAutospacing="0" w:line="560" w:lineRule="exact"/>
              <w:ind w:right="0"/>
              <w:rPr>
                <w:rStyle w:val="20"/>
                <w:rFonts w:hint="eastAsia" w:ascii="仿宋_GB2312" w:hAnsi="仿宋_GB2312" w:eastAsia="仿宋_GB2312" w:cs="仿宋_GB2312"/>
                <w:b w:val="0"/>
                <w:bCs w:val="0"/>
                <w:i w:val="0"/>
                <w:iCs w:val="0"/>
                <w:caps w:val="0"/>
                <w:color w:val="0F1115"/>
                <w:spacing w:val="0"/>
                <w:sz w:val="32"/>
                <w:szCs w:val="32"/>
                <w:shd w:val="clear" w:fill="FFFFFF"/>
              </w:rPr>
            </w:pPr>
          </w:p>
        </w:tc>
      </w:tr>
    </w:tbl>
    <w:p w14:paraId="3CFC73C1">
      <w:pPr>
        <w:pStyle w:val="8"/>
        <w:spacing w:line="240" w:lineRule="auto"/>
        <w:ind w:firstLine="0" w:firstLineChars="0"/>
        <w:outlineLvl w:val="9"/>
        <w:rPr>
          <w:rFonts w:ascii="方正仿宋_GB2312" w:hAnsi="方正仿宋_GB2312" w:eastAsia="方正仿宋_GB2312" w:cs="方正仿宋_GB2312"/>
          <w:sz w:val="32"/>
          <w:szCs w:val="32"/>
        </w:rPr>
      </w:pPr>
    </w:p>
    <w:p w14:paraId="06EE6436">
      <w:pPr>
        <w:pStyle w:val="8"/>
        <w:spacing w:line="240" w:lineRule="auto"/>
        <w:ind w:firstLine="0" w:firstLineChars="0"/>
        <w:outlineLvl w:val="0"/>
        <w:rPr>
          <w:rFonts w:hint="eastAsia" w:ascii="方正仿宋_GB2312" w:hAnsi="方正仿宋_GB2312" w:eastAsia="方正仿宋_GB2312" w:cs="方正仿宋_GB2312"/>
          <w:sz w:val="32"/>
          <w:szCs w:val="32"/>
          <w:lang w:val="en-US" w:eastAsia="zh-CN"/>
        </w:rPr>
      </w:pPr>
      <w:r>
        <w:rPr>
          <w:rFonts w:hint="eastAsia" w:ascii="方正小标宋简体" w:hAnsi="方正小标宋简体" w:eastAsia="方正小标宋简体" w:cs="方正小标宋简体"/>
          <w:sz w:val="44"/>
          <w:szCs w:val="44"/>
        </w:rPr>
        <w:br w:type="page"/>
      </w:r>
      <w:r>
        <w:rPr>
          <w:rFonts w:hint="eastAsia" w:ascii="方正仿宋_GB2312" w:hAnsi="方正仿宋_GB2312" w:eastAsia="方正仿宋_GB2312" w:cs="方正仿宋_GB2312"/>
          <w:sz w:val="32"/>
          <w:szCs w:val="32"/>
        </w:rPr>
        <w:t>附件3</w:t>
      </w:r>
      <w:r>
        <w:rPr>
          <w:rFonts w:hint="eastAsia" w:ascii="方正仿宋_GB2312" w:hAnsi="方正仿宋_GB2312" w:eastAsia="方正仿宋_GB2312" w:cs="方正仿宋_GB2312"/>
          <w:sz w:val="32"/>
          <w:szCs w:val="32"/>
          <w:lang w:val="en-US" w:eastAsia="zh-CN"/>
        </w:rPr>
        <w:t>.</w:t>
      </w:r>
    </w:p>
    <w:p w14:paraId="395B7FCE">
      <w:pPr>
        <w:pStyle w:val="8"/>
        <w:spacing w:line="240" w:lineRule="auto"/>
        <w:ind w:firstLine="0" w:firstLineChars="0"/>
        <w:jc w:val="center"/>
        <w:outlineLvl w:val="9"/>
        <w:rPr>
          <w:rFonts w:hint="eastAsia" w:ascii="方正小标宋简体" w:hAnsi="方正小标宋简体" w:eastAsia="方正小标宋简体" w:cs="方正小标宋简体"/>
          <w:bCs w:val="0"/>
          <w:sz w:val="44"/>
          <w:szCs w:val="44"/>
          <w:lang w:val="en-US" w:eastAsia="zh-CN"/>
        </w:rPr>
      </w:pPr>
      <w:r>
        <w:rPr>
          <w:rFonts w:hint="eastAsia" w:ascii="方正小标宋简体" w:hAnsi="方正小标宋简体" w:eastAsia="方正小标宋简体" w:cs="方正小标宋简体"/>
          <w:bCs w:val="0"/>
          <w:sz w:val="44"/>
          <w:szCs w:val="44"/>
          <w:lang w:val="en-US" w:eastAsia="zh-CN"/>
        </w:rPr>
        <w:t>乙方工作小组人员名单及简历</w:t>
      </w:r>
    </w:p>
    <w:tbl>
      <w:tblPr>
        <w:tblStyle w:val="17"/>
        <w:tblW w:w="83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1428"/>
        <w:gridCol w:w="1570"/>
        <w:gridCol w:w="4231"/>
      </w:tblGrid>
      <w:tr w14:paraId="086E4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101" w:type="dxa"/>
            <w:noWrap w:val="0"/>
            <w:vAlign w:val="center"/>
          </w:tcPr>
          <w:p w14:paraId="3419B3B5">
            <w:pPr>
              <w:spacing w:line="360" w:lineRule="auto"/>
              <w:jc w:val="center"/>
              <w:rPr>
                <w:rFonts w:hint="eastAsia"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b/>
                <w:bCs/>
                <w:color w:val="000000"/>
                <w:sz w:val="24"/>
                <w:szCs w:val="24"/>
              </w:rPr>
              <w:t>姓名</w:t>
            </w:r>
          </w:p>
        </w:tc>
        <w:tc>
          <w:tcPr>
            <w:tcW w:w="1428" w:type="dxa"/>
            <w:noWrap w:val="0"/>
            <w:vAlign w:val="center"/>
          </w:tcPr>
          <w:p w14:paraId="1F216DA8">
            <w:pPr>
              <w:spacing w:line="360" w:lineRule="auto"/>
              <w:jc w:val="center"/>
              <w:rPr>
                <w:rFonts w:hint="eastAsia"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b/>
                <w:bCs/>
                <w:color w:val="000000"/>
                <w:sz w:val="24"/>
                <w:szCs w:val="24"/>
              </w:rPr>
              <w:t>专业类别</w:t>
            </w:r>
          </w:p>
        </w:tc>
        <w:tc>
          <w:tcPr>
            <w:tcW w:w="1570" w:type="dxa"/>
            <w:noWrap w:val="0"/>
            <w:vAlign w:val="center"/>
          </w:tcPr>
          <w:p w14:paraId="4E06954A">
            <w:pPr>
              <w:spacing w:line="360" w:lineRule="auto"/>
              <w:jc w:val="center"/>
              <w:rPr>
                <w:rFonts w:hint="eastAsia"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b/>
                <w:bCs/>
                <w:color w:val="000000"/>
                <w:sz w:val="24"/>
                <w:szCs w:val="24"/>
              </w:rPr>
              <w:t>拟派岗位</w:t>
            </w:r>
          </w:p>
        </w:tc>
        <w:tc>
          <w:tcPr>
            <w:tcW w:w="4231" w:type="dxa"/>
            <w:noWrap w:val="0"/>
            <w:vAlign w:val="center"/>
          </w:tcPr>
          <w:p w14:paraId="3FB1C83B">
            <w:pPr>
              <w:spacing w:line="360" w:lineRule="auto"/>
              <w:jc w:val="center"/>
              <w:rPr>
                <w:rFonts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b/>
                <w:bCs/>
                <w:color w:val="000000"/>
                <w:sz w:val="24"/>
                <w:szCs w:val="24"/>
              </w:rPr>
              <w:t>参与过的同类项目</w:t>
            </w:r>
          </w:p>
        </w:tc>
      </w:tr>
      <w:tr w14:paraId="04087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101" w:type="dxa"/>
            <w:noWrap w:val="0"/>
            <w:vAlign w:val="center"/>
          </w:tcPr>
          <w:p w14:paraId="68D4C189">
            <w:pPr>
              <w:spacing w:line="360" w:lineRule="auto"/>
              <w:jc w:val="center"/>
              <w:rPr>
                <w:rFonts w:hint="eastAsia" w:ascii="方正仿宋_GB2312" w:hAnsi="方正仿宋_GB2312" w:eastAsia="方正仿宋_GB2312" w:cs="方正仿宋_GB2312"/>
                <w:b/>
                <w:bCs/>
                <w:color w:val="000000"/>
                <w:sz w:val="24"/>
                <w:szCs w:val="24"/>
              </w:rPr>
            </w:pPr>
          </w:p>
        </w:tc>
        <w:tc>
          <w:tcPr>
            <w:tcW w:w="1428" w:type="dxa"/>
            <w:noWrap w:val="0"/>
            <w:vAlign w:val="center"/>
          </w:tcPr>
          <w:p w14:paraId="268652F5">
            <w:pPr>
              <w:spacing w:line="360" w:lineRule="auto"/>
              <w:jc w:val="center"/>
              <w:rPr>
                <w:rFonts w:hint="eastAsia" w:ascii="方正仿宋_GB2312" w:hAnsi="方正仿宋_GB2312" w:eastAsia="方正仿宋_GB2312" w:cs="方正仿宋_GB2312"/>
                <w:b/>
                <w:bCs/>
                <w:color w:val="000000"/>
                <w:sz w:val="24"/>
                <w:szCs w:val="24"/>
              </w:rPr>
            </w:pPr>
          </w:p>
        </w:tc>
        <w:tc>
          <w:tcPr>
            <w:tcW w:w="1570" w:type="dxa"/>
            <w:noWrap w:val="0"/>
            <w:vAlign w:val="center"/>
          </w:tcPr>
          <w:p w14:paraId="2180E07B">
            <w:pPr>
              <w:spacing w:line="360" w:lineRule="auto"/>
              <w:jc w:val="center"/>
              <w:rPr>
                <w:rFonts w:hint="eastAsia" w:ascii="方正仿宋_GB2312" w:hAnsi="方正仿宋_GB2312" w:eastAsia="方正仿宋_GB2312" w:cs="方正仿宋_GB2312"/>
                <w:b/>
                <w:bCs/>
                <w:color w:val="000000"/>
                <w:sz w:val="24"/>
                <w:szCs w:val="24"/>
              </w:rPr>
            </w:pPr>
          </w:p>
        </w:tc>
        <w:tc>
          <w:tcPr>
            <w:tcW w:w="4231" w:type="dxa"/>
            <w:noWrap w:val="0"/>
            <w:vAlign w:val="center"/>
          </w:tcPr>
          <w:p w14:paraId="0F48E44C">
            <w:pPr>
              <w:spacing w:line="360" w:lineRule="auto"/>
              <w:jc w:val="center"/>
              <w:rPr>
                <w:rFonts w:hint="eastAsia" w:ascii="方正仿宋_GB2312" w:hAnsi="方正仿宋_GB2312" w:eastAsia="方正仿宋_GB2312" w:cs="方正仿宋_GB2312"/>
                <w:b/>
                <w:bCs/>
                <w:color w:val="000000"/>
                <w:sz w:val="24"/>
                <w:szCs w:val="24"/>
              </w:rPr>
            </w:pPr>
          </w:p>
        </w:tc>
      </w:tr>
      <w:tr w14:paraId="440A5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101" w:type="dxa"/>
            <w:noWrap w:val="0"/>
            <w:vAlign w:val="center"/>
          </w:tcPr>
          <w:p w14:paraId="384B68F6">
            <w:pPr>
              <w:spacing w:line="360" w:lineRule="auto"/>
              <w:jc w:val="center"/>
              <w:rPr>
                <w:rFonts w:hint="eastAsia" w:ascii="方正仿宋_GB2312" w:hAnsi="方正仿宋_GB2312" w:eastAsia="方正仿宋_GB2312" w:cs="方正仿宋_GB2312"/>
                <w:b/>
                <w:bCs/>
                <w:color w:val="000000"/>
                <w:sz w:val="24"/>
                <w:szCs w:val="24"/>
              </w:rPr>
            </w:pPr>
          </w:p>
        </w:tc>
        <w:tc>
          <w:tcPr>
            <w:tcW w:w="1428" w:type="dxa"/>
            <w:noWrap w:val="0"/>
            <w:vAlign w:val="center"/>
          </w:tcPr>
          <w:p w14:paraId="769BFA37">
            <w:pPr>
              <w:spacing w:line="360" w:lineRule="auto"/>
              <w:jc w:val="center"/>
              <w:rPr>
                <w:rFonts w:hint="eastAsia" w:ascii="方正仿宋_GB2312" w:hAnsi="方正仿宋_GB2312" w:eastAsia="方正仿宋_GB2312" w:cs="方正仿宋_GB2312"/>
                <w:b/>
                <w:bCs/>
                <w:color w:val="000000"/>
                <w:sz w:val="24"/>
                <w:szCs w:val="24"/>
              </w:rPr>
            </w:pPr>
          </w:p>
        </w:tc>
        <w:tc>
          <w:tcPr>
            <w:tcW w:w="1570" w:type="dxa"/>
            <w:noWrap w:val="0"/>
            <w:vAlign w:val="center"/>
          </w:tcPr>
          <w:p w14:paraId="0E4BC737">
            <w:pPr>
              <w:spacing w:line="360" w:lineRule="auto"/>
              <w:jc w:val="center"/>
              <w:rPr>
                <w:rFonts w:hint="eastAsia" w:ascii="方正仿宋_GB2312" w:hAnsi="方正仿宋_GB2312" w:eastAsia="方正仿宋_GB2312" w:cs="方正仿宋_GB2312"/>
                <w:b/>
                <w:bCs/>
                <w:color w:val="000000"/>
                <w:sz w:val="24"/>
                <w:szCs w:val="24"/>
              </w:rPr>
            </w:pPr>
          </w:p>
        </w:tc>
        <w:tc>
          <w:tcPr>
            <w:tcW w:w="4231" w:type="dxa"/>
            <w:noWrap w:val="0"/>
            <w:vAlign w:val="center"/>
          </w:tcPr>
          <w:p w14:paraId="4083EC7A">
            <w:pPr>
              <w:spacing w:line="360" w:lineRule="auto"/>
              <w:jc w:val="center"/>
              <w:rPr>
                <w:rFonts w:hint="eastAsia" w:ascii="方正仿宋_GB2312" w:hAnsi="方正仿宋_GB2312" w:eastAsia="方正仿宋_GB2312" w:cs="方正仿宋_GB2312"/>
                <w:b/>
                <w:bCs/>
                <w:color w:val="000000"/>
                <w:sz w:val="24"/>
                <w:szCs w:val="24"/>
              </w:rPr>
            </w:pPr>
          </w:p>
        </w:tc>
      </w:tr>
      <w:tr w14:paraId="29BBD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3" w:hRule="atLeast"/>
          <w:jc w:val="center"/>
        </w:trPr>
        <w:tc>
          <w:tcPr>
            <w:tcW w:w="1101" w:type="dxa"/>
            <w:noWrap w:val="0"/>
            <w:vAlign w:val="center"/>
          </w:tcPr>
          <w:p w14:paraId="485049A3">
            <w:pPr>
              <w:spacing w:line="360" w:lineRule="auto"/>
              <w:jc w:val="center"/>
              <w:rPr>
                <w:rFonts w:hint="eastAsia" w:ascii="方正仿宋_GB2312" w:hAnsi="方正仿宋_GB2312" w:eastAsia="方正仿宋_GB2312" w:cs="方正仿宋_GB2312"/>
                <w:b/>
                <w:bCs/>
                <w:color w:val="000000"/>
                <w:sz w:val="24"/>
                <w:szCs w:val="24"/>
              </w:rPr>
            </w:pPr>
          </w:p>
        </w:tc>
        <w:tc>
          <w:tcPr>
            <w:tcW w:w="1428" w:type="dxa"/>
            <w:noWrap w:val="0"/>
            <w:vAlign w:val="center"/>
          </w:tcPr>
          <w:p w14:paraId="6D2DBED8">
            <w:pPr>
              <w:spacing w:line="360" w:lineRule="auto"/>
              <w:jc w:val="center"/>
              <w:rPr>
                <w:rFonts w:hint="eastAsia" w:ascii="方正仿宋_GB2312" w:hAnsi="方正仿宋_GB2312" w:eastAsia="方正仿宋_GB2312" w:cs="方正仿宋_GB2312"/>
                <w:b/>
                <w:bCs/>
                <w:color w:val="000000"/>
                <w:sz w:val="24"/>
                <w:szCs w:val="24"/>
              </w:rPr>
            </w:pPr>
          </w:p>
        </w:tc>
        <w:tc>
          <w:tcPr>
            <w:tcW w:w="1570" w:type="dxa"/>
            <w:noWrap w:val="0"/>
            <w:vAlign w:val="center"/>
          </w:tcPr>
          <w:p w14:paraId="03251C9B">
            <w:pPr>
              <w:spacing w:line="360" w:lineRule="auto"/>
              <w:jc w:val="center"/>
              <w:rPr>
                <w:rFonts w:hint="eastAsia" w:ascii="方正仿宋_GB2312" w:hAnsi="方正仿宋_GB2312" w:eastAsia="方正仿宋_GB2312" w:cs="方正仿宋_GB2312"/>
                <w:b/>
                <w:bCs/>
                <w:color w:val="000000"/>
                <w:sz w:val="24"/>
                <w:szCs w:val="24"/>
              </w:rPr>
            </w:pPr>
          </w:p>
        </w:tc>
        <w:tc>
          <w:tcPr>
            <w:tcW w:w="4231" w:type="dxa"/>
            <w:noWrap w:val="0"/>
            <w:vAlign w:val="center"/>
          </w:tcPr>
          <w:p w14:paraId="57E3B2D8">
            <w:pPr>
              <w:spacing w:line="360" w:lineRule="auto"/>
              <w:jc w:val="center"/>
              <w:rPr>
                <w:rFonts w:hint="eastAsia" w:ascii="方正仿宋_GB2312" w:hAnsi="方正仿宋_GB2312" w:eastAsia="方正仿宋_GB2312" w:cs="方正仿宋_GB2312"/>
                <w:b/>
                <w:bCs/>
                <w:color w:val="000000"/>
                <w:sz w:val="24"/>
                <w:szCs w:val="24"/>
              </w:rPr>
            </w:pPr>
          </w:p>
        </w:tc>
      </w:tr>
      <w:tr w14:paraId="36624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3" w:hRule="atLeast"/>
          <w:jc w:val="center"/>
        </w:trPr>
        <w:tc>
          <w:tcPr>
            <w:tcW w:w="1101" w:type="dxa"/>
            <w:noWrap w:val="0"/>
            <w:vAlign w:val="center"/>
          </w:tcPr>
          <w:p w14:paraId="3D53C4FC">
            <w:pPr>
              <w:spacing w:line="360" w:lineRule="auto"/>
              <w:jc w:val="center"/>
              <w:rPr>
                <w:rFonts w:hint="eastAsia" w:ascii="方正仿宋_GB2312" w:hAnsi="方正仿宋_GB2312" w:eastAsia="方正仿宋_GB2312" w:cs="方正仿宋_GB2312"/>
                <w:b/>
                <w:bCs/>
                <w:color w:val="000000"/>
                <w:sz w:val="24"/>
                <w:szCs w:val="24"/>
              </w:rPr>
            </w:pPr>
          </w:p>
        </w:tc>
        <w:tc>
          <w:tcPr>
            <w:tcW w:w="1428" w:type="dxa"/>
            <w:noWrap w:val="0"/>
            <w:vAlign w:val="center"/>
          </w:tcPr>
          <w:p w14:paraId="407DBE51">
            <w:pPr>
              <w:spacing w:line="360" w:lineRule="auto"/>
              <w:jc w:val="center"/>
              <w:rPr>
                <w:rFonts w:hint="eastAsia" w:ascii="方正仿宋_GB2312" w:hAnsi="方正仿宋_GB2312" w:eastAsia="方正仿宋_GB2312" w:cs="方正仿宋_GB2312"/>
                <w:b/>
                <w:bCs/>
                <w:color w:val="000000"/>
                <w:sz w:val="24"/>
                <w:szCs w:val="24"/>
              </w:rPr>
            </w:pPr>
          </w:p>
        </w:tc>
        <w:tc>
          <w:tcPr>
            <w:tcW w:w="1570" w:type="dxa"/>
            <w:noWrap w:val="0"/>
            <w:vAlign w:val="center"/>
          </w:tcPr>
          <w:p w14:paraId="4C4185F9">
            <w:pPr>
              <w:spacing w:line="360" w:lineRule="auto"/>
              <w:jc w:val="center"/>
              <w:rPr>
                <w:rFonts w:hint="eastAsia" w:ascii="方正仿宋_GB2312" w:hAnsi="方正仿宋_GB2312" w:eastAsia="方正仿宋_GB2312" w:cs="方正仿宋_GB2312"/>
                <w:b/>
                <w:bCs/>
                <w:color w:val="000000"/>
                <w:sz w:val="24"/>
                <w:szCs w:val="24"/>
              </w:rPr>
            </w:pPr>
          </w:p>
        </w:tc>
        <w:tc>
          <w:tcPr>
            <w:tcW w:w="4231" w:type="dxa"/>
            <w:noWrap w:val="0"/>
            <w:vAlign w:val="center"/>
          </w:tcPr>
          <w:p w14:paraId="515AABB6">
            <w:pPr>
              <w:spacing w:line="360" w:lineRule="auto"/>
              <w:jc w:val="center"/>
              <w:rPr>
                <w:rFonts w:hint="eastAsia" w:ascii="方正仿宋_GB2312" w:hAnsi="方正仿宋_GB2312" w:eastAsia="方正仿宋_GB2312" w:cs="方正仿宋_GB2312"/>
                <w:b/>
                <w:bCs/>
                <w:color w:val="000000"/>
                <w:sz w:val="24"/>
                <w:szCs w:val="24"/>
              </w:rPr>
            </w:pPr>
          </w:p>
        </w:tc>
      </w:tr>
      <w:tr w14:paraId="6D6EC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101" w:type="dxa"/>
            <w:noWrap w:val="0"/>
            <w:vAlign w:val="center"/>
          </w:tcPr>
          <w:p w14:paraId="21909DF0">
            <w:pPr>
              <w:spacing w:line="360" w:lineRule="auto"/>
              <w:jc w:val="center"/>
              <w:rPr>
                <w:rFonts w:hint="eastAsia" w:ascii="方正仿宋_GB2312" w:hAnsi="方正仿宋_GB2312" w:eastAsia="方正仿宋_GB2312" w:cs="方正仿宋_GB2312"/>
                <w:b/>
                <w:bCs/>
                <w:color w:val="000000"/>
                <w:sz w:val="24"/>
                <w:szCs w:val="24"/>
              </w:rPr>
            </w:pPr>
          </w:p>
        </w:tc>
        <w:tc>
          <w:tcPr>
            <w:tcW w:w="1428" w:type="dxa"/>
            <w:noWrap w:val="0"/>
            <w:vAlign w:val="center"/>
          </w:tcPr>
          <w:p w14:paraId="42BCDB1F">
            <w:pPr>
              <w:spacing w:line="360" w:lineRule="auto"/>
              <w:jc w:val="center"/>
              <w:rPr>
                <w:rFonts w:hint="eastAsia" w:ascii="方正仿宋_GB2312" w:hAnsi="方正仿宋_GB2312" w:eastAsia="方正仿宋_GB2312" w:cs="方正仿宋_GB2312"/>
                <w:b/>
                <w:bCs/>
                <w:color w:val="000000"/>
                <w:sz w:val="24"/>
                <w:szCs w:val="24"/>
              </w:rPr>
            </w:pPr>
          </w:p>
        </w:tc>
        <w:tc>
          <w:tcPr>
            <w:tcW w:w="1570" w:type="dxa"/>
            <w:noWrap w:val="0"/>
            <w:vAlign w:val="center"/>
          </w:tcPr>
          <w:p w14:paraId="25693FBF">
            <w:pPr>
              <w:spacing w:line="360" w:lineRule="auto"/>
              <w:jc w:val="center"/>
              <w:rPr>
                <w:rFonts w:hint="eastAsia" w:ascii="方正仿宋_GB2312" w:hAnsi="方正仿宋_GB2312" w:eastAsia="方正仿宋_GB2312" w:cs="方正仿宋_GB2312"/>
                <w:b/>
                <w:bCs/>
                <w:color w:val="000000"/>
                <w:sz w:val="24"/>
                <w:szCs w:val="24"/>
              </w:rPr>
            </w:pPr>
          </w:p>
        </w:tc>
        <w:tc>
          <w:tcPr>
            <w:tcW w:w="4231" w:type="dxa"/>
            <w:noWrap w:val="0"/>
            <w:vAlign w:val="center"/>
          </w:tcPr>
          <w:p w14:paraId="3DF9A8AF">
            <w:pPr>
              <w:spacing w:line="360" w:lineRule="auto"/>
              <w:jc w:val="center"/>
              <w:rPr>
                <w:rFonts w:hint="eastAsia" w:ascii="方正仿宋_GB2312" w:hAnsi="方正仿宋_GB2312" w:eastAsia="方正仿宋_GB2312" w:cs="方正仿宋_GB2312"/>
                <w:b/>
                <w:bCs/>
                <w:color w:val="000000"/>
                <w:sz w:val="24"/>
                <w:szCs w:val="24"/>
              </w:rPr>
            </w:pPr>
          </w:p>
        </w:tc>
      </w:tr>
    </w:tbl>
    <w:p w14:paraId="6D595F2A">
      <w:pPr>
        <w:spacing w:line="240" w:lineRule="auto"/>
        <w:jc w:val="left"/>
        <w:rPr>
          <w:rFonts w:hint="eastAsia" w:ascii="方正小标宋简体" w:hAnsi="方正小标宋简体" w:eastAsia="方正小标宋简体" w:cs="方正小标宋简体"/>
          <w:sz w:val="44"/>
          <w:szCs w:val="44"/>
        </w:rPr>
      </w:pPr>
    </w:p>
    <w:p w14:paraId="639FFA04">
      <w:pPr>
        <w:spacing w:line="240" w:lineRule="auto"/>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14:paraId="062A2C03">
      <w:pPr>
        <w:spacing w:line="560" w:lineRule="exact"/>
        <w:jc w:val="both"/>
        <w:outlineLvl w:val="0"/>
        <w:rPr>
          <w:rFonts w:hint="eastAsia" w:ascii="方正小标宋简体" w:hAnsi="方正小标宋简体" w:eastAsia="方正小标宋简体" w:cs="方正小标宋简体"/>
          <w:sz w:val="44"/>
          <w:szCs w:val="44"/>
          <w:lang w:val="en-US" w:eastAsia="zh-CN"/>
        </w:rPr>
      </w:pPr>
      <w:r>
        <w:rPr>
          <w:rFonts w:hint="eastAsia" w:ascii="方正仿宋_GB2312" w:hAnsi="方正仿宋_GB2312" w:eastAsia="方正仿宋_GB2312" w:cs="方正仿宋_GB2312"/>
          <w:sz w:val="32"/>
          <w:szCs w:val="32"/>
        </w:rPr>
        <w:t>附件</w:t>
      </w:r>
      <w:r>
        <w:rPr>
          <w:rFonts w:hint="eastAsia" w:ascii="方正仿宋_GB2312" w:hAnsi="方正仿宋_GB2312" w:eastAsia="方正仿宋_GB2312" w:cs="方正仿宋_GB2312"/>
          <w:sz w:val="32"/>
          <w:szCs w:val="32"/>
          <w:lang w:val="en-US" w:eastAsia="zh-CN"/>
        </w:rPr>
        <w:t>4.</w:t>
      </w:r>
    </w:p>
    <w:p w14:paraId="6396DBF9">
      <w:pPr>
        <w:spacing w:line="56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廉政协议书</w:t>
      </w:r>
    </w:p>
    <w:p w14:paraId="714E35E7">
      <w:pPr>
        <w:widowControl/>
        <w:adjustRightInd w:val="0"/>
        <w:snapToGrid w:val="0"/>
        <w:spacing w:line="560" w:lineRule="exact"/>
        <w:ind w:firstLine="640" w:firstLineChars="200"/>
        <w:rPr>
          <w:rFonts w:ascii="仿宋_GB2312" w:hAnsi="仿宋_GB2312" w:eastAsia="仿宋_GB2312" w:cs="仿宋_GB2312"/>
          <w:sz w:val="32"/>
          <w:szCs w:val="32"/>
          <w:lang w:eastAsia="zh"/>
        </w:rPr>
      </w:pPr>
      <w:r>
        <w:rPr>
          <w:rFonts w:hint="eastAsia" w:ascii="仿宋_GB2312" w:hAnsi="仿宋_GB2312" w:eastAsia="仿宋_GB2312" w:cs="仿宋_GB2312"/>
          <w:sz w:val="32"/>
          <w:szCs w:val="32"/>
        </w:rPr>
        <w:t>甲方：</w:t>
      </w:r>
      <w:r>
        <w:rPr>
          <w:rFonts w:hint="eastAsia" w:ascii="仿宋_GB2312" w:hAnsi="仿宋_GB2312" w:eastAsia="仿宋_GB2312" w:cs="仿宋_GB2312"/>
          <w:sz w:val="32"/>
          <w:szCs w:val="32"/>
          <w:lang w:eastAsia="zh"/>
        </w:rPr>
        <w:t>海口市君实综合开发有限责任公司</w:t>
      </w:r>
    </w:p>
    <w:p w14:paraId="53354414">
      <w:pPr>
        <w:keepNext w:val="0"/>
        <w:keepLines w:val="0"/>
        <w:pageBreakBefore w:val="0"/>
        <w:widowControl/>
        <w:kinsoku/>
        <w:wordWrap/>
        <w:overflowPunct/>
        <w:topLinePunct w:val="0"/>
        <w:autoSpaceDE/>
        <w:autoSpaceDN/>
        <w:bidi w:val="0"/>
        <w:adjustRightInd w:val="0"/>
        <w:snapToGrid w:val="0"/>
        <w:spacing w:after="313" w:afterLines="10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w:t>
      </w:r>
    </w:p>
    <w:p w14:paraId="63D087E8">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为加强廉政建设，防止发生各种谋取不正当利益的违法违纪行为，保障顺畅的商业秩序和公平的商业环境，确保双方工作人员在合同履行过程中廉洁自律、诚实守信，保护双方的合法权益，经双方协定，签订本廉政协议书。</w:t>
      </w:r>
    </w:p>
    <w:p w14:paraId="33121516">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第一条 甲方与乙方双方责任</w:t>
      </w:r>
    </w:p>
    <w:p w14:paraId="4088C3C0">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（一）严格遵守国家法律法规以及廉政建设方面的有关规定。</w:t>
      </w:r>
    </w:p>
    <w:p w14:paraId="2760E16C">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（二）严格遵守《廉政制度》相关规定。</w:t>
      </w:r>
    </w:p>
    <w:p w14:paraId="74D1CF32">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（三）自确定合同主体、签订合同直至合同履行结束全过程，甲方和乙方双方应全面履行合同内容及廉政协议的各项规定，自觉按合同办事。</w:t>
      </w:r>
    </w:p>
    <w:p w14:paraId="0F310851">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（四）双方的业务活动坚持公开、公正、诚信、透明的原则，法律认定另有说明规定的商业秘密和合同文件除外。</w:t>
      </w:r>
    </w:p>
    <w:p w14:paraId="216B3D9B">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（五）在业务活动中发现对方有违规、违纪、违法行为的，应及时提醒对方，情节严重的应向其上级主管部门或纪检监察部门举报。</w:t>
      </w:r>
    </w:p>
    <w:p w14:paraId="2219EAEE">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第二条 甲方责任</w:t>
      </w:r>
    </w:p>
    <w:p w14:paraId="5A15394F">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甲方单位及工作人员在合同签订及履行过程中应做到：</w:t>
      </w:r>
    </w:p>
    <w:p w14:paraId="796D39E0">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324DB493">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（二）不得在乙方单位及乙方所属单位报销任何应由甲方单位或个人支付的费用；</w:t>
      </w:r>
    </w:p>
    <w:p w14:paraId="28692EE8">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（三）不得参加可能对公正执行公务有影响的宴请和娱乐活动；</w:t>
      </w:r>
    </w:p>
    <w:p w14:paraId="789547EE">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（四）除合同特别约定外，不得向乙方推销或指定使用各种材料及设备等。</w:t>
      </w:r>
    </w:p>
    <w:p w14:paraId="5560F935">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第三条 乙方责任</w:t>
      </w:r>
    </w:p>
    <w:p w14:paraId="0333CEB8">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乙方单位及所属工作人员在合同签订及履行过程中应做到：</w:t>
      </w:r>
    </w:p>
    <w:p w14:paraId="14917D7D">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（一）不得向甲方工作人员及第三方赠送礼品、礼金、有价证券、支付凭证等金钱或实物；</w:t>
      </w:r>
    </w:p>
    <w:p w14:paraId="765C049C">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（二）不得为甲方单位或个人购置或者提供通信工具、交通工具、家电、高档办公用品等；</w:t>
      </w:r>
    </w:p>
    <w:p w14:paraId="45A5D91B">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（三）不得以任何形式、理由为甲方和相关单位报销应由甲方单位或工作人员支付的费用；</w:t>
      </w:r>
    </w:p>
    <w:p w14:paraId="3C6C0E22">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（四）不得组织有可能影响甲方工作人员履行公职职责或可能影响产品质量、廉政建设的宴请、旅游等各种高消费娱乐活动。</w:t>
      </w:r>
    </w:p>
    <w:p w14:paraId="02EC5D6E">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（五）不得为甲方工作人员住房装修、婚丧嫁娶、家属和子女的工作安排以及出国等提供方便。</w:t>
      </w:r>
    </w:p>
    <w:p w14:paraId="4D7B7643">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（六）如</w:t>
      </w:r>
      <w:r>
        <w:rPr>
          <w:rFonts w:hint="eastAsia" w:ascii="仿宋_GB2312" w:hAnsi="仿宋_GB2312" w:eastAsia="仿宋_GB2312" w:cs="仿宋_GB2312"/>
          <w:sz w:val="32"/>
          <w:szCs w:val="32"/>
          <w:lang w:eastAsia="zh-CN"/>
        </w:rPr>
        <w:t>遇</w:t>
      </w:r>
      <w:r>
        <w:rPr>
          <w:rFonts w:hint="eastAsia" w:ascii="仿宋_GB2312" w:hAnsi="仿宋_GB2312" w:eastAsia="仿宋_GB2312" w:cs="仿宋_GB2312"/>
          <w:sz w:val="32"/>
          <w:szCs w:val="32"/>
        </w:rPr>
        <w:t>甲方工作人员向乙方单位或个人索要任何不正当利益时，乙方单位或个人有义务向甲方举报。</w:t>
      </w:r>
    </w:p>
    <w:p w14:paraId="7834E6BC">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第四条 违约责任</w:t>
      </w:r>
    </w:p>
    <w:p w14:paraId="61B4F3FC">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（一）甲方工作人员有违反本协议书责任行为的，按照管理权限，依据有关法律法规和规定，追究相关法律责任。涉嫌犯罪的，移交司法机关追究刑事责任；给乙方单位造成经济损失的，应予以赔偿。</w:t>
      </w:r>
    </w:p>
    <w:p w14:paraId="00DC4909">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乙方工作人员或所属单位人员有违反本协议书责任行为的，甲方有权要求乙方承担合同总金额30%的违约金；因违约情况严重而被当地纪检、监察、检察机关立案调查的，除追究乙方的上述责任外，甲方有权终止与乙方签订的合作合同；违约金不足以弥补给甲方造成的实际经济损失的，乙方应当赔偿给甲方造成的实际经济损失。该违约金需在甲方通知后 10个工作日内支付至甲方指定账户，甲方收到后需向乙方开具收款收据。</w:t>
      </w:r>
    </w:p>
    <w:p w14:paraId="51AFC021">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（三）双方约定：本协议书由甲方与乙方双方上级主管部门担任监督单位。违约情况发生时由双方监督单位对本协议书履行情况进行检查，提出在本承诺书规定范围内的裁定意见。</w:t>
      </w:r>
    </w:p>
    <w:p w14:paraId="5D6F6AB9">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xml:space="preserve"> 本协议书作为</w:t>
      </w:r>
      <w:r>
        <w:rPr>
          <w:rFonts w:hint="eastAsia" w:ascii="仿宋_GB2312" w:hAnsi="仿宋_GB2312" w:eastAsia="仿宋_GB2312" w:cs="仿宋_GB2312"/>
          <w:sz w:val="32"/>
          <w:szCs w:val="32"/>
          <w:highlight w:val="none"/>
        </w:rPr>
        <w:t xml:space="preserve"> 《网络舆情监控服务及新媒体整合推广</w:t>
      </w:r>
      <w:r>
        <w:rPr>
          <w:rFonts w:hint="eastAsia" w:ascii="仿宋_GB2312" w:hAnsi="仿宋_GB2312" w:eastAsia="仿宋_GB2312" w:cs="仿宋_GB2312"/>
          <w:sz w:val="32"/>
          <w:szCs w:val="32"/>
          <w:highlight w:val="none"/>
          <w:lang w:val="en-US" w:eastAsia="zh-CN"/>
        </w:rPr>
        <w:t>合作协议</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的附件，与主合同具有同等法律效力，经双方盖章签字后生效。</w:t>
      </w:r>
    </w:p>
    <w:p w14:paraId="49C85CF7">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第六条</w:t>
      </w:r>
      <w:r>
        <w:rPr>
          <w:rFonts w:hint="eastAsia" w:ascii="仿宋_GB2312" w:hAnsi="仿宋_GB2312" w:eastAsia="仿宋_GB2312" w:cs="仿宋_GB2312"/>
          <w:sz w:val="32"/>
          <w:szCs w:val="32"/>
        </w:rPr>
        <w:t xml:space="preserve"> 本协议书的有效期与主合同的有效期一致。</w:t>
      </w:r>
    </w:p>
    <w:p w14:paraId="5FD5D592">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第七条</w:t>
      </w:r>
      <w:r>
        <w:rPr>
          <w:rFonts w:hint="eastAsia" w:ascii="仿宋_GB2312" w:hAnsi="仿宋_GB2312" w:eastAsia="仿宋_GB2312" w:cs="仿宋_GB2312"/>
          <w:sz w:val="32"/>
          <w:szCs w:val="32"/>
        </w:rPr>
        <w:t xml:space="preserve"> 未尽事宜，由双方协商解决。</w:t>
      </w:r>
    </w:p>
    <w:p w14:paraId="41C735A7">
      <w:pPr>
        <w:keepNext w:val="0"/>
        <w:keepLines w:val="0"/>
        <w:pageBreakBefore w:val="0"/>
        <w:widowControl/>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p>
    <w:tbl>
      <w:tblPr>
        <w:tblStyle w:val="17"/>
        <w:tblW w:w="0" w:type="auto"/>
        <w:tblInd w:w="0" w:type="dxa"/>
        <w:tblLayout w:type="autofit"/>
        <w:tblCellMar>
          <w:top w:w="0" w:type="dxa"/>
          <w:left w:w="108" w:type="dxa"/>
          <w:bottom w:w="0" w:type="dxa"/>
          <w:right w:w="108" w:type="dxa"/>
        </w:tblCellMar>
      </w:tblPr>
      <w:tblGrid>
        <w:gridCol w:w="4148"/>
        <w:gridCol w:w="4148"/>
      </w:tblGrid>
      <w:tr w14:paraId="7072CB6E">
        <w:tblPrEx>
          <w:tblCellMar>
            <w:top w:w="0" w:type="dxa"/>
            <w:left w:w="108" w:type="dxa"/>
            <w:bottom w:w="0" w:type="dxa"/>
            <w:right w:w="108" w:type="dxa"/>
          </w:tblCellMar>
        </w:tblPrEx>
        <w:tc>
          <w:tcPr>
            <w:tcW w:w="4148" w:type="dxa"/>
          </w:tcPr>
          <w:p w14:paraId="751EE39F">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甲方：（盖章）     </w:t>
            </w:r>
          </w:p>
          <w:p w14:paraId="20008FB4">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法定代表人或其委托代理人：</w:t>
            </w:r>
          </w:p>
          <w:p w14:paraId="2799388A">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（签字或盖章）</w:t>
            </w:r>
          </w:p>
        </w:tc>
        <w:tc>
          <w:tcPr>
            <w:tcW w:w="4148" w:type="dxa"/>
          </w:tcPr>
          <w:p w14:paraId="09DFEC59">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乙方：（盖章）   </w:t>
            </w:r>
          </w:p>
          <w:p w14:paraId="40123A82">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法定代表人或其委托代理人：</w:t>
            </w:r>
          </w:p>
          <w:p w14:paraId="2AAB76F7">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（签字或盖章）</w:t>
            </w:r>
          </w:p>
        </w:tc>
      </w:tr>
    </w:tbl>
    <w:p w14:paraId="087643D1">
      <w:pPr>
        <w:spacing w:line="560" w:lineRule="exact"/>
        <w:outlineLvl w:val="0"/>
        <w:rPr>
          <w:rFonts w:hint="eastAsia" w:ascii="仿宋_GB2312" w:hAnsi="仿宋_GB2312" w:eastAsia="仿宋_GB2312" w:cs="仿宋_GB2312"/>
          <w:kern w:val="0"/>
          <w:sz w:val="32"/>
          <w:szCs w:val="32"/>
          <w:lang w:eastAsia="zh-CN"/>
        </w:rPr>
      </w:pPr>
      <w:r>
        <w:rPr>
          <w:rFonts w:ascii="仿宋_GB2312" w:hAnsi="仿宋_GB2312" w:eastAsia="仿宋_GB2312" w:cs="仿宋_GB2312"/>
          <w:bCs/>
          <w:kern w:val="0"/>
          <w:sz w:val="28"/>
          <w:szCs w:val="28"/>
        </w:rPr>
        <w:br w:type="page"/>
      </w:r>
      <w:bookmarkStart w:id="3" w:name="_Toc31847"/>
      <w:r>
        <w:rPr>
          <w:rFonts w:hint="eastAsia" w:ascii="仿宋_GB2312" w:hAnsi="仿宋_GB2312" w:eastAsia="仿宋_GB2312" w:cs="仿宋_GB2312"/>
          <w:kern w:val="0"/>
          <w:sz w:val="32"/>
          <w:szCs w:val="32"/>
        </w:rPr>
        <w:t>附件</w:t>
      </w:r>
      <w:bookmarkEnd w:id="3"/>
      <w:r>
        <w:rPr>
          <w:rFonts w:hint="eastAsia" w:ascii="仿宋_GB2312" w:hAnsi="仿宋_GB2312" w:eastAsia="仿宋_GB2312" w:cs="仿宋_GB2312"/>
          <w:kern w:val="0"/>
          <w:sz w:val="32"/>
          <w:szCs w:val="32"/>
          <w:lang w:val="en-US" w:eastAsia="zh-CN"/>
        </w:rPr>
        <w:t>5.</w:t>
      </w:r>
    </w:p>
    <w:p w14:paraId="20DFB568">
      <w:pPr>
        <w:spacing w:line="56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保密承诺函</w:t>
      </w:r>
    </w:p>
    <w:p w14:paraId="4C4A9672">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lang w:eastAsia="zh"/>
        </w:rPr>
        <w:t>海口市君实综合开发有限责任公司</w:t>
      </w:r>
      <w:r>
        <w:rPr>
          <w:rFonts w:hint="eastAsia" w:ascii="仿宋_GB2312" w:hAnsi="仿宋_GB2312" w:eastAsia="仿宋_GB2312" w:cs="仿宋_GB2312"/>
          <w:sz w:val="32"/>
          <w:szCs w:val="32"/>
        </w:rPr>
        <w:t xml:space="preserve">：   </w:t>
      </w:r>
    </w:p>
    <w:p w14:paraId="79D5D33D">
      <w:pPr>
        <w:widowControl/>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我司受</w:t>
      </w:r>
      <w:r>
        <w:rPr>
          <w:rFonts w:hint="eastAsia" w:ascii="仿宋_GB2312" w:hAnsi="仿宋_GB2312" w:eastAsia="仿宋_GB2312" w:cs="仿宋_GB2312"/>
          <w:sz w:val="32"/>
          <w:szCs w:val="32"/>
          <w:u w:val="single"/>
          <w:lang w:eastAsia="zh"/>
        </w:rPr>
        <w:t>海口市君实综合开发有限责任公司</w:t>
      </w:r>
      <w:r>
        <w:rPr>
          <w:rFonts w:hint="eastAsia" w:ascii="仿宋_GB2312" w:hAnsi="仿宋_GB2312" w:eastAsia="仿宋_GB2312" w:cs="仿宋_GB2312"/>
          <w:sz w:val="32"/>
          <w:szCs w:val="32"/>
        </w:rPr>
        <w:t xml:space="preserve"> （以下简称“甲方”）邀请，负责</w:t>
      </w:r>
      <w:r>
        <w:rPr>
          <w:rFonts w:hint="eastAsia" w:ascii="仿宋_GB2312" w:hAnsi="仿宋_GB2312" w:eastAsia="仿宋_GB2312" w:cs="仿宋_GB2312"/>
          <w:sz w:val="32"/>
          <w:szCs w:val="32"/>
          <w:highlight w:val="none"/>
          <w:u w:val="single"/>
        </w:rPr>
        <w:t>[网络舆情监控服务及新媒体整合推广</w:t>
      </w:r>
      <w:r>
        <w:rPr>
          <w:rFonts w:hint="eastAsia" w:ascii="仿宋_GB2312" w:hAnsi="仿宋_GB2312" w:eastAsia="仿宋_GB2312" w:cs="仿宋_GB2312"/>
          <w:sz w:val="32"/>
          <w:szCs w:val="32"/>
          <w:highlight w:val="none"/>
          <w:u w:val="single"/>
          <w:lang w:val="en-US" w:eastAsia="zh-CN"/>
        </w:rPr>
        <w:t>服务</w:t>
      </w:r>
      <w:r>
        <w:rPr>
          <w:rFonts w:hint="eastAsia" w:ascii="仿宋_GB2312" w:hAnsi="仿宋_GB2312" w:eastAsia="仿宋_GB2312" w:cs="仿宋_GB2312"/>
          <w:sz w:val="32"/>
          <w:szCs w:val="32"/>
          <w:highlight w:val="none"/>
          <w:u w:val="single"/>
        </w:rPr>
        <w:t>]</w:t>
      </w:r>
      <w:r>
        <w:rPr>
          <w:rFonts w:hint="eastAsia" w:ascii="仿宋_GB2312" w:hAnsi="仿宋_GB2312" w:eastAsia="仿宋_GB2312" w:cs="仿宋_GB2312"/>
          <w:sz w:val="32"/>
          <w:szCs w:val="32"/>
        </w:rPr>
        <w:t>工作，我司在此承诺：</w:t>
      </w:r>
    </w:p>
    <w:p w14:paraId="57955D80">
      <w:pPr>
        <w:widowControl/>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保密信息是指在履行本合同过程中获得的甲方及利益相关方的一切非公开资料、信息，包括但不限于关于基础资料及数据，以及本合同内容等，我司对保密信息负有保密义务，我司承诺不以任何方式（包括但不限于复制、仿造等）将保密信息泄露给本合同以外的任何人，不将保密信息用于本项目以外的其他用途。</w:t>
      </w:r>
    </w:p>
    <w:p w14:paraId="249EF37F">
      <w:pPr>
        <w:widowControl/>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2.我司承担保密义务直至本条款中所称的保密信息进入公示领域或甲方将这些保密信息公开为止，不因本合同终止或履行完毕而终止。</w:t>
      </w:r>
    </w:p>
    <w:p w14:paraId="36319D4F">
      <w:pPr>
        <w:widowControl/>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我司充分了解并知悉，若违反前述承诺，将会损害甲方利益，给甲方带来严重的经济损失或负面影响，我司承担由此引起的所有责任和经济损失，甲方有权依据本承诺函追究我司责任。同时我司愿意承担因违反前述承诺及约定，导致甲方支出的诉讼费、保全费、评估费、鉴定费、调查费、公证费、律师费，以及向第三方支付的赔偿、为应对第三方的指控而支付的一切费用等。</w:t>
      </w:r>
    </w:p>
    <w:p w14:paraId="7F115C18">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（此页无正文）</w:t>
      </w:r>
    </w:p>
    <w:p w14:paraId="5F5C4D67">
      <w:pPr>
        <w:spacing w:line="56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承诺人名称：            </w:t>
      </w:r>
    </w:p>
    <w:p w14:paraId="1EB92D96">
      <w:pPr>
        <w:spacing w:line="56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日期：</w:t>
      </w:r>
    </w:p>
    <w:p w14:paraId="491D4321">
      <w:pPr>
        <w:spacing w:line="560" w:lineRule="exact"/>
        <w:outlineLvl w:val="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6.</w:t>
      </w:r>
    </w:p>
    <w:p w14:paraId="467DA716">
      <w:pPr>
        <w:spacing w:line="240" w:lineRule="auto"/>
        <w:jc w:val="both"/>
        <w:rPr>
          <w:rFonts w:hint="eastAsia" w:ascii="微软雅黑" w:hAnsi="微软雅黑" w:eastAsia="微软雅黑" w:cs="微软雅黑"/>
          <w:sz w:val="44"/>
          <w:szCs w:val="44"/>
        </w:rPr>
      </w:pPr>
      <w:r>
        <w:rPr>
          <w:rFonts w:hint="eastAsia" w:ascii="微软雅黑" w:hAnsi="微软雅黑" w:eastAsia="微软雅黑" w:cs="微软雅黑"/>
          <w:sz w:val="44"/>
          <w:szCs w:val="44"/>
        </w:rPr>
        <w:drawing>
          <wp:inline distT="0" distB="0" distL="114300" distR="114300">
            <wp:extent cx="5263515" cy="7446010"/>
            <wp:effectExtent l="0" t="0" r="6985" b="8890"/>
            <wp:docPr id="4" name="图片 4" descr="7、君实及子公司授权书（合并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君实及子公司授权书（合并版）_01"/>
                    <pic:cNvPicPr>
                      <a:picLocks noChangeAspect="1"/>
                    </pic:cNvPicPr>
                  </pic:nvPicPr>
                  <pic:blipFill>
                    <a:blip r:embed="rId7"/>
                    <a:stretch>
                      <a:fillRect/>
                    </a:stretch>
                  </pic:blipFill>
                  <pic:spPr>
                    <a:xfrm>
                      <a:off x="0" y="0"/>
                      <a:ext cx="5263515" cy="7446010"/>
                    </a:xfrm>
                    <a:prstGeom prst="rect">
                      <a:avLst/>
                    </a:prstGeom>
                  </pic:spPr>
                </pic:pic>
              </a:graphicData>
            </a:graphic>
          </wp:inline>
        </w:drawing>
      </w:r>
      <w:r>
        <w:rPr>
          <w:rFonts w:hint="eastAsia" w:ascii="微软雅黑" w:hAnsi="微软雅黑" w:eastAsia="微软雅黑" w:cs="微软雅黑"/>
          <w:sz w:val="44"/>
          <w:szCs w:val="44"/>
        </w:rPr>
        <w:drawing>
          <wp:inline distT="0" distB="0" distL="114300" distR="114300">
            <wp:extent cx="5263515" cy="7446010"/>
            <wp:effectExtent l="0" t="0" r="6985" b="8890"/>
            <wp:docPr id="3" name="图片 3" descr="7、君实及子公司授权书（合并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君实及子公司授权书（合并版）_02"/>
                    <pic:cNvPicPr>
                      <a:picLocks noChangeAspect="1"/>
                    </pic:cNvPicPr>
                  </pic:nvPicPr>
                  <pic:blipFill>
                    <a:blip r:embed="rId8"/>
                    <a:stretch>
                      <a:fillRect/>
                    </a:stretch>
                  </pic:blipFill>
                  <pic:spPr>
                    <a:xfrm>
                      <a:off x="0" y="0"/>
                      <a:ext cx="5263515" cy="7446010"/>
                    </a:xfrm>
                    <a:prstGeom prst="rect">
                      <a:avLst/>
                    </a:prstGeom>
                  </pic:spPr>
                </pic:pic>
              </a:graphicData>
            </a:graphic>
          </wp:inline>
        </w:drawing>
      </w:r>
      <w:r>
        <w:rPr>
          <w:rFonts w:hint="eastAsia" w:ascii="微软雅黑" w:hAnsi="微软雅黑" w:eastAsia="微软雅黑" w:cs="微软雅黑"/>
          <w:sz w:val="44"/>
          <w:szCs w:val="44"/>
        </w:rPr>
        <w:drawing>
          <wp:inline distT="0" distB="0" distL="114300" distR="114300">
            <wp:extent cx="5270500" cy="7449820"/>
            <wp:effectExtent l="0" t="0" r="0" b="5080"/>
            <wp:docPr id="2" name="图片 2" descr="7、君实及子公司授权书（合并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君实及子公司授权书（合并版）_03"/>
                    <pic:cNvPicPr>
                      <a:picLocks noChangeAspect="1"/>
                    </pic:cNvPicPr>
                  </pic:nvPicPr>
                  <pic:blipFill>
                    <a:blip r:embed="rId9"/>
                    <a:stretch>
                      <a:fillRect/>
                    </a:stretch>
                  </pic:blipFill>
                  <pic:spPr>
                    <a:xfrm>
                      <a:off x="0" y="0"/>
                      <a:ext cx="5270500" cy="7449820"/>
                    </a:xfrm>
                    <a:prstGeom prst="rect">
                      <a:avLst/>
                    </a:prstGeom>
                  </pic:spPr>
                </pic:pic>
              </a:graphicData>
            </a:graphic>
          </wp:inline>
        </w:drawing>
      </w:r>
      <w:r>
        <w:rPr>
          <w:rFonts w:hint="eastAsia" w:ascii="微软雅黑" w:hAnsi="微软雅黑" w:eastAsia="微软雅黑" w:cs="微软雅黑"/>
          <w:sz w:val="44"/>
          <w:szCs w:val="44"/>
        </w:rPr>
        <w:drawing>
          <wp:inline distT="0" distB="0" distL="114300" distR="114300">
            <wp:extent cx="5270500" cy="7449820"/>
            <wp:effectExtent l="0" t="0" r="0" b="5080"/>
            <wp:docPr id="5" name="图片 5" descr="7、君实及子公司授权书（合并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君实及子公司授权书（合并版）_04"/>
                    <pic:cNvPicPr>
                      <a:picLocks noChangeAspect="1"/>
                    </pic:cNvPicPr>
                  </pic:nvPicPr>
                  <pic:blipFill>
                    <a:blip r:embed="rId10"/>
                    <a:stretch>
                      <a:fillRect/>
                    </a:stretch>
                  </pic:blipFill>
                  <pic:spPr>
                    <a:xfrm>
                      <a:off x="0" y="0"/>
                      <a:ext cx="5270500" cy="7449820"/>
                    </a:xfrm>
                    <a:prstGeom prst="rect">
                      <a:avLst/>
                    </a:prstGeom>
                  </pic:spPr>
                </pic:pic>
              </a:graphicData>
            </a:graphic>
          </wp:inline>
        </w:drawing>
      </w:r>
    </w:p>
    <w:p w14:paraId="4A4F9580">
      <w:pPr>
        <w:rPr>
          <w:rFonts w:ascii="仿宋_GB2312" w:hAnsi="仿宋_GB2312" w:eastAsia="仿宋_GB2312" w:cs="仿宋_GB2312"/>
          <w:bCs/>
          <w:kern w:val="0"/>
          <w:sz w:val="28"/>
          <w:szCs w:val="28"/>
        </w:rPr>
      </w:pPr>
    </w:p>
    <w:p w14:paraId="758CBAC6">
      <w:pPr>
        <w:pStyle w:val="15"/>
        <w:keepNext w:val="0"/>
        <w:keepLines w:val="0"/>
        <w:widowControl/>
        <w:suppressLineNumbers w:val="0"/>
        <w:shd w:val="clear" w:fill="FFFFFF"/>
        <w:spacing w:before="160" w:beforeAutospacing="0" w:after="160" w:afterAutospacing="0" w:line="560" w:lineRule="exact"/>
        <w:ind w:left="0" w:right="0" w:firstLine="0"/>
        <w:rPr>
          <w:rStyle w:val="20"/>
          <w:rFonts w:hint="eastAsia" w:ascii="仿宋_GB2312" w:hAnsi="仿宋_GB2312" w:eastAsia="仿宋_GB2312" w:cs="仿宋_GB2312"/>
          <w:b w:val="0"/>
          <w:bCs w:val="0"/>
          <w:i w:val="0"/>
          <w:iCs w:val="0"/>
          <w:caps w:val="0"/>
          <w:color w:val="0F1115"/>
          <w:spacing w:val="0"/>
          <w:sz w:val="32"/>
          <w:szCs w:val="32"/>
          <w:shd w:val="clear" w:fill="FFFFFF"/>
        </w:rPr>
      </w:pPr>
    </w:p>
    <w:p w14:paraId="49DFE466">
      <w:pPr>
        <w:spacing w:line="240" w:lineRule="auto"/>
        <w:rPr>
          <w:rFonts w:ascii="仿宋_GB2312" w:hAnsi="仿宋_GB2312" w:eastAsia="仿宋_GB2312" w:cs="仿宋_GB2312"/>
          <w:b w:val="0"/>
          <w:bCs w:val="0"/>
          <w:kern w:val="0"/>
          <w:sz w:val="32"/>
          <w:szCs w:val="32"/>
        </w:rPr>
      </w:pPr>
      <w:r>
        <w:rPr>
          <w:rFonts w:ascii="仿宋_GB2312" w:hAnsi="仿宋_GB2312" w:eastAsia="仿宋_GB2312" w:cs="仿宋_GB2312"/>
          <w:b w:val="0"/>
          <w:bCs w:val="0"/>
          <w:kern w:val="0"/>
          <w:sz w:val="32"/>
          <w:szCs w:val="32"/>
        </w:rPr>
        <w:br w:type="page"/>
      </w:r>
    </w:p>
    <w:p w14:paraId="15F8366B">
      <w:pPr>
        <w:spacing w:line="560" w:lineRule="exact"/>
        <w:outlineLvl w:val="0"/>
        <w:rPr>
          <w:rStyle w:val="20"/>
          <w:rFonts w:hint="default" w:ascii="仿宋_GB2312" w:hAnsi="仿宋_GB2312" w:eastAsia="仿宋_GB2312" w:cs="仿宋_GB2312"/>
          <w:b w:val="0"/>
          <w:bCs w:val="0"/>
          <w:i w:val="0"/>
          <w:iCs w:val="0"/>
          <w:caps w:val="0"/>
          <w:color w:val="0F1115"/>
          <w:spacing w:val="0"/>
          <w:sz w:val="32"/>
          <w:szCs w:val="32"/>
          <w:shd w:val="clear" w:fill="FFFFFF"/>
          <w:lang w:val="en-US"/>
        </w:rPr>
      </w:pPr>
      <w:r>
        <w:rPr>
          <w:rFonts w:hint="eastAsia" w:ascii="仿宋_GB2312" w:hAnsi="仿宋_GB2312" w:eastAsia="仿宋_GB2312" w:cs="仿宋_GB2312"/>
          <w:b w:val="0"/>
          <w:bCs w:val="0"/>
          <w:sz w:val="32"/>
          <w:szCs w:val="32"/>
        </w:rPr>
        <w:t>附件</w:t>
      </w:r>
      <w:r>
        <w:rPr>
          <w:rFonts w:hint="eastAsia" w:ascii="仿宋_GB2312" w:hAnsi="仿宋_GB2312" w:eastAsia="仿宋_GB2312" w:cs="仿宋_GB2312"/>
          <w:b w:val="0"/>
          <w:bCs w:val="0"/>
          <w:sz w:val="32"/>
          <w:szCs w:val="32"/>
          <w:lang w:val="en-US" w:eastAsia="zh-CN"/>
        </w:rPr>
        <w:t>7.</w:t>
      </w:r>
    </w:p>
    <w:p w14:paraId="603AE1ED">
      <w:pPr>
        <w:spacing w:line="560" w:lineRule="exact"/>
        <w:jc w:val="center"/>
        <w:rPr>
          <w:rFonts w:hint="eastAsia" w:ascii="仿宋" w:hAnsi="仿宋" w:eastAsia="仿宋" w:cs="仿宋"/>
          <w:sz w:val="28"/>
          <w:szCs w:val="28"/>
          <w:lang w:val="en-US" w:eastAsia="zh-CN"/>
        </w:rPr>
      </w:pPr>
      <w:r>
        <w:rPr>
          <w:rFonts w:hint="eastAsia" w:ascii="方正小标宋简体" w:hAnsi="方正小标宋简体" w:eastAsia="方正小标宋简体" w:cs="方正小标宋简体"/>
          <w:sz w:val="44"/>
          <w:szCs w:val="44"/>
          <w:lang w:val="en-US" w:eastAsia="zh-CN"/>
        </w:rPr>
        <w:t>供应商信用承诺函</w:t>
      </w:r>
    </w:p>
    <w:p w14:paraId="7338AC0E">
      <w:pPr>
        <w:ind w:left="0" w:leftChars="0" w:firstLine="0" w:firstLineChars="0"/>
        <w:rPr>
          <w:rFonts w:hint="eastAsia" w:ascii="仿宋_GB2312" w:hAnsi="仿宋_GB2312" w:eastAsia="仿宋_GB2312" w:cs="仿宋_GB2312"/>
          <w:strike w:val="0"/>
          <w:dstrike w:val="0"/>
          <w:sz w:val="32"/>
          <w:szCs w:val="32"/>
          <w:u w:val="none"/>
          <w:lang w:bidi="ar"/>
        </w:rPr>
      </w:pPr>
      <w:r>
        <w:rPr>
          <w:rFonts w:hint="eastAsia" w:ascii="仿宋_GB2312" w:hAnsi="仿宋_GB2312" w:eastAsia="仿宋_GB2312" w:cs="仿宋_GB2312"/>
          <w:sz w:val="32"/>
          <w:szCs w:val="32"/>
          <w:lang w:bidi="ar"/>
        </w:rPr>
        <w:t>致</w:t>
      </w:r>
      <w:r>
        <w:rPr>
          <w:rFonts w:hint="eastAsia" w:ascii="仿宋_GB2312" w:hAnsi="仿宋_GB2312" w:eastAsia="仿宋_GB2312" w:cs="仿宋_GB2312"/>
          <w:strike w:val="0"/>
          <w:dstrike w:val="0"/>
          <w:sz w:val="32"/>
          <w:szCs w:val="32"/>
          <w:u w:val="none"/>
          <w:lang w:bidi="ar"/>
        </w:rPr>
        <w:t xml:space="preserve">： </w:t>
      </w:r>
      <w:r>
        <w:rPr>
          <w:rFonts w:hint="eastAsia" w:ascii="仿宋_GB2312" w:hAnsi="仿宋_GB2312" w:eastAsia="仿宋_GB2312" w:cs="仿宋_GB2312"/>
          <w:strike w:val="0"/>
          <w:dstrike w:val="0"/>
          <w:sz w:val="32"/>
          <w:szCs w:val="32"/>
          <w:u w:val="none"/>
          <w:lang w:val="en-US" w:eastAsia="zh-CN" w:bidi="ar"/>
        </w:rPr>
        <w:t xml:space="preserve"> </w:t>
      </w:r>
    </w:p>
    <w:p w14:paraId="71A2C9AC">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u w:val="single"/>
          <w:lang w:val="en-US" w:eastAsia="zh-CN"/>
        </w:rPr>
        <w:t xml:space="preserve">    [供应商名称]       （以下简称“我司”）</w:t>
      </w:r>
      <w:r>
        <w:rPr>
          <w:rFonts w:hint="eastAsia" w:ascii="仿宋_GB2312" w:hAnsi="仿宋_GB2312" w:eastAsia="仿宋_GB2312" w:cs="仿宋_GB2312"/>
          <w:sz w:val="32"/>
          <w:szCs w:val="32"/>
          <w:lang w:val="en-US" w:eastAsia="zh-CN"/>
        </w:rPr>
        <w:t xml:space="preserve">参与      </w:t>
      </w:r>
      <w:r>
        <w:rPr>
          <w:rFonts w:hint="eastAsia" w:ascii="仿宋_GB2312" w:hAnsi="仿宋_GB2312" w:eastAsia="仿宋_GB2312" w:cs="仿宋_GB2312"/>
          <w:sz w:val="32"/>
          <w:szCs w:val="32"/>
          <w:highlight w:val="none"/>
          <w:u w:val="single"/>
          <w:lang w:val="en-US" w:eastAsia="zh-CN"/>
        </w:rPr>
        <w:t>竞价比选</w:t>
      </w:r>
      <w:r>
        <w:rPr>
          <w:rFonts w:hint="eastAsia" w:ascii="仿宋_GB2312" w:hAnsi="仿宋_GB2312" w:eastAsia="仿宋_GB2312" w:cs="仿宋_GB2312"/>
          <w:sz w:val="32"/>
          <w:szCs w:val="32"/>
          <w:lang w:val="en-US" w:eastAsia="zh-CN"/>
        </w:rPr>
        <w:t>活动，现我司郑重承诺如下：​</w:t>
      </w:r>
    </w:p>
    <w:p w14:paraId="32B1469F">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一、截至本承诺函签署之日，我司不存在下列情形：</w:t>
      </w:r>
    </w:p>
    <w:p w14:paraId="7799F14C">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（一）供应商相互串通投标或者与委托人串通投标的，供应商向委托人或者评标委员会成员行贿的；</w:t>
      </w:r>
    </w:p>
    <w:p w14:paraId="674E90C8">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（二）以他人名义投标、提供虚假材料或者以其他方式弄虚作假的；</w:t>
      </w:r>
    </w:p>
    <w:p w14:paraId="09D15762">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（三）出让或者出租资格、资质证书供他人投标的；</w:t>
      </w:r>
    </w:p>
    <w:p w14:paraId="0042D494">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（四）供应商或者其他利害关系人捏造事实、伪造材料或者以非法手段取得证明材料进行投诉，给他人造成损失的；</w:t>
      </w:r>
    </w:p>
    <w:p w14:paraId="248CE7FC">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（五）成交人将成交项目转让给他人的，将成交项目肢解后分别转让给他人的，违反《中华人民共和国招标投标法》规定将成交项目的部分主体、关键性工作分包给他人的，或者分包人再次分包的；</w:t>
      </w:r>
    </w:p>
    <w:p w14:paraId="5B021A2E">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（六）成交人无正当理由不与委托人订立合同，在签订合同时向委托人提出附加条件，或者不按照采购文件要求提交履约保证金的；</w:t>
      </w:r>
    </w:p>
    <w:p w14:paraId="51227063">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（七）拒绝有关部门监督检查或者提供虚假情况的；</w:t>
      </w:r>
    </w:p>
    <w:p w14:paraId="25FE7C62">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（八）提供假冒伪劣产品；</w:t>
      </w:r>
    </w:p>
    <w:p w14:paraId="6BAC2612">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（九）无正当理由擅自变更、中止或者终止合同；</w:t>
      </w:r>
    </w:p>
    <w:p w14:paraId="5631C6C0">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（十）因供应商原因发生较大及以上安全、质量、环保事故（政府主管部门定性）；</w:t>
      </w:r>
    </w:p>
    <w:p w14:paraId="27155CFB">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（十一）框架协议采购项目在框架协议期内拒绝接受采购订单数量达3个的；</w:t>
      </w:r>
    </w:p>
    <w:p w14:paraId="7B71DB32">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（十二）泄露海口市产业发展投资集团有限公司或子公司的商业秘密，产生不良影响的；</w:t>
      </w:r>
    </w:p>
    <w:p w14:paraId="66CAE42F">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（十三）因供应商自身或其分包单位原因在项目实施过程中产生上访、围堵、重大舆情等恶性事件，影响海口市产业发展投资集团有限公司或子公司声誉的；</w:t>
      </w:r>
    </w:p>
    <w:p w14:paraId="62DF671C">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（十四）擅自更换核心团队/主设备品牌，降低配置，构成实质性违约的；</w:t>
      </w:r>
    </w:p>
    <w:p w14:paraId="453CA313">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（十五）报价失误、漏项导致合同无法履行，又不接受调价或终止合同的；</w:t>
      </w:r>
    </w:p>
    <w:p w14:paraId="74FD26F6">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（十六）其他违反国家法律、法规行为的。</w:t>
      </w:r>
    </w:p>
    <w:p w14:paraId="6DEF1154">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我司已充分知晓并同意：若贵单位发现我司存在上述情形之一的，无论本项目进展至何种阶段（包括但不限于响应文件递交、评审、结果公示、合同签订等），贵单位均有权将我司纳入海口市产业发展投资集团</w:t>
      </w:r>
      <w:bookmarkStart w:id="4" w:name="_GoBack"/>
      <w:bookmarkEnd w:id="4"/>
      <w:r>
        <w:rPr>
          <w:rFonts w:hint="eastAsia" w:ascii="仿宋_GB2312" w:hAnsi="仿宋_GB2312" w:eastAsia="仿宋_GB2312" w:cs="仿宋_GB2312"/>
          <w:sz w:val="32"/>
          <w:szCs w:val="32"/>
          <w:lang w:val="en-US" w:eastAsia="zh-CN"/>
        </w:rPr>
        <w:t xml:space="preserve">有限公司不良信用主体名单库，并按以下方式处理： </w:t>
      </w:r>
    </w:p>
    <w:p w14:paraId="237ECA08">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（一）已提交响应文件的供应商尚未完成评审的，作否决响应资格处理；</w:t>
      </w:r>
    </w:p>
    <w:p w14:paraId="3E1E438A">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（二）尚未发出成交（入围）通知书的，取消成交（入围）资格；</w:t>
      </w:r>
    </w:p>
    <w:p w14:paraId="4AC6EAB6">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（三）已签订框架协议的，不授予新的订单。</w:t>
      </w:r>
    </w:p>
    <w:p w14:paraId="0262E25A">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同时，我司将承担由此给委托人、采购代理机构造成的全部损失（包括但不限于重新采购的费用、工期延误损失等）。</w:t>
      </w:r>
    </w:p>
    <w:p w14:paraId="7442345E">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我司保证本承诺函内容真实、准确、完整，不存在任何虚假陈述、隐瞒事实或误导性表述等情形。若本承诺函内容与事实不符，我司自愿接受相关行政监督部门的处罚，并承担由此产生的全部法律责任（包括但不限于对委托人的违约赔偿责任、相应的行政处罚责任等）。</w:t>
      </w:r>
    </w:p>
    <w:p w14:paraId="2B2BC338">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四、本承诺函自我司法定代表人或授权代表人签字并加盖公章之日起生效，对我司具有法律约束力。​</w:t>
      </w:r>
    </w:p>
    <w:p w14:paraId="341AD8B2">
      <w:pPr>
        <w:pStyle w:val="45"/>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60CB2EEA">
      <w:pPr>
        <w:pStyle w:val="45"/>
        <w:ind w:firstLine="0" w:firstLineChars="0"/>
        <w:jc w:val="both"/>
        <w:rPr>
          <w:rFonts w:hint="eastAsia" w:ascii="仿宋_GB2312" w:hAnsi="仿宋_GB2312" w:eastAsia="仿宋_GB2312" w:cs="仿宋_GB2312"/>
          <w:sz w:val="32"/>
          <w:szCs w:val="32"/>
          <w:lang w:val="en-US" w:eastAsia="zh-CN"/>
        </w:rPr>
      </w:pPr>
    </w:p>
    <w:p w14:paraId="39CA04A9">
      <w:pPr>
        <w:pStyle w:val="45"/>
        <w:ind w:firstLine="0" w:firstLineChars="0"/>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供应商：       （盖单位章）</w:t>
      </w:r>
    </w:p>
    <w:p w14:paraId="57A018F4">
      <w:pPr>
        <w:pStyle w:val="45"/>
        <w:ind w:firstLine="0" w:firstLineChars="0"/>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法定代表人或其委托代理人：           （签字）</w:t>
      </w:r>
    </w:p>
    <w:p w14:paraId="1AFBCCF1">
      <w:pPr>
        <w:pStyle w:val="45"/>
        <w:ind w:firstLine="0" w:firstLineChars="0"/>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w:t>
      </w:r>
    </w:p>
    <w:p w14:paraId="3BE59E08">
      <w:pPr>
        <w:spacing w:line="560" w:lineRule="exact"/>
        <w:rPr>
          <w:rFonts w:ascii="仿宋_GB2312" w:hAnsi="仿宋_GB2312" w:eastAsia="仿宋_GB2312" w:cs="仿宋_GB2312"/>
          <w:b w:val="0"/>
          <w:bCs w:val="0"/>
          <w:kern w:val="0"/>
          <w:sz w:val="32"/>
          <w:szCs w:val="32"/>
        </w:rPr>
      </w:pPr>
    </w:p>
    <w:sectPr>
      <w:footerReference r:id="rId5" w:type="default"/>
      <w:pgSz w:w="11906" w:h="16838"/>
      <w:pgMar w:top="1134" w:right="1701" w:bottom="1134" w:left="170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90C8A2-E46F-4498-9B83-113B134E64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C8A92E3A-5AC2-4968-AFA5-79B9AC83DE29}"/>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3" w:fontKey="{1C36D81C-FF2F-4E7A-A51A-0FDB7DA60868}"/>
  </w:font>
  <w:font w:name="等线">
    <w:panose1 w:val="02010600030101010101"/>
    <w:charset w:val="86"/>
    <w:family w:val="auto"/>
    <w:pitch w:val="default"/>
    <w:sig w:usb0="A00002BF" w:usb1="38CF7CFA" w:usb2="00000016" w:usb3="00000000" w:csb0="0004000F" w:csb1="00000000"/>
  </w:font>
  <w:font w:name="___WRD_EMBED_SUB_45">
    <w:altName w:val="宋体"/>
    <w:panose1 w:val="00000000000000000000"/>
    <w:charset w:val="86"/>
    <w:family w:val="modern"/>
    <w:pitch w:val="default"/>
    <w:sig w:usb0="00000000" w:usb1="00000000" w:usb2="00000010" w:usb3="00000000" w:csb0="00040000" w:csb1="00000000"/>
    <w:embedRegular r:id="rId4" w:fontKey="{958C3FF9-DB08-4AE6-BF6D-53FB70D7CFF2}"/>
  </w:font>
  <w:font w:name="Segoe UI">
    <w:panose1 w:val="020B0502040204020203"/>
    <w:charset w:val="00"/>
    <w:family w:val="auto"/>
    <w:pitch w:val="default"/>
    <w:sig w:usb0="E4002EFF" w:usb1="C000E47F" w:usb2="00000009" w:usb3="00000000" w:csb0="200001FF" w:csb1="00000000"/>
    <w:embedRegular r:id="rId5" w:fontKey="{EAC639B0-2821-4932-8D26-C0EA7CB560D5}"/>
  </w:font>
  <w:font w:name="楷体">
    <w:panose1 w:val="02010609060101010101"/>
    <w:charset w:val="86"/>
    <w:family w:val="modern"/>
    <w:pitch w:val="default"/>
    <w:sig w:usb0="800002BF" w:usb1="38CF7CFA" w:usb2="00000016" w:usb3="00000000" w:csb0="00040001" w:csb1="00000000"/>
    <w:embedRegular r:id="rId6" w:fontKey="{F0DC6CEE-0CD4-4A7C-87EB-88243C531E90}"/>
  </w:font>
  <w:font w:name="方正仿宋_GB2312">
    <w:panose1 w:val="02000000000000000000"/>
    <w:charset w:val="86"/>
    <w:family w:val="auto"/>
    <w:pitch w:val="default"/>
    <w:sig w:usb0="A00002BF" w:usb1="184F6CFA" w:usb2="00000012" w:usb3="00000000" w:csb0="00040001" w:csb1="00000000"/>
    <w:embedRegular r:id="rId7" w:fontKey="{60FB423D-0BCB-47BC-8B93-2674AB29AEE6}"/>
  </w:font>
  <w:font w:name="方正小标宋简体">
    <w:panose1 w:val="03000509000000000000"/>
    <w:charset w:val="86"/>
    <w:family w:val="auto"/>
    <w:pitch w:val="default"/>
    <w:sig w:usb0="00000001" w:usb1="080E0000" w:usb2="00000000" w:usb3="00000000" w:csb0="00040000" w:csb1="00000000"/>
    <w:embedRegular r:id="rId8" w:fontKey="{3A1BA892-33A9-4170-B212-DB1D83BD087E}"/>
  </w:font>
  <w:font w:name="仿宋">
    <w:panose1 w:val="02010609060101010101"/>
    <w:charset w:val="86"/>
    <w:family w:val="auto"/>
    <w:pitch w:val="default"/>
    <w:sig w:usb0="800002BF" w:usb1="38CF7CFA" w:usb2="00000016" w:usb3="00000000" w:csb0="00040001" w:csb1="00000000"/>
    <w:embedRegular r:id="rId9" w:fontKey="{04227DE9-8939-44F5-831C-292B3E050B58}"/>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A1275">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157A0">
                          <w:pPr>
                            <w:pStyle w:val="13"/>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AA157A0">
                    <w:pPr>
                      <w:pStyle w:val="13"/>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28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6EF5">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2185" cy="147955"/>
              <wp:effectExtent l="0" t="0" r="0" b="1905"/>
              <wp:wrapNone/>
              <wp:docPr id="710580387" name="文本框 1"/>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a:effectLst/>
                    </wps:spPr>
                    <wps:txbx>
                      <w:txbxContent>
                        <w:p w14:paraId="38ED84D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20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28</w:t>
                          </w:r>
                          <w:r>
                            <w:rPr>
                              <w:sz w:val="18"/>
                            </w:rPr>
                            <w:fldChar w:fldCharType="end"/>
                          </w:r>
                          <w:r>
                            <w:rPr>
                              <w:sz w:val="18"/>
                            </w:rPr>
                            <w:t xml:space="preserve"> 页</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76.55pt;mso-position-horizontal:center;mso-position-horizontal-relative:margin;mso-wrap-style:none;z-index:251659264;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J2k0NIAAAAEAQAADwAAAAAAAAAB&#10;ACAAAAAiAAAAZHJzL2Rvd25yZXYueG1sUEsBAhQAFAAAAAgAh07iQEXMdRUWAgAAGAQAAA4AAAAA&#10;AAAAAQAgAAAAIQEAAGRycy9lMm9Eb2MueG1sUEsFBgAAAAAGAAYAWQEAAKkFAAAAAA==&#10;">
              <v:fill on="f" focussize="0,0"/>
              <v:stroke on="f"/>
              <v:imagedata o:title=""/>
              <o:lock v:ext="edit" aspectratio="f"/>
              <v:textbox inset="0mm,0mm,0mm,0mm" style="mso-fit-shape-to-text:t;">
                <w:txbxContent>
                  <w:p w14:paraId="38ED84D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20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28</w:t>
                    </w:r>
                    <w:r>
                      <w:rPr>
                        <w:sz w:val="18"/>
                      </w:rPr>
                      <w:fldChar w:fldCharType="end"/>
                    </w:r>
                    <w:r>
                      <w:rPr>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3D553">
    <w:pPr>
      <w:pStyle w:val="2"/>
      <w:pBdr>
        <w:bottom w:val="none" w:color="auto" w:sz="0" w:space="1"/>
      </w:pBdr>
      <w:tabs>
        <w:tab w:val="left" w:pos="7105"/>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33C6D1"/>
    <w:multiLevelType w:val="singleLevel"/>
    <w:tmpl w:val="CC33C6D1"/>
    <w:lvl w:ilvl="0" w:tentative="0">
      <w:start w:val="1"/>
      <w:numFmt w:val="decimal"/>
      <w:suff w:val="nothing"/>
      <w:lvlText w:val="%1）"/>
      <w:lvlJc w:val="left"/>
    </w:lvl>
  </w:abstractNum>
  <w:abstractNum w:abstractNumId="1">
    <w:nsid w:val="0000000B"/>
    <w:multiLevelType w:val="singleLevel"/>
    <w:tmpl w:val="0000000B"/>
    <w:lvl w:ilvl="0" w:tentative="0">
      <w:start w:val="1"/>
      <w:numFmt w:val="upperLetter"/>
      <w:pStyle w:val="7"/>
      <w:lvlText w:val="%1．"/>
      <w:lvlJc w:val="left"/>
      <w:pPr>
        <w:tabs>
          <w:tab w:val="left" w:pos="765"/>
        </w:tabs>
        <w:ind w:left="765" w:hanging="345"/>
      </w:pPr>
    </w:lvl>
  </w:abstractNum>
  <w:abstractNum w:abstractNumId="2">
    <w:nsid w:val="1298C944"/>
    <w:multiLevelType w:val="singleLevel"/>
    <w:tmpl w:val="1298C944"/>
    <w:lvl w:ilvl="0" w:tentative="0">
      <w:start w:val="1"/>
      <w:numFmt w:val="decimal"/>
      <w:suff w:val="nothing"/>
      <w:lvlText w:val="（%1）"/>
      <w:lvlJc w:val="left"/>
    </w:lvl>
  </w:abstractNum>
  <w:abstractNum w:abstractNumId="3">
    <w:nsid w:val="2B151E44"/>
    <w:multiLevelType w:val="singleLevel"/>
    <w:tmpl w:val="2B151E44"/>
    <w:lvl w:ilvl="0" w:tentative="0">
      <w:start w:val="1"/>
      <w:numFmt w:val="decimal"/>
      <w:suff w:val="nothing"/>
      <w:lvlText w:val="（%1）"/>
      <w:lvlJc w:val="left"/>
    </w:lvl>
  </w:abstractNum>
  <w:abstractNum w:abstractNumId="4">
    <w:nsid w:val="68EA0443"/>
    <w:multiLevelType w:val="singleLevel"/>
    <w:tmpl w:val="68EA0443"/>
    <w:lvl w:ilvl="0" w:tentative="0">
      <w:start w:val="1"/>
      <w:numFmt w:val="decimal"/>
      <w:suff w:val="nothing"/>
      <w:lvlText w:val="%1）"/>
      <w:lvlJc w:val="left"/>
    </w:lvl>
  </w:abstractNum>
  <w:abstractNum w:abstractNumId="5">
    <w:nsid w:val="69D54227"/>
    <w:multiLevelType w:val="singleLevel"/>
    <w:tmpl w:val="69D54227"/>
    <w:lvl w:ilvl="0" w:tentative="0">
      <w:start w:val="3"/>
      <w:numFmt w:val="decimal"/>
      <w:lvlText w:val="%1."/>
      <w:lvlJc w:val="left"/>
      <w:pPr>
        <w:tabs>
          <w:tab w:val="left" w:pos="312"/>
        </w:tabs>
      </w:p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2YTU1YWMzNTNhNTdmY2ZjMTMxMWNjNzAzMDE0NGQifQ=="/>
  </w:docVars>
  <w:rsids>
    <w:rsidRoot w:val="00172A27"/>
    <w:rsid w:val="00080CDD"/>
    <w:rsid w:val="000F30A4"/>
    <w:rsid w:val="00172A27"/>
    <w:rsid w:val="001A19E3"/>
    <w:rsid w:val="0023469E"/>
    <w:rsid w:val="00237675"/>
    <w:rsid w:val="00250442"/>
    <w:rsid w:val="002C4FD0"/>
    <w:rsid w:val="002F77EE"/>
    <w:rsid w:val="00342A10"/>
    <w:rsid w:val="004823D3"/>
    <w:rsid w:val="004E4E50"/>
    <w:rsid w:val="005124F3"/>
    <w:rsid w:val="005245FE"/>
    <w:rsid w:val="006537AB"/>
    <w:rsid w:val="00654CCC"/>
    <w:rsid w:val="006C5556"/>
    <w:rsid w:val="00721C74"/>
    <w:rsid w:val="00996DD8"/>
    <w:rsid w:val="009B603D"/>
    <w:rsid w:val="00B01956"/>
    <w:rsid w:val="00B0475A"/>
    <w:rsid w:val="00B73B1D"/>
    <w:rsid w:val="00BA5346"/>
    <w:rsid w:val="00BE36E2"/>
    <w:rsid w:val="00C7471B"/>
    <w:rsid w:val="00EA56CA"/>
    <w:rsid w:val="00F72049"/>
    <w:rsid w:val="00FD08E2"/>
    <w:rsid w:val="014E7F09"/>
    <w:rsid w:val="02384144"/>
    <w:rsid w:val="024C6AA0"/>
    <w:rsid w:val="03B04593"/>
    <w:rsid w:val="04F01EE9"/>
    <w:rsid w:val="07755B84"/>
    <w:rsid w:val="082B5E6D"/>
    <w:rsid w:val="09654E76"/>
    <w:rsid w:val="099116EA"/>
    <w:rsid w:val="0B2E5519"/>
    <w:rsid w:val="0CCA7F41"/>
    <w:rsid w:val="0EDF5D8E"/>
    <w:rsid w:val="0FB55AF7"/>
    <w:rsid w:val="10A02A15"/>
    <w:rsid w:val="11BB554E"/>
    <w:rsid w:val="123C09CA"/>
    <w:rsid w:val="136436A6"/>
    <w:rsid w:val="14794193"/>
    <w:rsid w:val="14A14FAE"/>
    <w:rsid w:val="158E3C50"/>
    <w:rsid w:val="15CD0922"/>
    <w:rsid w:val="15EA66E3"/>
    <w:rsid w:val="166F0155"/>
    <w:rsid w:val="1708708F"/>
    <w:rsid w:val="19035318"/>
    <w:rsid w:val="195E7579"/>
    <w:rsid w:val="19E8078D"/>
    <w:rsid w:val="1A512007"/>
    <w:rsid w:val="1A5C5CC3"/>
    <w:rsid w:val="1B4FBBCB"/>
    <w:rsid w:val="1BAD7634"/>
    <w:rsid w:val="1C127B30"/>
    <w:rsid w:val="1C15704F"/>
    <w:rsid w:val="1F3B2A72"/>
    <w:rsid w:val="1FD10423"/>
    <w:rsid w:val="25512015"/>
    <w:rsid w:val="25824FE5"/>
    <w:rsid w:val="25E53A95"/>
    <w:rsid w:val="270F4DA5"/>
    <w:rsid w:val="27FDEC4E"/>
    <w:rsid w:val="29C30A58"/>
    <w:rsid w:val="2A762DB6"/>
    <w:rsid w:val="2BCD56C7"/>
    <w:rsid w:val="2D0363AE"/>
    <w:rsid w:val="2E3D31FA"/>
    <w:rsid w:val="303A4C11"/>
    <w:rsid w:val="30ED4FD4"/>
    <w:rsid w:val="319C0AEE"/>
    <w:rsid w:val="331B77E7"/>
    <w:rsid w:val="33BC2E13"/>
    <w:rsid w:val="34470CF5"/>
    <w:rsid w:val="34DC5294"/>
    <w:rsid w:val="35AFD6D1"/>
    <w:rsid w:val="36BD137C"/>
    <w:rsid w:val="3847328C"/>
    <w:rsid w:val="3AC961FF"/>
    <w:rsid w:val="3CF060B8"/>
    <w:rsid w:val="3DFD9F32"/>
    <w:rsid w:val="3E590B26"/>
    <w:rsid w:val="3FEBBACE"/>
    <w:rsid w:val="40726A6C"/>
    <w:rsid w:val="421776F4"/>
    <w:rsid w:val="422A5766"/>
    <w:rsid w:val="43562BAD"/>
    <w:rsid w:val="43F32881"/>
    <w:rsid w:val="44D75311"/>
    <w:rsid w:val="46064E72"/>
    <w:rsid w:val="468855A4"/>
    <w:rsid w:val="4782595F"/>
    <w:rsid w:val="481B656B"/>
    <w:rsid w:val="48A741D9"/>
    <w:rsid w:val="49A93D2A"/>
    <w:rsid w:val="49BC3C2D"/>
    <w:rsid w:val="4B9AA698"/>
    <w:rsid w:val="4BC73087"/>
    <w:rsid w:val="4E664084"/>
    <w:rsid w:val="4F3D0233"/>
    <w:rsid w:val="515F27FF"/>
    <w:rsid w:val="526B0B36"/>
    <w:rsid w:val="534A0352"/>
    <w:rsid w:val="543013C5"/>
    <w:rsid w:val="55860779"/>
    <w:rsid w:val="562E6171"/>
    <w:rsid w:val="59974357"/>
    <w:rsid w:val="5A3F0C79"/>
    <w:rsid w:val="5B3F7D02"/>
    <w:rsid w:val="5BEC494F"/>
    <w:rsid w:val="5BFDE777"/>
    <w:rsid w:val="5DB02EF2"/>
    <w:rsid w:val="5E76AD5B"/>
    <w:rsid w:val="5FAE364E"/>
    <w:rsid w:val="5FFF01F3"/>
    <w:rsid w:val="6170032D"/>
    <w:rsid w:val="621041A6"/>
    <w:rsid w:val="625E3A41"/>
    <w:rsid w:val="62685D90"/>
    <w:rsid w:val="63B636A5"/>
    <w:rsid w:val="64B300C5"/>
    <w:rsid w:val="64BB542C"/>
    <w:rsid w:val="64ED5587"/>
    <w:rsid w:val="66F562F3"/>
    <w:rsid w:val="66FF19C1"/>
    <w:rsid w:val="676743CE"/>
    <w:rsid w:val="6AF37536"/>
    <w:rsid w:val="6B56791C"/>
    <w:rsid w:val="6D557209"/>
    <w:rsid w:val="6D706919"/>
    <w:rsid w:val="6D9C3183"/>
    <w:rsid w:val="6E6FF332"/>
    <w:rsid w:val="6F2B56DB"/>
    <w:rsid w:val="6F9FD768"/>
    <w:rsid w:val="6FFF0ADD"/>
    <w:rsid w:val="705A6258"/>
    <w:rsid w:val="725EA857"/>
    <w:rsid w:val="72BB091C"/>
    <w:rsid w:val="74E36137"/>
    <w:rsid w:val="76C84BF7"/>
    <w:rsid w:val="78470D75"/>
    <w:rsid w:val="7A8814C8"/>
    <w:rsid w:val="7B126524"/>
    <w:rsid w:val="7B6FC535"/>
    <w:rsid w:val="7B778446"/>
    <w:rsid w:val="7C913A09"/>
    <w:rsid w:val="7CAF2173"/>
    <w:rsid w:val="7D9066D5"/>
    <w:rsid w:val="7DEC6A4A"/>
    <w:rsid w:val="7DF115AC"/>
    <w:rsid w:val="7E301A00"/>
    <w:rsid w:val="7E978433"/>
    <w:rsid w:val="7EF18FBF"/>
    <w:rsid w:val="7F3B169F"/>
    <w:rsid w:val="7F7FBC70"/>
    <w:rsid w:val="7FCBD1D2"/>
    <w:rsid w:val="7FD52902"/>
    <w:rsid w:val="7FF342EA"/>
    <w:rsid w:val="7FFEF2A9"/>
    <w:rsid w:val="9EBF82C2"/>
    <w:rsid w:val="9FE8AE23"/>
    <w:rsid w:val="AD4FE899"/>
    <w:rsid w:val="AEF83517"/>
    <w:rsid w:val="B0979175"/>
    <w:rsid w:val="B4F770EC"/>
    <w:rsid w:val="B4FE727E"/>
    <w:rsid w:val="BE3313F7"/>
    <w:rsid w:val="BF7FDEE1"/>
    <w:rsid w:val="BF87D438"/>
    <w:rsid w:val="BFE5C7AE"/>
    <w:rsid w:val="CCFF4AFF"/>
    <w:rsid w:val="CDF7F41C"/>
    <w:rsid w:val="CE9DA52A"/>
    <w:rsid w:val="DBBBC81F"/>
    <w:rsid w:val="DC16F81F"/>
    <w:rsid w:val="DCBFFB61"/>
    <w:rsid w:val="E5DF7728"/>
    <w:rsid w:val="EB2D576D"/>
    <w:rsid w:val="EBF18BF9"/>
    <w:rsid w:val="EE5FA9E7"/>
    <w:rsid w:val="F3EB7302"/>
    <w:rsid w:val="F7E72D1E"/>
    <w:rsid w:val="F8DF295A"/>
    <w:rsid w:val="F9EFF363"/>
    <w:rsid w:val="F9FCA929"/>
    <w:rsid w:val="FADF265A"/>
    <w:rsid w:val="FDCF497C"/>
    <w:rsid w:val="FE3EC6E4"/>
    <w:rsid w:val="FF65A3D1"/>
    <w:rsid w:val="FFCFEB1C"/>
    <w:rsid w:val="FFFEAB2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7">
    <w:name w:val="heading 4"/>
    <w:basedOn w:val="1"/>
    <w:next w:val="1"/>
    <w:qFormat/>
    <w:uiPriority w:val="0"/>
    <w:pPr>
      <w:keepNext/>
      <w:numPr>
        <w:ilvl w:val="0"/>
        <w:numId w:val="1"/>
      </w:numPr>
      <w:tabs>
        <w:tab w:val="clear" w:pos="765"/>
      </w:tabs>
      <w:spacing w:line="480" w:lineRule="exact"/>
      <w:ind w:left="4095" w:hanging="765"/>
      <w:outlineLvl w:val="3"/>
    </w:pPr>
    <w:rPr>
      <w:rFonts w:ascii="仿宋_GB2312" w:eastAsia="仿宋_GB2312"/>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3"/>
    <w:link w:val="27"/>
    <w:qFormat/>
    <w:uiPriority w:val="0"/>
    <w:pPr>
      <w:pBdr>
        <w:bottom w:val="single" w:color="auto" w:sz="6" w:space="1"/>
      </w:pBdr>
      <w:tabs>
        <w:tab w:val="center" w:pos="4153"/>
        <w:tab w:val="right" w:pos="8306"/>
      </w:tabs>
      <w:snapToGrid w:val="0"/>
      <w:jc w:val="center"/>
    </w:pPr>
    <w:rPr>
      <w:sz w:val="18"/>
      <w:szCs w:val="18"/>
    </w:rPr>
  </w:style>
  <w:style w:type="paragraph" w:styleId="3">
    <w:name w:val="Body Text"/>
    <w:basedOn w:val="1"/>
    <w:qFormat/>
    <w:uiPriority w:val="0"/>
    <w:pPr>
      <w:tabs>
        <w:tab w:val="left" w:pos="1440"/>
      </w:tabs>
      <w:autoSpaceDE w:val="0"/>
      <w:autoSpaceDN w:val="0"/>
      <w:adjustRightInd w:val="0"/>
      <w:spacing w:line="240" w:lineRule="atLeast"/>
    </w:pPr>
    <w:rPr>
      <w:rFonts w:ascii="宋体" w:hAnsi="宋体"/>
      <w:sz w:val="24"/>
    </w:rPr>
  </w:style>
  <w:style w:type="paragraph" w:styleId="8">
    <w:name w:val="Normal Indent"/>
    <w:basedOn w:val="1"/>
    <w:qFormat/>
    <w:uiPriority w:val="0"/>
    <w:pPr>
      <w:spacing w:line="360" w:lineRule="auto"/>
      <w:ind w:firstLine="480" w:firstLineChars="200"/>
    </w:pPr>
    <w:rPr>
      <w:rFonts w:ascii="宋体" w:hAnsi="宋体"/>
      <w:bCs/>
      <w:sz w:val="24"/>
    </w:rPr>
  </w:style>
  <w:style w:type="paragraph" w:styleId="9">
    <w:name w:val="annotation text"/>
    <w:basedOn w:val="1"/>
    <w:link w:val="25"/>
    <w:qFormat/>
    <w:uiPriority w:val="0"/>
    <w:pPr>
      <w:jc w:val="left"/>
    </w:pPr>
  </w:style>
  <w:style w:type="paragraph" w:styleId="10">
    <w:name w:val="Plain Text"/>
    <w:basedOn w:val="1"/>
    <w:qFormat/>
    <w:uiPriority w:val="0"/>
    <w:rPr>
      <w:rFonts w:ascii="宋体" w:hAnsi="Courier New"/>
    </w:rPr>
  </w:style>
  <w:style w:type="paragraph" w:styleId="11">
    <w:name w:val="Body Text Indent 2"/>
    <w:basedOn w:val="1"/>
    <w:unhideWhenUsed/>
    <w:qFormat/>
    <w:uiPriority w:val="99"/>
    <w:pPr>
      <w:spacing w:after="120" w:line="480" w:lineRule="auto"/>
      <w:ind w:left="420" w:leftChars="200"/>
    </w:pPr>
  </w:style>
  <w:style w:type="paragraph" w:styleId="12">
    <w:name w:val="Balloon Text"/>
    <w:basedOn w:val="1"/>
    <w:semiHidden/>
    <w:qFormat/>
    <w:uiPriority w:val="0"/>
    <w:rPr>
      <w:sz w:val="18"/>
      <w:szCs w:val="18"/>
    </w:rPr>
  </w:style>
  <w:style w:type="paragraph" w:styleId="13">
    <w:name w:val="footer"/>
    <w:basedOn w:val="1"/>
    <w:link w:val="26"/>
    <w:qFormat/>
    <w:uiPriority w:val="0"/>
    <w:pPr>
      <w:tabs>
        <w:tab w:val="center" w:pos="4153"/>
        <w:tab w:val="right" w:pos="8306"/>
      </w:tabs>
      <w:snapToGrid w:val="0"/>
      <w:jc w:val="left"/>
    </w:pPr>
    <w:rPr>
      <w:sz w:val="18"/>
      <w:szCs w:val="18"/>
    </w:r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5">
    <w:name w:val="Normal (Web)"/>
    <w:basedOn w:val="1"/>
    <w:qFormat/>
    <w:uiPriority w:val="0"/>
    <w:pPr>
      <w:spacing w:beforeAutospacing="1" w:after="100" w:afterAutospacing="1"/>
    </w:pPr>
    <w:rPr>
      <w:sz w:val="24"/>
    </w:rPr>
  </w:style>
  <w:style w:type="paragraph" w:styleId="16">
    <w:name w:val="annotation subject"/>
    <w:basedOn w:val="9"/>
    <w:next w:val="9"/>
    <w:link w:val="28"/>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FollowedHyperlink"/>
    <w:qFormat/>
    <w:uiPriority w:val="0"/>
    <w:rPr>
      <w:color w:val="800080"/>
      <w:u w:val="single"/>
    </w:rPr>
  </w:style>
  <w:style w:type="character" w:styleId="22">
    <w:name w:val="Hyperlink"/>
    <w:qFormat/>
    <w:uiPriority w:val="0"/>
    <w:rPr>
      <w:color w:val="008810"/>
      <w:u w:val="single"/>
    </w:rPr>
  </w:style>
  <w:style w:type="character" w:styleId="23">
    <w:name w:val="HTML Code"/>
    <w:basedOn w:val="19"/>
    <w:qFormat/>
    <w:uiPriority w:val="0"/>
    <w:rPr>
      <w:rFonts w:ascii="Courier New" w:hAnsi="Courier New"/>
      <w:sz w:val="20"/>
    </w:rPr>
  </w:style>
  <w:style w:type="character" w:styleId="24">
    <w:name w:val="annotation reference"/>
    <w:qFormat/>
    <w:uiPriority w:val="0"/>
    <w:rPr>
      <w:sz w:val="21"/>
      <w:szCs w:val="21"/>
    </w:rPr>
  </w:style>
  <w:style w:type="character" w:customStyle="1" w:styleId="25">
    <w:name w:val="批注文字 字符"/>
    <w:link w:val="9"/>
    <w:qFormat/>
    <w:uiPriority w:val="0"/>
    <w:rPr>
      <w:kern w:val="2"/>
      <w:sz w:val="21"/>
      <w:szCs w:val="24"/>
    </w:rPr>
  </w:style>
  <w:style w:type="character" w:customStyle="1" w:styleId="26">
    <w:name w:val="页脚 字符"/>
    <w:link w:val="13"/>
    <w:qFormat/>
    <w:uiPriority w:val="0"/>
    <w:rPr>
      <w:kern w:val="2"/>
      <w:sz w:val="18"/>
      <w:szCs w:val="18"/>
    </w:rPr>
  </w:style>
  <w:style w:type="character" w:customStyle="1" w:styleId="27">
    <w:name w:val="页眉 字符"/>
    <w:link w:val="2"/>
    <w:qFormat/>
    <w:uiPriority w:val="0"/>
    <w:rPr>
      <w:kern w:val="2"/>
      <w:sz w:val="18"/>
      <w:szCs w:val="18"/>
    </w:rPr>
  </w:style>
  <w:style w:type="character" w:customStyle="1" w:styleId="28">
    <w:name w:val="批注主题 字符"/>
    <w:link w:val="16"/>
    <w:qFormat/>
    <w:uiPriority w:val="0"/>
    <w:rPr>
      <w:b/>
      <w:bCs/>
      <w:kern w:val="2"/>
      <w:sz w:val="21"/>
      <w:szCs w:val="24"/>
    </w:rPr>
  </w:style>
  <w:style w:type="paragraph" w:customStyle="1" w:styleId="2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0">
    <w:name w:val="Char Char Char Char Char Char1 Char"/>
    <w:basedOn w:val="1"/>
    <w:qFormat/>
    <w:uiPriority w:val="0"/>
    <w:pPr>
      <w:widowControl/>
      <w:spacing w:after="160" w:line="240" w:lineRule="exact"/>
      <w:jc w:val="left"/>
    </w:pPr>
    <w:rPr>
      <w:szCs w:val="20"/>
    </w:rPr>
  </w:style>
  <w:style w:type="paragraph" w:customStyle="1" w:styleId="31">
    <w:name w:val="列表段落1"/>
    <w:basedOn w:val="1"/>
    <w:qFormat/>
    <w:uiPriority w:val="34"/>
    <w:pPr>
      <w:ind w:firstLine="420" w:firstLineChars="200"/>
    </w:pPr>
  </w:style>
  <w:style w:type="paragraph" w:customStyle="1" w:styleId="32">
    <w:name w:val="Revision"/>
    <w:unhideWhenUsed/>
    <w:qFormat/>
    <w:uiPriority w:val="99"/>
    <w:rPr>
      <w:rFonts w:ascii="Times New Roman" w:hAnsi="Times New Roman" w:eastAsia="宋体" w:cs="Times New Roman"/>
      <w:kern w:val="2"/>
      <w:sz w:val="21"/>
      <w:szCs w:val="24"/>
      <w:lang w:val="en-US" w:eastAsia="zh-CN" w:bidi="ar-SA"/>
    </w:rPr>
  </w:style>
  <w:style w:type="character" w:customStyle="1" w:styleId="33">
    <w:name w:val="NormalCharacter"/>
    <w:semiHidden/>
    <w:qFormat/>
    <w:uiPriority w:val="0"/>
    <w:rPr>
      <w:rFonts w:ascii="Tahoma" w:hAnsi="Tahoma" w:eastAsia="微软雅黑" w:cs="Times New Roman"/>
      <w:sz w:val="22"/>
      <w:szCs w:val="22"/>
      <w:lang w:val="en-US" w:eastAsia="zh-CN" w:bidi="ar-SA"/>
    </w:rPr>
  </w:style>
  <w:style w:type="character" w:customStyle="1" w:styleId="34">
    <w:name w:val="font11"/>
    <w:qFormat/>
    <w:uiPriority w:val="0"/>
    <w:rPr>
      <w:rFonts w:ascii="宋体" w:hAnsi="宋体" w:eastAsia="宋体" w:cs="宋体"/>
      <w:b/>
      <w:bCs/>
      <w:color w:val="000000"/>
      <w:sz w:val="22"/>
      <w:szCs w:val="22"/>
      <w:u w:val="none"/>
    </w:rPr>
  </w:style>
  <w:style w:type="character" w:customStyle="1" w:styleId="35">
    <w:name w:val="font81"/>
    <w:qFormat/>
    <w:uiPriority w:val="0"/>
    <w:rPr>
      <w:rFonts w:hint="default" w:ascii="Arial" w:hAnsi="Arial" w:cs="Arial"/>
      <w:color w:val="000000"/>
      <w:sz w:val="21"/>
      <w:szCs w:val="21"/>
      <w:u w:val="none"/>
    </w:rPr>
  </w:style>
  <w:style w:type="character" w:customStyle="1" w:styleId="36">
    <w:name w:val="font91"/>
    <w:qFormat/>
    <w:uiPriority w:val="0"/>
    <w:rPr>
      <w:rFonts w:hint="default" w:ascii="Arial" w:hAnsi="Arial" w:cs="Arial"/>
      <w:color w:val="000000"/>
      <w:sz w:val="19"/>
      <w:szCs w:val="19"/>
      <w:u w:val="none"/>
    </w:rPr>
  </w:style>
  <w:style w:type="character" w:customStyle="1" w:styleId="37">
    <w:name w:val="font41"/>
    <w:qFormat/>
    <w:uiPriority w:val="0"/>
    <w:rPr>
      <w:rFonts w:ascii="宋体" w:hAnsi="宋体" w:eastAsia="宋体" w:cs="宋体"/>
      <w:color w:val="000000"/>
      <w:sz w:val="22"/>
      <w:szCs w:val="22"/>
      <w:u w:val="none"/>
    </w:rPr>
  </w:style>
  <w:style w:type="character" w:customStyle="1" w:styleId="38">
    <w:name w:val="font51"/>
    <w:qFormat/>
    <w:uiPriority w:val="0"/>
    <w:rPr>
      <w:rFonts w:hint="default" w:ascii="Arial" w:hAnsi="Arial" w:cs="Arial"/>
      <w:color w:val="000000"/>
      <w:sz w:val="22"/>
      <w:szCs w:val="22"/>
      <w:u w:val="none"/>
    </w:rPr>
  </w:style>
  <w:style w:type="character" w:customStyle="1" w:styleId="39">
    <w:name w:val="font21"/>
    <w:basedOn w:val="19"/>
    <w:qFormat/>
    <w:uiPriority w:val="0"/>
    <w:rPr>
      <w:rFonts w:hint="eastAsia" w:ascii="宋体" w:hAnsi="宋体" w:eastAsia="宋体" w:cs="宋体"/>
      <w:color w:val="000000"/>
      <w:sz w:val="22"/>
      <w:szCs w:val="22"/>
      <w:u w:val="none"/>
    </w:rPr>
  </w:style>
  <w:style w:type="character" w:customStyle="1" w:styleId="40">
    <w:name w:val="font61"/>
    <w:qFormat/>
    <w:uiPriority w:val="0"/>
    <w:rPr>
      <w:rFonts w:hint="eastAsia" w:ascii="宋体" w:hAnsi="宋体" w:eastAsia="宋体" w:cs="宋体"/>
      <w:color w:val="000000"/>
      <w:sz w:val="22"/>
      <w:szCs w:val="22"/>
      <w:u w:val="none"/>
    </w:rPr>
  </w:style>
  <w:style w:type="character" w:customStyle="1" w:styleId="41">
    <w:name w:val="font71"/>
    <w:qFormat/>
    <w:uiPriority w:val="0"/>
    <w:rPr>
      <w:rFonts w:hint="default" w:ascii="Arial" w:hAnsi="Arial" w:cs="Arial"/>
      <w:color w:val="000000"/>
      <w:sz w:val="22"/>
      <w:szCs w:val="22"/>
      <w:u w:val="none"/>
    </w:rPr>
  </w:style>
  <w:style w:type="character" w:customStyle="1" w:styleId="42">
    <w:name w:val="font31"/>
    <w:basedOn w:val="19"/>
    <w:qFormat/>
    <w:uiPriority w:val="0"/>
    <w:rPr>
      <w:rFonts w:hint="default" w:ascii="Arial" w:hAnsi="Arial" w:cs="Arial"/>
      <w:color w:val="000000"/>
      <w:sz w:val="22"/>
      <w:szCs w:val="22"/>
      <w:u w:val="none"/>
    </w:rPr>
  </w:style>
  <w:style w:type="character" w:customStyle="1" w:styleId="43">
    <w:name w:val="Character Style 2"/>
    <w:qFormat/>
    <w:uiPriority w:val="0"/>
    <w:rPr>
      <w:rFonts w:hint="default"/>
    </w:rPr>
  </w:style>
  <w:style w:type="paragraph" w:customStyle="1" w:styleId="44">
    <w:name w:val="2"/>
    <w:qFormat/>
    <w:uiPriority w:val="0"/>
    <w:pPr>
      <w:spacing w:before="120" w:after="120" w:line="288" w:lineRule="auto"/>
    </w:pPr>
    <w:rPr>
      <w:rFonts w:ascii="Arial" w:hAnsi="Arial" w:eastAsia="等线" w:cs="Arial"/>
      <w:sz w:val="22"/>
      <w:szCs w:val="22"/>
      <w:lang w:val="en-US" w:eastAsia="zh-CN" w:bidi="ar-SA"/>
    </w:rPr>
  </w:style>
  <w:style w:type="paragraph" w:customStyle="1" w:styleId="45">
    <w:name w:val="样式 首行缩进:  2 字符"/>
    <w:basedOn w:val="1"/>
    <w:qFormat/>
    <w:uiPriority w:val="0"/>
    <w:pPr>
      <w:ind w:firstLine="56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575a3f57-7050-41f6-8457-425514ef652e</errorID>
      <errorWord> </errorWord>
      <group>L1_Format</group>
      <groupName>格式问题</groupName>
      <ability>L2_Whitespace</ability>
      <abilityName>空白字符</abilityName>
      <candidateList>
        <item/>
      </candidateList>
      <explain>文本间存在多余的空白字符。</explain>
      <paraID>571F75D6</paraID>
      <start>28</start>
      <end>29</end>
      <status>unmodified</status>
      <modifiedWord/>
      <trackRevisions>false</trackRevisions>
    </reviewItem>
    <reviewItem>
      <errorID>fc486be0-71cb-4537-be0a-ac222ea6de6d</errorID>
      <errorWord>   </errorWord>
      <group>L1_Format</group>
      <groupName>格式问题</groupName>
      <ability>L2_Whitespace</ability>
      <abilityName>空白字符</abilityName>
      <candidateList>
        <item/>
      </candidateList>
      <explain>文本间存在多余的空白字符。</explain>
      <paraID> B47F7E3</paraID>
      <start>3</start>
      <end>6</end>
      <status>unmodified</status>
      <modifiedWord/>
      <trackRevisions>false</trackRevisions>
    </reviewItem>
    <reviewItem>
      <errorID>46aa6bbc-99c2-4357-b391-a493a10102d2</errorID>
      <errorWord>   </errorWord>
      <group>L1_Format</group>
      <groupName>格式问题</groupName>
      <ability>L2_Whitespace</ability>
      <abilityName>空白字符</abilityName>
      <candidateList>
        <item/>
      </candidateList>
      <explain>文本间存在多余的空白字符。</explain>
      <paraID>74F8B8A8</paraID>
      <start>9</start>
      <end>12</end>
      <status>unmodified</status>
      <modifiedWord/>
      <trackRevisions>false</trackRevisions>
    </reviewItem>
    <reviewItem>
      <errorID>f584cdb3-e136-4a25-a329-b991a2fa13d4</errorID>
      <errorWord>   </errorWord>
      <group>L1_Format</group>
      <groupName>格式问题</groupName>
      <ability>L2_Whitespace</ability>
      <abilityName>空白字符</abilityName>
      <candidateList>
        <item/>
      </candidateList>
      <explain>文本间存在多余的空白字符。</explain>
      <paraID>5FE109F4</paraID>
      <start>5</start>
      <end>8</end>
      <status>unmodified</status>
      <modifiedWord/>
      <trackRevisions>false</trackRevisions>
    </reviewItem>
    <reviewItem>
      <errorID>f9e62fe2-bb5f-43e8-a291-6800180d193a</errorID>
      <errorWord>    </errorWord>
      <group>L1_Format</group>
      <groupName>格式问题</groupName>
      <ability>L2_Whitespace</ability>
      <abilityName>空白字符</abilityName>
      <candidateList>
        <item/>
      </candidateList>
      <explain>文本间存在多余的空白字符。</explain>
      <paraID>159F40C0</paraID>
      <start>6</start>
      <end>10</end>
      <status>unmodified</status>
      <modifiedWord/>
      <trackRevisions>false</trackRevisions>
    </reviewItem>
    <reviewItem>
      <errorID>56b4da58-1ba7-4ef8-aac4-38da22744f5d</errorID>
      <errorWord>     </errorWord>
      <group>L1_Format</group>
      <groupName>格式问题</groupName>
      <ability>L2_Whitespace</ability>
      <abilityName>空白字符</abilityName>
      <candidateList>
        <item/>
      </candidateList>
      <explain>文本间存在多余的空白字符。</explain>
      <paraID>2C545E37</paraID>
      <start>5</start>
      <end>10</end>
      <status>unmodified</status>
      <modifiedWord/>
      <trackRevisions>false</trackRevisions>
    </reviewItem>
    <reviewItem>
      <errorID>7ccd1b37-4012-4ac6-888f-9a47af86fb8e</errorID>
      <errorWord> </errorWord>
      <group>L1_Format</group>
      <groupName>格式问题</groupName>
      <ability>L2_Whitespace</ability>
      <abilityName>空白字符</abilityName>
      <candidateList>
        <item/>
      </candidateList>
      <explain>文本间存在多余的空白字符。</explain>
      <paraID>1A432793</paraID>
      <start>50</start>
      <end>51</end>
      <status>unmodified</status>
      <modifiedWord/>
      <trackRevisions>false</trackRevisions>
    </reviewItem>
    <reviewItem>
      <errorID>7a5a0207-1d24-4a51-be62-0a35e8a2c805</errorID>
      <errorWord> </errorWord>
      <group>L1_Format</group>
      <groupName>格式问题</groupName>
      <ability>L2_Whitespace</ability>
      <abilityName>空白字符</abilityName>
      <candidateList>
        <item/>
      </candidateList>
      <explain>文本间存在多余的空白字符。</explain>
      <paraID>1A432793</paraID>
      <start>67</start>
      <end>68</end>
      <status>unmodified</status>
      <modifiedWord/>
      <trackRevisions>false</trackRevisions>
    </reviewItem>
    <reviewItem>
      <errorID>868b35ae-ceff-4b87-b3c7-78203ca2f834</errorID>
      <errorWord> </errorWord>
      <group>L1_Format</group>
      <groupName>格式问题</groupName>
      <ability>L2_Whitespace</ability>
      <abilityName>空白字符</abilityName>
      <candidateList>
        <item/>
      </candidateList>
      <explain>文本间存在多余的空白字符。</explain>
      <paraID>1A432793</paraID>
      <start>95</start>
      <end>96</end>
      <status>unmodified</status>
      <modifiedWord/>
      <trackRevisions>false</trackRevisions>
    </reviewItem>
    <reviewItem>
      <errorID>3bb2aaa9-9a4f-4609-9336-6b243e97a547</errorID>
      <errorWord>      </errorWord>
      <group>L1_Format</group>
      <groupName>格式问题</groupName>
      <ability>L2_Whitespace</ability>
      <abilityName>空白字符</abilityName>
      <candidateList>
        <item/>
      </candidateList>
      <explain>文本间存在多余的空白字符。</explain>
      <paraID>5C6498BE</paraID>
      <start>14</start>
      <end>20</end>
      <status>unmodified</status>
      <modifiedWord/>
      <trackRevisions>false</trackRevisions>
    </reviewItem>
    <reviewItem>
      <errorID>4183f926-9f79-4a59-898e-4dc1a731e771</errorID>
      <errorWord>    </errorWord>
      <group>L1_Format</group>
      <groupName>格式问题</groupName>
      <ability>L2_Whitespace</ability>
      <abilityName>空白字符</abilityName>
      <candidateList>
        <item/>
      </candidateList>
      <explain>文本间存在多余的空白字符。</explain>
      <paraID>5C6498BE</paraID>
      <start>21</start>
      <end>25</end>
      <status>unmodified</status>
      <modifiedWord/>
      <trackRevisions>false</trackRevisions>
    </reviewItem>
    <reviewItem>
      <errorID>667182a5-fffd-4ee7-bf8e-700a3b966210</errorID>
      <errorWord>    </errorWord>
      <group>L1_Format</group>
      <groupName>格式问题</groupName>
      <ability>L2_Whitespace</ability>
      <abilityName>空白字符</abilityName>
      <candidateList>
        <item/>
      </candidateList>
      <explain>文本间存在多余的空白字符。</explain>
      <paraID>5C6498BE</paraID>
      <start>26</start>
      <end>30</end>
      <status>unmodified</status>
      <modifiedWord/>
      <trackRevisions>false</trackRevisions>
    </reviewItem>
    <reviewItem>
      <errorID>09bf4fbd-14db-4769-958b-2ab0af38f76b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1893E84D</paraID>
      <start>52</start>
      <end>53</end>
      <status>unmodified</status>
      <modifiedWord/>
      <trackRevisions>false</trackRevisions>
    </reviewItem>
    <reviewItem>
      <errorID>05673198-d604-4ea6-a702-3ad9c6678ebd</errorID>
      <errorWord>担保</errorWord>
      <group>L1_Word</group>
      <groupName>字词问题</groupName>
      <ability>L2_Typo</ability>
      <abilityName>字词错误</abilityName>
      <candidateList>
        <item>确保</item>
      </candidateList>
      <explain>〈动〉确实地保持或保证：～交通畅通｜加强田间管理，～粮食丰收。</explain>
      <paraID>1EF2790D</paraID>
      <start>1</start>
      <end>3</end>
      <status>unmodified</status>
      <modifiedWord/>
      <trackRevisions>false</trackRevisions>
    </reviewItem>
    <reviewItem>
      <errorID>fe8100db-6ff8-4baf-b9f2-b65b5f3f7b06</errorID>
      <errorWord>    </errorWord>
      <group>L1_Format</group>
      <groupName>格式问题</groupName>
      <ability>L2_Whitespace</ability>
      <abilityName>空白字符</abilityName>
      <candidateList>
        <item/>
      </candidateList>
      <explain>文本间存在多余的空白字符。</explain>
      <paraID>4C94CE1E</paraID>
      <start>1</start>
      <end>5</end>
      <status>unmodified</status>
      <modifiedWord/>
      <trackRevisions>false</trackRevisions>
    </reviewItem>
    <reviewItem>
      <errorID>45ba85c2-350a-40c1-8c46-225ea51b2539</errorID>
      <errorWord>    </errorWord>
      <group>L1_Format</group>
      <groupName>格式问题</groupName>
      <ability>L2_Whitespace</ability>
      <abilityName>空白字符</abilityName>
      <candidateList>
        <item/>
      </candidateList>
      <explain>文本间存在多余的空白字符。</explain>
      <paraID>4C94CE1E</paraID>
      <start>7</start>
      <end>11</end>
      <status>unmodified</status>
      <modifiedWord/>
      <trackRevisions>false</trackRevisions>
    </reviewItem>
    <reviewItem>
      <errorID>c3007f49-baf8-4062-9426-6eef4d2cefd8</errorID>
      <errorWord> </errorWord>
      <group>L1_Format</group>
      <groupName>格式问题</groupName>
      <ability>L2_Whitespace</ability>
      <abilityName>空白字符</abilityName>
      <candidateList>
        <item/>
      </candidateList>
      <explain>文本间存在多余的空白字符。</explain>
      <paraID>53F715B5</paraID>
      <start>1</start>
      <end>2</end>
      <status>unmodified</status>
      <modifiedWord/>
      <trackRevisions>false</trackRevisions>
    </reviewItem>
    <reviewItem>
      <errorID>bd062fb5-91f8-4d8b-b0ef-49c3f58f7c1a</errorID>
      <errorWord> </errorWord>
      <group>L1_Format</group>
      <groupName>格式问题</groupName>
      <ability>L2_Whitespace</ability>
      <abilityName>空白字符</abilityName>
      <candidateList>
        <item/>
      </candidateList>
      <explain>文本间存在多余的空白字符。</explain>
      <paraID>53F715B5</paraID>
      <start>3</start>
      <end>4</end>
      <status>unmodified</status>
      <modifiedWord/>
      <trackRevisions>false</trackRevisions>
    </reviewItem>
    <reviewItem>
      <errorID>cd5f9d8a-b468-49dd-9a87-ed9eebd7e5f7</errorID>
      <errorWord>    </errorWord>
      <group>L1_Format</group>
      <groupName>格式问题</groupName>
      <ability>L2_Whitespace</ability>
      <abilityName>空白字符</abilityName>
      <candidateList>
        <item/>
      </candidateList>
      <explain>文本间存在多余的空白字符。</explain>
      <paraID>53F715B5</paraID>
      <start>6</start>
      <end>10</end>
      <status>unmodified</status>
      <modifiedWord/>
      <trackRevisions>false</trackRevisions>
    </reviewItem>
    <reviewItem>
      <errorID>5a00d4e9-e04a-4d89-ba19-6dc5dda54448</errorID>
      <errorWord>    </errorWord>
      <group>L1_Format</group>
      <groupName>格式问题</groupName>
      <ability>L2_Whitespace</ability>
      <abilityName>空白字符</abilityName>
      <candidateList>
        <item/>
      </candidateList>
      <explain>文本间存在多余的空白字符。</explain>
      <paraID>76A47405</paraID>
      <start>1</start>
      <end>5</end>
      <status>unmodified</status>
      <modifiedWord/>
      <trackRevisions>false</trackRevisions>
    </reviewItem>
    <reviewItem>
      <errorID>7d688ebd-9a56-4834-a549-524e2b3a72ef</errorID>
      <errorWord> </errorWord>
      <group>L1_Format</group>
      <groupName>格式问题</groupName>
      <ability>L2_Whitespace</ability>
      <abilityName>空白字符</abilityName>
      <candidateList>
        <item/>
      </candidateList>
      <explain>文本间存在多余的空白字符。</explain>
      <paraID>340A0EAE</paraID>
      <start>1</start>
      <end>2</end>
      <status>unmodified</status>
      <modifiedWord/>
      <trackRevisions>false</trackRevisions>
    </reviewItem>
    <reviewItem>
      <errorID>c095fb48-0e6b-4566-8848-213857f97e60</errorID>
      <errorWord> </errorWord>
      <group>L1_Format</group>
      <groupName>格式问题</groupName>
      <ability>L2_Whitespace</ability>
      <abilityName>空白字符</abilityName>
      <candidateList>
        <item/>
      </candidateList>
      <explain>文本间存在多余的空白字符。</explain>
      <paraID>340A0EAE</paraID>
      <start>3</start>
      <end>4</end>
      <status>unmodified</status>
      <modifiedWord/>
      <trackRevisions>false</trackRevisions>
    </reviewItem>
    <reviewItem>
      <errorID>d9efe6ca-43ff-452b-bf38-e18680caffdd</errorID>
      <errorWord>    </errorWord>
      <group>L1_Format</group>
      <groupName>格式问题</groupName>
      <ability>L2_Whitespace</ability>
      <abilityName>空白字符</abilityName>
      <candidateList>
        <item/>
      </candidateList>
      <explain>文本间存在多余的空白字符。</explain>
      <paraID>340A0EAE</paraID>
      <start>6</start>
      <end>10</end>
      <status>unmodified</status>
      <modifiedWord/>
      <trackRevisions>false</trackRevisions>
    </reviewItem>
    <reviewItem>
      <errorID>5c674bc4-048e-4acd-a90f-3e268dcc7497</errorID>
      <errorWord>    </errorWord>
      <group>L1_Format</group>
      <groupName>格式问题</groupName>
      <ability>L2_Whitespace</ability>
      <abilityName>空白字符</abilityName>
      <candidateList>
        <item/>
      </candidateList>
      <explain>文本间存在多余的空白字符。</explain>
      <paraID>6DCF922C</paraID>
      <start>5</start>
      <end>9</end>
      <status>unmodified</status>
      <modifiedWord/>
      <trackRevisions>false</trackRevisions>
    </reviewItem>
    <reviewItem>
      <errorID>a85b83c2-5f5e-41f9-a558-254297d86c3c</errorID>
      <errorWord>    </errorWord>
      <group>L1_Format</group>
      <groupName>格式问题</groupName>
      <ability>L2_Whitespace</ability>
      <abilityName>空白字符</abilityName>
      <candidateList>
        <item/>
      </candidateList>
      <explain>文本间存在多余的空白字符。</explain>
      <paraID>46C70EF7</paraID>
      <start>9</start>
      <end>13</end>
      <status>unmodified</status>
      <modifiedWord/>
      <trackRevisions>false</trackRevisions>
    </reviewItem>
    <reviewItem>
      <errorID>8d39c0fe-c7b7-4d1f-94c6-0c64a377a94b</errorID>
      <errorWord>[2000]</errorWord>
      <group>L1_Punc</group>
      <groupName>标点问题</groupName>
      <ability>L2_Punc</ability>
      <abilityName>标点符号检查</abilityName>
      <candidateList>
        <item>〔2000〕</item>
      </candidateList>
      <explain/>
      <paraID>36A7FECE</paraID>
      <start>76</start>
      <end>82</end>
      <status>unmodified</status>
      <modifiedWord/>
      <trackRevisions>false</trackRevisions>
    </reviewItem>
    <reviewItem>
      <errorID>4af195f2-1a2a-4fe6-ab3d-8272d9d4c714</errorID>
      <errorWord> </errorWord>
      <group>L1_Format</group>
      <groupName>格式问题</groupName>
      <ability>L2_Whitespace</ability>
      <abilityName>空白字符</abilityName>
      <candidateList>
        <item/>
      </candidateList>
      <explain>文本间存在多余的空白字符。</explain>
      <paraID>45AF3787</paraID>
      <start>2</start>
      <end>3</end>
      <status>unmodified</status>
      <modifiedWord/>
      <trackRevisions>false</trackRevisions>
    </reviewItem>
    <reviewItem>
      <errorID>a133800b-14b1-48e2-bb11-73de95fa6428</errorID>
      <errorWord>    </errorWord>
      <group>L1_Format</group>
      <groupName>格式问题</groupName>
      <ability>L2_Whitespace</ability>
      <abilityName>空白字符</abilityName>
      <candidateList>
        <item/>
      </candidateList>
      <explain>文本间存在多余的空白字符。</explain>
      <paraID>6EAE2F5F</paraID>
      <start>1</start>
      <end>5</end>
      <status>unmodified</status>
      <modifiedWord/>
      <trackRevisions>false</trackRevisions>
    </reviewItem>
    <reviewItem>
      <errorID>d596d016-cedd-43b6-a421-2a3477e368fd</errorID>
      <errorWord> </errorWord>
      <group>L1_Format</group>
      <groupName>格式问题</groupName>
      <ability>L2_Whitespace</ability>
      <abilityName>空白字符</abilityName>
      <candidateList>
        <item/>
      </candidateList>
      <explain>文本间存在多余的空白字符。</explain>
      <paraID>246F2952</paraID>
      <start>1</start>
      <end>2</end>
      <status>unmodified</status>
      <modifiedWord/>
      <trackRevisions>false</trackRevisions>
    </reviewItem>
    <reviewItem>
      <errorID>7f9cfbb7-5d16-4d6f-9bc3-e62f5952133a</errorID>
      <errorWord> </errorWord>
      <group>L1_Format</group>
      <groupName>格式问题</groupName>
      <ability>L2_Whitespace</ability>
      <abilityName>空白字符</abilityName>
      <candidateList>
        <item/>
      </candidateList>
      <explain>文本间存在多余的空白字符。</explain>
      <paraID>246F2952</paraID>
      <start>3</start>
      <end>4</end>
      <status>unmodified</status>
      <modifiedWord/>
      <trackRevisions>false</trackRevisions>
    </reviewItem>
    <reviewItem>
      <errorID>01ecc395-ee19-4b5d-9485-8ffc457396e3</errorID>
      <errorWord>               </errorWord>
      <group>L1_Format</group>
      <groupName>格式问题</groupName>
      <ability>L2_Whitespace</ability>
      <abilityName>空白字符</abilityName>
      <candidateList>
        <item/>
      </candidateList>
      <explain>文本间存在多余的空白字符。</explain>
      <paraID>246F2952</paraID>
      <start>6</start>
      <end>21</end>
      <status>unmodified</status>
      <modifiedWord/>
      <trackRevisions>false</trackRevisions>
    </reviewItem>
    <reviewItem>
      <errorID>931fc50f-3af3-4612-95d4-6d770d6b9a5b</errorID>
      <errorWord>           </errorWord>
      <group>L1_Format</group>
      <groupName>格式问题</groupName>
      <ability>L2_Whitespace</ability>
      <abilityName>空白字符</abilityName>
      <candidateList>
        <item/>
      </candidateList>
      <explain>文本间存在多余的空白字符。</explain>
      <paraID>3C8AE977</paraID>
      <start>5</start>
      <end>16</end>
      <status>unmodified</status>
      <modifiedWord/>
      <trackRevisions>false</trackRevisions>
    </reviewItem>
    <reviewItem>
      <errorID>c9f9388c-74cf-4352-92cd-90d42877d01d</errorID>
      <errorWord>    </errorWord>
      <group>L1_Format</group>
      <groupName>格式问题</groupName>
      <ability>L2_Whitespace</ability>
      <abilityName>空白字符</abilityName>
      <candidateList>
        <item/>
      </candidateList>
      <explain>文本间存在多余的空白字符。</explain>
      <paraID>4FAF8D46</paraID>
      <start>1</start>
      <end>5</end>
      <status>unmodified</status>
      <modifiedWord/>
      <trackRevisions>false</trackRevisions>
    </reviewItem>
    <reviewItem>
      <errorID>5fb2182f-ba65-401c-8897-2b9e5395e252</errorID>
      <errorWord> </errorWord>
      <group>L1_Format</group>
      <groupName>格式问题</groupName>
      <ability>L2_Whitespace</ability>
      <abilityName>空白字符</abilityName>
      <candidateList>
        <item/>
      </candidateList>
      <explain>文本间存在多余的空白字符。</explain>
      <paraID>529F69B5</paraID>
      <start>1</start>
      <end>2</end>
      <status>unmodified</status>
      <modifiedWord/>
      <trackRevisions>false</trackRevisions>
    </reviewItem>
    <reviewItem>
      <errorID>04a175f9-8103-4681-b762-e52d23397511</errorID>
      <errorWord> </errorWord>
      <group>L1_Format</group>
      <groupName>格式问题</groupName>
      <ability>L2_Whitespace</ability>
      <abilityName>空白字符</abilityName>
      <candidateList>
        <item/>
      </candidateList>
      <explain>文本间存在多余的空白字符。</explain>
      <paraID>529F69B5</paraID>
      <start>3</start>
      <end>4</end>
      <status>unmodified</status>
      <modifiedWord/>
      <trackRevisions>false</trackRevisions>
    </reviewItem>
    <reviewItem>
      <errorID>47a683cf-2b86-4d9e-89f2-e1d6487d1731</errorID>
      <errorWord> </errorWord>
      <group>L1_Format</group>
      <groupName>格式问题</groupName>
      <ability>L2_Whitespace</ability>
      <abilityName>空白字符</abilityName>
      <candidateList>
        <item/>
      </candidateList>
      <explain>文本间存在多余的空白字符。</explain>
      <paraID> 815C9FC</paraID>
      <start>16</start>
      <end>17</end>
      <status>unmodified</status>
      <modifiedWord/>
      <trackRevisions>false</trackRevisions>
    </reviewItem>
    <reviewItem>
      <errorID>c0c41da6-ab31-4e9a-b7ce-a700d8b8ec82</errorID>
      <errorWord>  </errorWord>
      <group>L1_Format</group>
      <groupName>格式问题</groupName>
      <ability>L2_Whitespace</ability>
      <abilityName>空白字符</abilityName>
      <candidateList>
        <item/>
      </candidateList>
      <explain>文本间存在多余的空白字符。</explain>
      <paraID>179CC1C6</paraID>
      <start>8</start>
      <end>10</end>
      <status>unmodified</status>
      <modifiedWord/>
      <trackRevisions>false</trackRevisions>
    </reviewItem>
    <reviewItem>
      <errorID>4c9e6c6e-e3a8-4450-b269-a68f92ef726c</errorID>
      <errorWord>  </errorWord>
      <group>L1_Format</group>
      <groupName>格式问题</groupName>
      <ability>L2_Whitespace</ability>
      <abilityName>空白字符</abilityName>
      <candidateList>
        <item/>
      </candidateList>
      <explain>文本间存在多余的空白字符。</explain>
      <paraID>179CC1C6</paraID>
      <start>11</start>
      <end>13</end>
      <status>unmodified</status>
      <modifiedWord/>
      <trackRevisions>false</trackRevisions>
    </reviewItem>
    <reviewItem>
      <errorID>8947f43e-a5cb-4185-935f-1475921c97a6</errorID>
      <errorWord> </errorWord>
      <group>L1_Format</group>
      <groupName>格式问题</groupName>
      <ability>L2_Whitespace</ability>
      <abilityName>空白字符</abilityName>
      <candidateList>
        <item/>
      </candidateList>
      <explain>文本间存在多余的空白字符。</explain>
      <paraID>78499945</paraID>
      <start>16</start>
      <end>17</end>
      <status>unmodified</status>
      <modifiedWord/>
      <trackRevisions>false</trackRevisions>
    </reviewItem>
    <reviewItem>
      <errorID>ac674df2-8e9b-4636-ac23-52b27f43b516</errorID>
      <errorWord>  </errorWord>
      <group>L1_Format</group>
      <groupName>格式问题</groupName>
      <ability>L2_Whitespace</ability>
      <abilityName>空白字符</abilityName>
      <candidateList>
        <item/>
      </candidateList>
      <explain>文本间存在多余的空白字符。</explain>
      <paraID>25D7EC25</paraID>
      <start>8</start>
      <end>10</end>
      <status>unmodified</status>
      <modifiedWord/>
      <trackRevisions>false</trackRevisions>
    </reviewItem>
    <reviewItem>
      <errorID>3f0b276f-3347-44a6-9c3b-8d7adf53fc0f</errorID>
      <errorWord>  </errorWord>
      <group>L1_Format</group>
      <groupName>格式问题</groupName>
      <ability>L2_Whitespace</ability>
      <abilityName>空白字符</abilityName>
      <candidateList>
        <item/>
      </candidateList>
      <explain>文本间存在多余的空白字符。</explain>
      <paraID>25D7EC25</paraID>
      <start>11</start>
      <end>13</end>
      <status>unmodified</status>
      <modifiedWord/>
      <trackRevisions>false</trackRevisions>
    </reviewItem>
    <reviewItem>
      <errorID>5a112ada-42df-451e-b703-5efaf2909dc5</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6B2957CB</paraID>
      <start>191</start>
      <end>193</end>
      <status>unmodified</status>
      <modifiedWord/>
      <trackRevisions>false</trackRevisions>
    </reviewItem>
    <reviewItem>
      <errorID>00052bc9-ed55-4eb9-9ba9-a6c105e50bc2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6D016754</paraID>
      <start>0</start>
      <end>2</end>
      <status>unmodified</status>
      <modifiedWord/>
      <trackRevisions>false</trackRevisions>
    </reviewItem>
    <reviewItem>
      <errorID>5d077d3a-304a-4867-b5bd-2bfa0bac7c69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46124AAD</paraID>
      <start>0</start>
      <end>2</end>
      <status>unmodified</status>
      <modifiedWord/>
      <trackRevisions>false</trackRevisions>
    </reviewItem>
    <reviewItem>
      <errorID>22a0a867-af9f-4fd9-af6d-b8eba95633c7</errorID>
      <errorWord>    </errorWord>
      <group>L1_Format</group>
      <groupName>格式问题</groupName>
      <ability>L2_Whitespace</ability>
      <abilityName>空白字符</abilityName>
      <candidateList>
        <item/>
      </candidateList>
      <explain>文本间存在多余的空白字符。</explain>
      <paraID>72A78029</paraID>
      <start>1</start>
      <end>5</end>
      <status>unmodified</status>
      <modifiedWord/>
      <trackRevisions>false</trackRevisions>
    </reviewItem>
    <reviewItem>
      <errorID>463932f7-3f20-4c34-b3d0-8b1908d5d9ec</errorID>
      <errorWord>    </errorWord>
      <group>L1_Format</group>
      <groupName>格式问题</groupName>
      <ability>L2_Whitespace</ability>
      <abilityName>空白字符</abilityName>
      <candidateList>
        <item/>
      </candidateList>
      <explain>文本间存在多余的空白字符。</explain>
      <paraID>68E2108F</paraID>
      <start>1</start>
      <end>5</end>
      <status>unmodified</status>
      <modifiedWord/>
      <trackRevisions>false</trackRevisions>
    </reviewItem>
    <reviewItem>
      <errorID>0dfbf901-e933-4fc8-b3d8-68c6e73665e3</errorID>
      <errorWord> </errorWord>
      <group>L1_Format</group>
      <groupName>格式问题</groupName>
      <ability>L2_Whitespace</ability>
      <abilityName>空白字符</abilityName>
      <candidateList>
        <item/>
      </candidateList>
      <explain>文本间存在多余的空白字符。</explain>
      <paraID>3AB4C38C</paraID>
      <start>3</start>
      <end>4</end>
      <status>unmodified</status>
      <modifiedWord/>
      <trackRevisions>false</trackRevisions>
    </reviewItem>
    <reviewItem>
      <errorID>fd38324f-f91c-43bd-b467-2c252026afae</errorID>
      <errorWord> </errorWord>
      <group>L1_Format</group>
      <groupName>格式问题</groupName>
      <ability>L2_Whitespace</ability>
      <abilityName>空白字符</abilityName>
      <candidateList>
        <item/>
      </candidateList>
      <explain>文本间存在多余的空白字符。</explain>
      <paraID>4C80ACAC</paraID>
      <start>3</start>
      <end>4</end>
      <status>unmodified</status>
      <modifiedWord/>
      <trackRevisions>false</trackRevisions>
    </reviewItem>
    <reviewItem>
      <errorID>0e0369ee-16f9-43fb-a917-4ca54e973396</errorID>
      <errorWord> </errorWord>
      <group>L1_Format</group>
      <groupName>格式问题</groupName>
      <ability>L2_Whitespace</ability>
      <abilityName>空白字符</abilityName>
      <candidateList>
        <item/>
      </candidateList>
      <explain>文本间存在多余的空白字符。</explain>
      <paraID>7B398D79</paraID>
      <start>3</start>
      <end>4</end>
      <status>unmodified</status>
      <modifiedWord/>
      <trackRevisions>false</trackRevisions>
    </reviewItem>
    <reviewItem>
      <errorID>54258e90-a95d-48a5-ac79-40e04ae7c4e2</errorID>
      <errorWord> </errorWord>
      <group>L1_Format</group>
      <groupName>格式问题</groupName>
      <ability>L2_Whitespace</ability>
      <abilityName>空白字符</abilityName>
      <candidateList>
        <item/>
      </candidateList>
      <explain>文本间存在多余的空白字符。</explain>
      <paraID>1DF6233E</paraID>
      <start>3</start>
      <end>4</end>
      <status>unmodified</status>
      <modifiedWord/>
      <trackRevisions>false</trackRevisions>
    </reviewItem>
    <reviewItem>
      <errorID>452ac142-a621-4d4b-adf8-3fa1944ba202</errorID>
      <errorWord> </errorWord>
      <group>L1_Format</group>
      <groupName>格式问题</groupName>
      <ability>L2_Whitespace</ability>
      <abilityName>空白字符</abilityName>
      <candidateList>
        <item/>
      </candidateList>
      <explain>文本间存在多余的空白字符。</explain>
      <paraID>2F450516</paraID>
      <start>3</start>
      <end>4</end>
      <status>unmodified</status>
      <modifiedWord/>
      <trackRevisions>false</trackRevisions>
    </reviewItem>
    <reviewItem>
      <errorID>3c5cd04d-9c28-43e9-833b-3319119983f8</errorID>
      <errorWord> </errorWord>
      <group>L1_Format</group>
      <groupName>格式问题</groupName>
      <ability>L2_Whitespace</ability>
      <abilityName>空白字符</abilityName>
      <candidateList>
        <item/>
      </candidateList>
      <explain>文本间存在多余的空白字符。</explain>
      <paraID>1B3955C7</paraID>
      <start>19</start>
      <end>20</end>
      <status>unmodified</status>
      <modifiedWord/>
      <trackRevisions>false</trackRevisions>
    </reviewItem>
    <reviewItem>
      <errorID>d6f60d6b-4302-4d88-af85-1e094783cab5</errorID>
      <errorWord> </errorWord>
      <group>L1_Format</group>
      <groupName>格式问题</groupName>
      <ability>L2_Whitespace</ability>
      <abilityName>空白字符</abilityName>
      <candidateList>
        <item/>
      </candidateList>
      <explain>文本间存在多余的空白字符。</explain>
      <paraID>3C857E46</paraID>
      <start>3</start>
      <end>4</end>
      <status>unmodified</status>
      <modifiedWord/>
      <trackRevisions>false</trackRevisions>
    </reviewItem>
    <reviewItem>
      <errorID>d5c466f9-01ee-4b72-8b2f-1e85c84beb43</errorID>
      <errorWord> </errorWord>
      <group>L1_Format</group>
      <groupName>格式问题</groupName>
      <ability>L2_Whitespace</ability>
      <abilityName>空白字符</abilityName>
      <candidateList>
        <item/>
      </candidateList>
      <explain>文本间存在多余的空白字符。</explain>
      <paraID>149C9338</paraID>
      <start>3</start>
      <end>4</end>
      <status>unmodified</status>
      <modifiedWord/>
      <trackRevisions>false</trackRevisions>
    </reviewItem>
    <reviewItem>
      <errorID>f04e9fbd-b546-4e63-a482-f6ca9d2dc439</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6270C2D0</paraID>
      <start>23</start>
      <end>25</end>
      <status>unmodified</status>
      <modifiedWord/>
      <trackRevisions>false</trackRevisions>
    </reviewItem>
    <reviewItem>
      <errorID>598b2553-26f2-4cc8-8cae-6b6cb1bd1403</errorID>
      <errorWord>    </errorWord>
      <group>L1_Format</group>
      <groupName>格式问题</groupName>
      <ability>L2_Whitespace</ability>
      <abilityName>空白字符</abilityName>
      <candidateList>
        <item/>
      </candidateList>
      <explain>文本间存在多余的空白字符。</explain>
      <paraID>5B11714A</paraID>
      <start>7</start>
      <end>11</end>
      <status>unmodified</status>
      <modifiedWord/>
      <trackRevisions>false</trackRevisions>
    </reviewItem>
    <reviewItem>
      <errorID>fd5623ea-c455-4bb1-985f-7cd6b5573244</errorID>
      <errorWord>     </errorWord>
      <group>L1_Format</group>
      <groupName>格式问题</groupName>
      <ability>L2_Whitespace</ability>
      <abilityName>空白字符</abilityName>
      <candidateList>
        <item/>
      </candidateList>
      <explain>文本间存在多余的空白字符。</explain>
      <paraID>5B11714A</paraID>
      <start>12</start>
      <end>17</end>
      <status>unmodified</status>
      <modifiedWord/>
      <trackRevisions>false</trackRevisions>
    </reviewItem>
    <reviewItem>
      <errorID>859f0ba6-4f20-4104-9287-9af860d791af</errorID>
      <errorWord> </errorWord>
      <group>L1_Format</group>
      <groupName>格式问题</groupName>
      <ability>L2_Whitespace</ability>
      <abilityName>空白字符</abilityName>
      <candidateList>
        <item/>
      </candidateList>
      <explain>文本间存在多余的空白字符。</explain>
      <paraID>33121516</paraID>
      <start>3</start>
      <end>4</end>
      <status>unmodified</status>
      <modifiedWord/>
      <trackRevisions>false</trackRevisions>
    </reviewItem>
    <reviewItem>
      <errorID>f4ba54fa-2425-4a5b-85e8-16417e31c11c</errorID>
      <errorWord> </errorWord>
      <group>L1_Format</group>
      <groupName>格式问题</groupName>
      <ability>L2_Whitespace</ability>
      <abilityName>空白字符</abilityName>
      <candidateList>
        <item/>
      </candidateList>
      <explain>文本间存在多余的空白字符。</explain>
      <paraID>2219EAEE</paraID>
      <start>3</start>
      <end>4</end>
      <status>unmodified</status>
      <modifiedWord/>
      <trackRevisions>false</trackRevisions>
    </reviewItem>
    <reviewItem>
      <errorID>4121af7a-531f-4c7a-a00c-321649cd4e80</errorID>
      <errorWord> </errorWord>
      <group>L1_Format</group>
      <groupName>格式问题</groupName>
      <ability>L2_Whitespace</ability>
      <abilityName>空白字符</abilityName>
      <candidateList>
        <item/>
      </candidateList>
      <explain>文本间存在多余的空白字符。</explain>
      <paraID>5560F935</paraID>
      <start>3</start>
      <end>4</end>
      <status>unmodified</status>
      <modifiedWord/>
      <trackRevisions>false</trackRevisions>
    </reviewItem>
    <reviewItem>
      <errorID>ed16434b-338c-453c-a789-a983958404dc</errorID>
      <errorWord> </errorWord>
      <group>L1_Format</group>
      <groupName>格式问题</groupName>
      <ability>L2_Whitespace</ability>
      <abilityName>空白字符</abilityName>
      <candidateList>
        <item/>
      </candidateList>
      <explain>文本间存在多余的空白字符。</explain>
      <paraID>7834E6BC</paraID>
      <start>3</start>
      <end>4</end>
      <status>unmodified</status>
      <modifiedWord/>
      <trackRevisions>false</trackRevisions>
    </reviewItem>
    <reviewItem>
      <errorID>96cd3eda-08f3-491b-9b86-f2ce3b3324c4</errorID>
      <errorWord> </errorWord>
      <group>L1_Format</group>
      <groupName>格式问题</groupName>
      <ability>L2_Whitespace</ability>
      <abilityName>空白字符</abilityName>
      <candidateList>
        <item/>
      </candidateList>
      <explain>文本间存在多余的空白字符。</explain>
      <paraID>  DC4909</paraID>
      <start>160</start>
      <end>161</end>
      <status>unmodified</status>
      <modifiedWord/>
      <trackRevisions>false</trackRevisions>
    </reviewItem>
    <reviewItem>
      <errorID>04ed00d3-6e44-417d-8f78-4cb1b847d16a</errorID>
      <errorWord> </errorWord>
      <group>L1_Format</group>
      <groupName>格式问题</groupName>
      <ability>L2_Whitespace</ability>
      <abilityName>空白字符</abilityName>
      <candidateList>
        <item/>
      </candidateList>
      <explain>文本间存在多余的空白字符。</explain>
      <paraID>5D6F6AB9</paraID>
      <start>3</start>
      <end>4</end>
      <status>unmodified</status>
      <modifiedWord/>
      <trackRevisions>false</trackRevisions>
    </reviewItem>
    <reviewItem>
      <errorID>75088f8b-cced-4dfd-ba37-c6ae7bd890ee</errorID>
      <errorWord> </errorWord>
      <group>L1_Format</group>
      <groupName>格式问题</groupName>
      <ability>L2_Whitespace</ability>
      <abilityName>空白字符</abilityName>
      <candidateList>
        <item/>
      </candidateList>
      <explain>文本间存在多余的空白字符。</explain>
      <paraID>49C85CF7</paraID>
      <start>3</start>
      <end>4</end>
      <status>unmodified</status>
      <modifiedWord/>
      <trackRevisions>false</trackRevisions>
    </reviewItem>
    <reviewItem>
      <errorID>6e4289c2-d12b-4694-8189-7d8b11277122</errorID>
      <errorWord> </errorWord>
      <group>L1_Format</group>
      <groupName>格式问题</groupName>
      <ability>L2_Whitespace</ability>
      <abilityName>空白字符</abilityName>
      <candidateList>
        <item/>
      </candidateList>
      <explain>文本间存在多余的空白字符。</explain>
      <paraID>5FD5D592</paraID>
      <start>3</start>
      <end>4</end>
      <status>unmodified</status>
      <modifiedWord/>
      <trackRevisions>false</trackRevisions>
    </reviewItem>
    <reviewItem>
      <errorID>56e89786-794c-4f53-a462-840281515d88</errorID>
      <errorWord>     </errorWord>
      <group>L1_Format</group>
      <groupName>格式问题</groupName>
      <ability>L2_Whitespace</ability>
      <abilityName>空白字符</abilityName>
      <candidateList>
        <item/>
      </candidateList>
      <explain>文本间存在多余的空白字符。</explain>
      <paraID>751EE39F</paraID>
      <start>7</start>
      <end>12</end>
      <status>unmodified</status>
      <modifiedWord/>
      <trackRevisions>false</trackRevisions>
    </reviewItem>
    <reviewItem>
      <errorID>9c23438f-97b1-4cc6-91b7-6ada8a5edd1d</errorID>
      <errorWord>   </errorWord>
      <group>L1_Format</group>
      <groupName>格式问题</groupName>
      <ability>L2_Whitespace</ability>
      <abilityName>空白字符</abilityName>
      <candidateList>
        <item/>
      </candidateList>
      <explain>文本间存在多余的空白字符。</explain>
      <paraID> 9DFEC59</paraID>
      <start>7</start>
      <end>10</end>
      <status>unmodified</status>
      <modifiedWord/>
      <trackRevisions>false</trackRevisions>
    </reviewItem>
    <reviewItem>
      <errorID>dc039f9f-ff53-4a53-9937-a10e1472d14c</errorID>
      <errorWord>   </errorWord>
      <group>L1_Format</group>
      <groupName>格式问题</groupName>
      <ability>L2_Whitespace</ability>
      <abilityName>空白字符</abilityName>
      <candidateList>
        <item/>
      </candidateList>
      <explain>文本间存在多余的空白字符。</explain>
      <paraID>4C4A9672</paraID>
      <start>17</start>
      <end>20</end>
      <status>unmodified</status>
      <modifiedWord/>
      <trackRevisions>false</trackRevisions>
    </reviewItem>
    <reviewItem>
      <errorID>c0d94038-25a8-487b-8b6a-91db9e99896b</errorID>
      <errorWord> </errorWord>
      <group>L1_Format</group>
      <groupName>格式问题</groupName>
      <ability>L2_Whitespace</ability>
      <abilityName>空白字符</abilityName>
      <candidateList>
        <item/>
      </candidateList>
      <explain>文本间存在多余的空白字符。</explain>
      <paraID>79D5D33D</paraID>
      <start>18</start>
      <end>19</end>
      <status>unmodified</status>
      <modifiedWord/>
      <trackRevisions>false</trackRevisions>
    </reviewItem>
    <reviewItem>
      <errorID>08307a25-53ee-47ad-b187-dc77a2b5d086</errorID>
      <errorWord>            </errorWord>
      <group>L1_Format</group>
      <groupName>格式问题</groupName>
      <ability>L2_Whitespace</ability>
      <abilityName>空白字符</abilityName>
      <candidateList>
        <item/>
      </candidateList>
      <explain>文本间存在多余的空白字符。</explain>
      <paraID>5F5C4D67</paraID>
      <start>6</start>
      <end>18</end>
      <status>unmodified</status>
      <modifiedWord/>
      <trackRevisions>false</trackRevisions>
    </reviewItem>
    <reviewItem>
      <errorID>3e24ea39-85ed-43c3-a06e-a5f36555ed5f</errorID>
      <errorWord>  </errorWord>
      <group>L1_Format</group>
      <groupName>格式问题</groupName>
      <ability>L2_Whitespace</ability>
      <abilityName>空白字符</abilityName>
      <candidateList>
        <item/>
      </candidateList>
      <explain>文本间存在多余的空白字符。</explain>
      <paraID>7338AC0E</paraID>
      <start>2</start>
      <end>4</end>
      <status>unmodified</status>
      <modifiedWord/>
      <trackRevisions>false</trackRevisions>
    </reviewItem>
    <reviewItem>
      <errorID>684c9ac2-8268-4cfb-a589-0a9f426df559</errorID>
      <errorWord>      </errorWord>
      <group>L1_Format</group>
      <groupName>格式问题</groupName>
      <ability>L2_Whitespace</ability>
      <abilityName>空白字符</abilityName>
      <candidateList>
        <item/>
      </candidateList>
      <explain>文本间存在多余的空白字符。</explain>
      <paraID>71A2C9AC</paraID>
      <start>30</start>
      <end>36</end>
      <status>unmodified</status>
      <modifiedWord/>
      <trackRevisions>false</trackRevisions>
    </reviewItem>
    <reviewItem>
      <errorID>ffc2d3a5-1837-4bdf-a216-fe2350d677a1</errorID>
      <errorWord>国家法律、法规行为</errorWord>
      <group>L1_Word</group>
      <groupName>字词问题</groupName>
      <ability>L2_Typo</ability>
      <abilityName>字词错误</abilityName>
      <candidateList>
        <item>国家法律法规行为</item>
      </candidateList>
      <explain/>
      <paraID>74FD26F6</paraID>
      <start>8</start>
      <end>17</end>
      <status>unmodified</status>
      <modifiedWord/>
      <trackRevisions>false</trackRevisions>
    </reviewItem>
    <reviewItem>
      <errorID>a94d6630-5b29-4ddd-93cd-8f45259ec522</errorID>
      <errorWord> </errorWord>
      <group>L1_Format</group>
      <groupName>格式问题</groupName>
      <ability>L2_Whitespace</ability>
      <abilityName>空白字符</abilityName>
      <candidateList>
        <item/>
      </candidateList>
      <explain>文本间存在多余的空白字符。</explain>
      <paraID>6DEF1154</paraID>
      <start>105</start>
      <end>106</end>
      <status>unmodified</status>
      <modifiedWord/>
      <trackRevisions>false</trackRevisions>
    </reviewItem>
    <reviewItem>
      <errorID>cff10b0d-a2ca-455a-be61-a39364b5144f</errorID>
      <errorWord>    </errorWord>
      <group>L1_Format</group>
      <groupName>格式问题</groupName>
      <ability>L2_Whitespace</ability>
      <abilityName>空白字符</abilityName>
      <candidateList>
        <item/>
      </candidateList>
      <explain>文本间存在多余的空白字符。</explain>
      <paraID>1AFBCCF1</paraID>
      <start>6</start>
      <end>10</end>
      <status>unmodified</status>
      <modifiedWord/>
      <trackRevisions>false</trackRevisions>
    </reviewItem>
    <reviewItem>
      <errorID>15bf2a05-1dc4-4a07-9c81-ad4af902246e</errorID>
      <errorWord>   </errorWord>
      <group>L1_Format</group>
      <groupName>格式问题</groupName>
      <ability>L2_Whitespace</ability>
      <abilityName>空白字符</abilityName>
      <candidateList>
        <item/>
      </candidateList>
      <explain>文本间存在多余的空白字符。</explain>
      <paraID>1AFBCCF1</paraID>
      <start>11</start>
      <end>14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6de018-93de-4f9e-bd92-a37ba0ff32b3}">
  <ds:schemaRefs/>
</ds:datastoreItem>
</file>

<file path=docProps/app.xml><?xml version="1.0" encoding="utf-8"?>
<Properties xmlns="http://schemas.openxmlformats.org/officeDocument/2006/extended-properties" xmlns:vt="http://schemas.openxmlformats.org/officeDocument/2006/docPropsVTypes">
  <Company>-</Company>
  <Pages>57</Pages>
  <Words>16770</Words>
  <Characters>17222</Characters>
  <Lines>347</Lines>
  <Paragraphs>276</Paragraphs>
  <TotalTime>21</TotalTime>
  <ScaleCrop>false</ScaleCrop>
  <LinksUpToDate>false</LinksUpToDate>
  <CharactersWithSpaces>17448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2026-01-13T01:55:00Z</dcterms:created>
  <dc:creator>zhudw</dc:creator>
  <cp:lastModifiedBy>张攀</cp:lastModifiedBy>
  <dcterms:modified xsi:type="dcterms:W3CDTF">2026-05-13T03:10:39Z</dcterms:modified>
  <dc:title>϶ȫýͶ޹˾Э�</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2D52715D28FE443CA2C2583D9E9E7D0A_13</vt:lpwstr>
  </property>
  <property fmtid="{D5CDD505-2E9C-101B-9397-08002B2CF9AE}" pid="4" name="KSOTemplateDocerSaveRecord">
    <vt:lpwstr>eyJoZGlkIjoiYTcwODc0YzQzY2FiMzk2NzM0OGRlN2MxMDFhOGRhOGUiLCJ1c2VySWQiOiIxNzQ3ODk2Mjc1In0=</vt:lpwstr>
  </property>
</Properties>
</file>