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560" w:lineRule="exact"/>
        <w:ind w:firstLine="803" w:firstLineChars="200"/>
        <w:jc w:val="center"/>
        <w:rPr>
          <w:rFonts w:hint="eastAsia" w:ascii="仿宋_GB2312" w:hAnsi="仿宋_GB2312" w:eastAsia="仿宋_GB2312" w:cs="仿宋_GB2312"/>
          <w:b/>
          <w:bCs/>
          <w:kern w:val="2"/>
          <w:sz w:val="40"/>
          <w:szCs w:val="40"/>
        </w:rPr>
      </w:pPr>
      <w:r>
        <w:rPr>
          <w:rFonts w:hint="eastAsia" w:ascii="仿宋_GB2312" w:hAnsi="仿宋_GB2312" w:eastAsia="仿宋_GB2312" w:cs="仿宋_GB2312"/>
          <w:b/>
          <w:bCs/>
          <w:kern w:val="2"/>
          <w:sz w:val="40"/>
          <w:szCs w:val="40"/>
        </w:rPr>
        <w:t>经营性项目资产评估咨询服务协议</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甲方一（委托方一）：</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统一社会信用代码：</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法定代表人:</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地址：</w:t>
      </w:r>
    </w:p>
    <w:p>
      <w:pPr>
        <w:spacing w:line="560" w:lineRule="exact"/>
        <w:ind w:firstLine="640" w:firstLineChars="200"/>
        <w:rPr>
          <w:rFonts w:hint="eastAsia" w:ascii="仿宋_GB2312" w:hAnsi="仿宋_GB2312" w:eastAsia="仿宋_GB2312" w:cs="仿宋_GB2312"/>
          <w:kern w:val="2"/>
          <w:sz w:val="32"/>
          <w:szCs w:val="32"/>
        </w:rPr>
      </w:pP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甲方二（委托方二）：</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统一社会信用代码：</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法定代表人:</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地址：</w:t>
      </w:r>
    </w:p>
    <w:p>
      <w:pPr>
        <w:spacing w:line="560" w:lineRule="exact"/>
        <w:rPr>
          <w:rFonts w:hint="eastAsia" w:ascii="仿宋_GB2312" w:hAnsi="仿宋_GB2312" w:eastAsia="仿宋_GB2312" w:cs="仿宋_GB2312"/>
          <w:kern w:val="2"/>
          <w:sz w:val="32"/>
          <w:szCs w:val="32"/>
        </w:rPr>
      </w:pP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乙方（受托方）：</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统一社会信用代码：</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法定代表人:</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地址：</w:t>
      </w:r>
    </w:p>
    <w:p>
      <w:pPr>
        <w:spacing w:line="360" w:lineRule="auto"/>
        <w:ind w:firstLine="640" w:firstLineChars="200"/>
        <w:rPr>
          <w:rFonts w:hint="eastAsia" w:ascii="仿宋_GB2312" w:hAnsi="仿宋_GB2312" w:eastAsia="仿宋_GB2312" w:cs="仿宋_GB2312"/>
          <w:kern w:val="2"/>
          <w:sz w:val="32"/>
          <w:szCs w:val="32"/>
        </w:rPr>
      </w:pPr>
    </w:p>
    <w:p>
      <w:pPr>
        <w:spacing w:line="360" w:lineRule="auto"/>
        <w:ind w:firstLine="640" w:firstLineChars="20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以上合称“三方”</w:t>
      </w:r>
      <w:r>
        <w:rPr>
          <w:rFonts w:hint="eastAsia" w:ascii="仿宋_GB2312" w:hAnsi="仿宋_GB2312" w:eastAsia="仿宋_GB2312" w:cs="仿宋_GB2312"/>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鉴于甲方一定时期内对</w:t>
      </w:r>
      <w:r>
        <w:rPr>
          <w:rFonts w:hint="eastAsia" w:ascii="仿宋_GB2312" w:hAnsi="仿宋_GB2312" w:eastAsia="仿宋_GB2312" w:cs="仿宋_GB2312"/>
          <w:kern w:val="2"/>
          <w:sz w:val="32"/>
          <w:szCs w:val="32"/>
          <w:lang w:eastAsia="zh-CN"/>
        </w:rPr>
        <w:t>协议项下</w:t>
      </w:r>
      <w:r>
        <w:rPr>
          <w:rFonts w:hint="eastAsia" w:ascii="仿宋_GB2312" w:hAnsi="仿宋_GB2312" w:eastAsia="仿宋_GB2312" w:cs="仿宋_GB2312"/>
          <w:kern w:val="2"/>
          <w:sz w:val="32"/>
          <w:szCs w:val="32"/>
        </w:rPr>
        <w:t>经营性项目资产评估（以下简称 “委托项目”）的需求，需要获取专业评估咨询意见，乙方具备相应的</w:t>
      </w:r>
      <w:r>
        <w:rPr>
          <w:rFonts w:hint="eastAsia" w:ascii="仿宋_GB2312" w:hAnsi="仿宋_GB2312" w:eastAsia="仿宋_GB2312" w:cs="仿宋_GB2312"/>
          <w:kern w:val="2"/>
          <w:sz w:val="32"/>
          <w:szCs w:val="32"/>
          <w:shd w:val="clear" w:color="auto" w:fill="FFFFFF"/>
        </w:rPr>
        <w:t>资产评估</w:t>
      </w:r>
      <w:r>
        <w:rPr>
          <w:rFonts w:hint="eastAsia" w:ascii="仿宋_GB2312" w:hAnsi="仿宋_GB2312" w:eastAsia="仿宋_GB2312" w:cs="仿宋_GB2312"/>
          <w:kern w:val="2"/>
          <w:sz w:val="32"/>
          <w:szCs w:val="32"/>
        </w:rPr>
        <w:t>资质和专业能力，能够提供相关咨询服务。根据《中华人民共和国民法典》及其他相关法律法规的规定，三方本着平等自愿、诚实信用的原则，经友好协商，就甲方委托乙方出具资产评估报告事宜达成如下框架协议，以资共同遵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kern w:val="2"/>
          <w:sz w:val="32"/>
          <w:szCs w:val="32"/>
        </w:rPr>
      </w:pPr>
      <w:r>
        <w:rPr>
          <w:rFonts w:hint="eastAsia" w:ascii="黑体" w:hAnsi="黑体" w:eastAsia="黑体" w:cs="黑体"/>
          <w:kern w:val="2"/>
          <w:sz w:val="32"/>
          <w:szCs w:val="32"/>
        </w:rPr>
        <w:t>一、委托事项及服务内容</w:t>
      </w:r>
    </w:p>
    <w:p>
      <w:pPr>
        <w:keepNext w:val="0"/>
        <w:keepLines w:val="0"/>
        <w:pageBreakBefore w:val="0"/>
        <w:widowControl w:val="0"/>
        <w:tabs>
          <w:tab w:val="left" w:pos="259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（一）委托事项：甲方委托乙方就其委托项目出具资产评估报告</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highlight w:val="none"/>
          <w:lang w:eastAsia="zh-CN"/>
        </w:rPr>
        <w:t>该报告拟用于市场销售价格参考等</w:t>
      </w:r>
      <w:r>
        <w:rPr>
          <w:rFonts w:hint="eastAsia" w:ascii="仿宋_GB2312" w:hAnsi="仿宋_GB2312" w:eastAsia="仿宋_GB2312" w:cs="仿宋_GB2312"/>
          <w:kern w:val="2"/>
          <w:sz w:val="32"/>
          <w:szCs w:val="32"/>
          <w:lang w:eastAsia="zh-CN"/>
        </w:rPr>
        <w:t>。乙方应确保报告内容与格式满足该等用途的要求。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（二）服务内容：对于2个委托项目，乙方应根据甲方提供的与该项目相关的资料，对项目提出相关建议，并在完成工作后向甲方</w:t>
      </w:r>
      <w:r>
        <w:rPr>
          <w:rFonts w:hint="eastAsia" w:ascii="仿宋_GB2312" w:hAnsi="仿宋_GB2312" w:eastAsia="仿宋_GB2312" w:cs="仿宋_GB2312"/>
          <w:kern w:val="2"/>
          <w:sz w:val="32"/>
          <w:szCs w:val="32"/>
          <w:lang w:val="en-US" w:eastAsia="zh-CN"/>
        </w:rPr>
        <w:t>分别</w:t>
      </w:r>
      <w:r>
        <w:rPr>
          <w:rFonts w:hint="eastAsia" w:ascii="仿宋_GB2312" w:hAnsi="仿宋_GB2312" w:eastAsia="仿宋_GB2312" w:cs="仿宋_GB2312"/>
          <w:kern w:val="2"/>
          <w:sz w:val="32"/>
          <w:szCs w:val="32"/>
        </w:rPr>
        <w:t>出具</w:t>
      </w:r>
      <w:r>
        <w:rPr>
          <w:rFonts w:hint="eastAsia" w:ascii="仿宋_GB2312" w:hAnsi="仿宋_GB2312" w:eastAsia="仿宋_GB2312" w:cs="仿宋_GB2312"/>
          <w:kern w:val="2"/>
          <w:sz w:val="32"/>
          <w:szCs w:val="32"/>
          <w:lang w:val="en-US" w:eastAsia="zh-CN"/>
        </w:rPr>
        <w:t>2个项目</w:t>
      </w:r>
      <w:r>
        <w:rPr>
          <w:rFonts w:hint="eastAsia" w:ascii="仿宋_GB2312" w:hAnsi="仿宋_GB2312" w:eastAsia="仿宋_GB2312" w:cs="仿宋_GB2312"/>
          <w:kern w:val="2"/>
          <w:sz w:val="32"/>
          <w:szCs w:val="32"/>
        </w:rPr>
        <w:t>的正式资产评估报告。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（三）委托项目信息：</w:t>
      </w:r>
    </w:p>
    <w:tbl>
      <w:tblPr>
        <w:tblStyle w:val="15"/>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365"/>
        <w:gridCol w:w="3810"/>
        <w:gridCol w:w="1577"/>
        <w:gridCol w:w="1363"/>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08" w:type="dxa"/>
            <w:vAlign w:val="center"/>
          </w:tcPr>
          <w:p>
            <w:pPr>
              <w:spacing w:line="360" w:lineRule="auto"/>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序号</w:t>
            </w:r>
          </w:p>
        </w:tc>
        <w:tc>
          <w:tcPr>
            <w:tcW w:w="1365" w:type="dxa"/>
            <w:vAlign w:val="center"/>
          </w:tcPr>
          <w:p>
            <w:pPr>
              <w:spacing w:line="360" w:lineRule="auto"/>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项目名称</w:t>
            </w:r>
          </w:p>
        </w:tc>
        <w:tc>
          <w:tcPr>
            <w:tcW w:w="3810" w:type="dxa"/>
            <w:vAlign w:val="center"/>
          </w:tcPr>
          <w:p>
            <w:pPr>
              <w:spacing w:line="360" w:lineRule="auto"/>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项目介绍</w:t>
            </w:r>
          </w:p>
        </w:tc>
        <w:tc>
          <w:tcPr>
            <w:tcW w:w="1577" w:type="dxa"/>
            <w:vAlign w:val="center"/>
          </w:tcPr>
          <w:p>
            <w:pPr>
              <w:spacing w:line="360" w:lineRule="auto"/>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项目面积</w:t>
            </w:r>
          </w:p>
        </w:tc>
        <w:tc>
          <w:tcPr>
            <w:tcW w:w="1363" w:type="dxa"/>
            <w:vAlign w:val="center"/>
          </w:tcPr>
          <w:p>
            <w:pPr>
              <w:spacing w:line="360" w:lineRule="auto"/>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评估需求</w:t>
            </w:r>
          </w:p>
        </w:tc>
        <w:tc>
          <w:tcPr>
            <w:tcW w:w="867" w:type="dxa"/>
            <w:vAlign w:val="center"/>
          </w:tcPr>
          <w:p>
            <w:pPr>
              <w:spacing w:line="360" w:lineRule="auto"/>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9" w:hRule="atLeast"/>
          <w:jc w:val="center"/>
        </w:trPr>
        <w:tc>
          <w:tcPr>
            <w:tcW w:w="808" w:type="dxa"/>
            <w:vAlign w:val="center"/>
          </w:tcPr>
          <w:p>
            <w:pPr>
              <w:spacing w:line="360" w:lineRule="auto"/>
              <w:jc w:val="center"/>
              <w:rPr>
                <w:rFonts w:hint="eastAsia" w:ascii="仿宋_GB2312" w:hAnsi="仿宋_GB2312" w:eastAsia="仿宋_GB2312" w:cs="仿宋_GB2312"/>
                <w:kern w:val="2"/>
                <w:szCs w:val="21"/>
              </w:rPr>
            </w:pPr>
            <w:r>
              <w:rPr>
                <w:rFonts w:hint="eastAsia" w:ascii="仿宋_GB2312" w:hAnsi="仿宋_GB2312" w:eastAsia="仿宋_GB2312" w:cs="仿宋_GB2312"/>
                <w:kern w:val="2"/>
                <w:szCs w:val="21"/>
              </w:rPr>
              <w:t>1</w:t>
            </w:r>
          </w:p>
        </w:tc>
        <w:tc>
          <w:tcPr>
            <w:tcW w:w="1365" w:type="dxa"/>
            <w:vAlign w:val="center"/>
          </w:tcPr>
          <w:p>
            <w:pPr>
              <w:spacing w:line="360" w:lineRule="auto"/>
              <w:jc w:val="center"/>
              <w:rPr>
                <w:rFonts w:hint="eastAsia" w:ascii="仿宋_GB2312" w:hAnsi="仿宋_GB2312" w:eastAsia="仿宋_GB2312" w:cs="仿宋_GB2312"/>
                <w:kern w:val="2"/>
                <w:szCs w:val="21"/>
              </w:rPr>
            </w:pPr>
            <w:r>
              <w:rPr>
                <w:rFonts w:hint="eastAsia" w:ascii="仿宋_GB2312" w:hAnsi="仿宋_GB2312" w:eastAsia="仿宋_GB2312" w:cs="仿宋_GB2312"/>
                <w:kern w:val="2"/>
                <w:szCs w:val="21"/>
              </w:rPr>
              <w:t>江东发展大厦项目</w:t>
            </w:r>
          </w:p>
        </w:tc>
        <w:tc>
          <w:tcPr>
            <w:tcW w:w="3810" w:type="dxa"/>
            <w:vAlign w:val="center"/>
          </w:tcPr>
          <w:p>
            <w:pPr>
              <w:spacing w:line="240" w:lineRule="auto"/>
              <w:jc w:val="left"/>
              <w:rPr>
                <w:rFonts w:hint="eastAsia" w:ascii="仿宋_GB2312" w:hAnsi="仿宋_GB2312" w:eastAsia="仿宋_GB2312" w:cs="仿宋_GB2312"/>
                <w:kern w:val="2"/>
                <w:szCs w:val="21"/>
              </w:rPr>
            </w:pPr>
            <w:r>
              <w:rPr>
                <w:rFonts w:hint="eastAsia" w:ascii="仿宋_GB2312" w:hAnsi="仿宋_GB2312" w:eastAsia="仿宋_GB2312" w:cs="仿宋_GB2312"/>
                <w:kern w:val="2"/>
                <w:szCs w:val="21"/>
              </w:rPr>
              <w:t>占地29亩，总建筑面积</w:t>
            </w:r>
            <w:bookmarkStart w:id="1" w:name="_GoBack"/>
            <w:bookmarkEnd w:id="1"/>
            <w:r>
              <w:rPr>
                <w:rFonts w:hint="eastAsia" w:ascii="仿宋_GB2312" w:hAnsi="仿宋_GB2312" w:eastAsia="仿宋_GB2312" w:cs="仿宋_GB2312"/>
                <w:kern w:val="2"/>
                <w:szCs w:val="21"/>
              </w:rPr>
              <w:t>8.</w:t>
            </w:r>
            <w:r>
              <w:rPr>
                <w:rFonts w:hint="eastAsia" w:ascii="仿宋_GB2312" w:hAnsi="仿宋_GB2312" w:eastAsia="仿宋_GB2312" w:cs="仿宋_GB2312"/>
                <w:kern w:val="2"/>
                <w:szCs w:val="21"/>
                <w:lang w:val="en-US" w:eastAsia="zh-CN"/>
              </w:rPr>
              <w:t>6</w:t>
            </w:r>
            <w:r>
              <w:rPr>
                <w:rFonts w:hint="eastAsia" w:ascii="仿宋_GB2312" w:hAnsi="仿宋_GB2312" w:eastAsia="仿宋_GB2312" w:cs="仿宋_GB2312"/>
                <w:kern w:val="2"/>
                <w:szCs w:val="21"/>
              </w:rPr>
              <w:t>万㎡，地上6层，地下2层；主要功能有办公、商业、新区政务中心及地下停车场等；已于2024年2月8日完成竣备验收并投入使用。以贸易类、金融类、现代服务业这三大领域为主导招商方向。</w:t>
            </w:r>
          </w:p>
        </w:tc>
        <w:tc>
          <w:tcPr>
            <w:tcW w:w="1577" w:type="dxa"/>
            <w:vAlign w:val="center"/>
          </w:tcPr>
          <w:p>
            <w:pPr>
              <w:spacing w:line="360" w:lineRule="auto"/>
              <w:jc w:val="center"/>
              <w:rPr>
                <w:rFonts w:hint="eastAsia" w:ascii="仿宋_GB2312" w:hAnsi="仿宋_GB2312" w:eastAsia="仿宋_GB2312" w:cs="仿宋_GB2312"/>
                <w:kern w:val="2"/>
                <w:szCs w:val="21"/>
                <w:highlight w:val="none"/>
                <w:lang w:eastAsia="zh"/>
              </w:rPr>
            </w:pPr>
            <w:r>
              <w:rPr>
                <w:rFonts w:hint="eastAsia" w:ascii="仿宋_GB2312" w:hAnsi="仿宋_GB2312" w:eastAsia="仿宋_GB2312" w:cs="仿宋_GB2312"/>
                <w:kern w:val="2"/>
                <w:szCs w:val="21"/>
                <w:highlight w:val="none"/>
              </w:rPr>
              <w:t>总建筑面积</w:t>
            </w:r>
            <w:r>
              <w:rPr>
                <w:rFonts w:hint="eastAsia" w:ascii="仿宋_GB2312" w:hAnsi="仿宋_GB2312" w:eastAsia="仿宋_GB2312" w:cs="仿宋_GB2312"/>
                <w:kern w:val="2"/>
                <w:szCs w:val="21"/>
                <w:highlight w:val="none"/>
                <w:lang w:val="en-US" w:eastAsia="zh-CN"/>
              </w:rPr>
              <w:t>约</w:t>
            </w:r>
            <w:r>
              <w:rPr>
                <w:rFonts w:hint="eastAsia" w:ascii="仿宋_GB2312" w:hAnsi="仿宋_GB2312" w:eastAsia="仿宋_GB2312" w:cs="仿宋_GB2312"/>
                <w:kern w:val="2"/>
                <w:szCs w:val="21"/>
                <w:highlight w:val="none"/>
              </w:rPr>
              <w:t>8.</w:t>
            </w:r>
            <w:r>
              <w:rPr>
                <w:rFonts w:hint="eastAsia" w:ascii="仿宋_GB2312" w:hAnsi="仿宋_GB2312" w:eastAsia="仿宋_GB2312" w:cs="仿宋_GB2312"/>
                <w:kern w:val="2"/>
                <w:szCs w:val="21"/>
                <w:highlight w:val="none"/>
                <w:lang w:val="en-US" w:eastAsia="zh-CN"/>
              </w:rPr>
              <w:t>6</w:t>
            </w:r>
            <w:r>
              <w:rPr>
                <w:rFonts w:hint="eastAsia" w:ascii="仿宋_GB2312" w:hAnsi="仿宋_GB2312" w:eastAsia="仿宋_GB2312" w:cs="仿宋_GB2312"/>
                <w:kern w:val="2"/>
                <w:szCs w:val="21"/>
                <w:highlight w:val="none"/>
              </w:rPr>
              <w:t>万㎡</w:t>
            </w:r>
            <w:r>
              <w:rPr>
                <w:rFonts w:hint="eastAsia" w:ascii="仿宋_GB2312" w:hAnsi="仿宋_GB2312" w:eastAsia="仿宋_GB2312" w:cs="仿宋_GB2312"/>
                <w:kern w:val="2"/>
                <w:szCs w:val="21"/>
                <w:highlight w:val="none"/>
                <w:lang w:eastAsia="zh-CN"/>
              </w:rPr>
              <w:t>，</w:t>
            </w:r>
            <w:r>
              <w:rPr>
                <w:rFonts w:hint="eastAsia" w:ascii="仿宋_GB2312" w:hAnsi="仿宋_GB2312" w:eastAsia="仿宋_GB2312" w:cs="仿宋_GB2312"/>
                <w:kern w:val="2"/>
                <w:szCs w:val="21"/>
                <w:highlight w:val="none"/>
              </w:rPr>
              <w:t>其中地上建筑面积49957.58㎡，地下建筑面积36374.87㎡。</w:t>
            </w:r>
          </w:p>
        </w:tc>
        <w:tc>
          <w:tcPr>
            <w:tcW w:w="1363" w:type="dxa"/>
            <w:vAlign w:val="center"/>
          </w:tcPr>
          <w:p>
            <w:pPr>
              <w:spacing w:line="360" w:lineRule="auto"/>
              <w:jc w:val="center"/>
              <w:rPr>
                <w:rFonts w:hint="eastAsia" w:ascii="仿宋_GB2312" w:hAnsi="仿宋_GB2312" w:eastAsia="仿宋_GB2312" w:cs="仿宋_GB2312"/>
                <w:kern w:val="2"/>
                <w:szCs w:val="21"/>
              </w:rPr>
            </w:pPr>
            <w:r>
              <w:rPr>
                <w:rFonts w:hint="eastAsia" w:ascii="仿宋_GB2312" w:hAnsi="仿宋_GB2312" w:eastAsia="仿宋_GB2312" w:cs="仿宋_GB2312"/>
                <w:kern w:val="2"/>
                <w:szCs w:val="21"/>
              </w:rPr>
              <w:t>一房一价</w:t>
            </w:r>
            <w:r>
              <w:rPr>
                <w:rFonts w:hint="eastAsia" w:ascii="仿宋_GB2312" w:hAnsi="仿宋_GB2312" w:eastAsia="仿宋_GB2312" w:cs="仿宋_GB2312"/>
                <w:kern w:val="2"/>
                <w:szCs w:val="21"/>
                <w:lang w:eastAsia="zh-CN"/>
              </w:rPr>
              <w:t>、</w:t>
            </w:r>
            <w:r>
              <w:rPr>
                <w:rFonts w:hint="eastAsia" w:ascii="仿宋_GB2312" w:hAnsi="仿宋_GB2312" w:eastAsia="仿宋_GB2312" w:cs="仿宋_GB2312"/>
                <w:kern w:val="2"/>
                <w:szCs w:val="21"/>
                <w:lang w:val="en-US" w:eastAsia="zh-CN"/>
              </w:rPr>
              <w:t>一层一价、一栋一价</w:t>
            </w:r>
            <w:r>
              <w:rPr>
                <w:rFonts w:hint="eastAsia" w:ascii="仿宋_GB2312" w:hAnsi="仿宋_GB2312" w:eastAsia="仿宋_GB2312" w:cs="仿宋_GB2312"/>
                <w:kern w:val="2"/>
                <w:szCs w:val="21"/>
              </w:rPr>
              <w:t>（</w:t>
            </w:r>
            <w:r>
              <w:rPr>
                <w:rFonts w:hint="eastAsia" w:ascii="仿宋_GB2312" w:hAnsi="仿宋_GB2312" w:eastAsia="仿宋_GB2312" w:cs="仿宋_GB2312"/>
                <w:kern w:val="2"/>
                <w:szCs w:val="21"/>
                <w:lang w:val="en-US" w:eastAsia="zh-CN"/>
              </w:rPr>
              <w:t>售</w:t>
            </w:r>
            <w:r>
              <w:rPr>
                <w:rFonts w:hint="eastAsia" w:ascii="仿宋_GB2312" w:hAnsi="仿宋_GB2312" w:eastAsia="仿宋_GB2312" w:cs="仿宋_GB2312"/>
                <w:kern w:val="2"/>
                <w:szCs w:val="21"/>
              </w:rPr>
              <w:t>）</w:t>
            </w:r>
          </w:p>
        </w:tc>
        <w:tc>
          <w:tcPr>
            <w:tcW w:w="867" w:type="dxa"/>
            <w:vAlign w:val="center"/>
          </w:tcPr>
          <w:p>
            <w:pPr>
              <w:spacing w:line="360" w:lineRule="auto"/>
              <w:jc w:val="center"/>
              <w:rPr>
                <w:rFonts w:hint="eastAsia" w:ascii="仿宋_GB2312" w:hAnsi="仿宋_GB2312" w:eastAsia="仿宋_GB2312" w:cs="仿宋_GB2312"/>
                <w:kern w:val="2"/>
                <w:szCs w:val="21"/>
              </w:rPr>
            </w:pPr>
            <w:r>
              <w:rPr>
                <w:rFonts w:hint="eastAsia" w:ascii="仿宋_GB2312" w:hAnsi="仿宋_GB2312" w:eastAsia="仿宋_GB2312" w:cs="仿宋_GB2312"/>
                <w:kern w:val="2"/>
                <w:szCs w:val="21"/>
              </w:rPr>
              <w:t>2026年评估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08" w:type="dxa"/>
            <w:vAlign w:val="center"/>
          </w:tcPr>
          <w:p>
            <w:pPr>
              <w:spacing w:line="360" w:lineRule="auto"/>
              <w:jc w:val="center"/>
              <w:rPr>
                <w:rFonts w:hint="eastAsia" w:ascii="仿宋_GB2312" w:hAnsi="仿宋_GB2312" w:eastAsia="仿宋_GB2312" w:cs="仿宋_GB2312"/>
                <w:kern w:val="2"/>
                <w:szCs w:val="21"/>
              </w:rPr>
            </w:pPr>
            <w:r>
              <w:rPr>
                <w:rFonts w:hint="eastAsia" w:ascii="仿宋_GB2312" w:hAnsi="仿宋_GB2312" w:eastAsia="仿宋_GB2312" w:cs="仿宋_GB2312"/>
                <w:kern w:val="2"/>
                <w:szCs w:val="21"/>
              </w:rPr>
              <w:t>2</w:t>
            </w:r>
          </w:p>
        </w:tc>
        <w:tc>
          <w:tcPr>
            <w:tcW w:w="1365" w:type="dxa"/>
            <w:vAlign w:val="center"/>
          </w:tcPr>
          <w:p>
            <w:pPr>
              <w:spacing w:line="360" w:lineRule="auto"/>
              <w:jc w:val="center"/>
              <w:rPr>
                <w:rFonts w:hint="eastAsia" w:ascii="仿宋_GB2312" w:hAnsi="仿宋_GB2312" w:eastAsia="仿宋_GB2312" w:cs="仿宋_GB2312"/>
                <w:kern w:val="2"/>
                <w:szCs w:val="21"/>
              </w:rPr>
            </w:pPr>
            <w:r>
              <w:rPr>
                <w:rFonts w:hint="eastAsia" w:ascii="仿宋_GB2312" w:hAnsi="仿宋_GB2312" w:eastAsia="仿宋_GB2312" w:cs="仿宋_GB2312"/>
                <w:kern w:val="2"/>
                <w:szCs w:val="21"/>
              </w:rPr>
              <w:t>江东天地项目</w:t>
            </w:r>
          </w:p>
        </w:tc>
        <w:tc>
          <w:tcPr>
            <w:tcW w:w="3810" w:type="dxa"/>
            <w:vAlign w:val="center"/>
          </w:tcPr>
          <w:p>
            <w:pPr>
              <w:spacing w:line="240" w:lineRule="auto"/>
              <w:jc w:val="left"/>
              <w:rPr>
                <w:rFonts w:hint="eastAsia" w:ascii="仿宋_GB2312" w:hAnsi="仿宋_GB2312" w:eastAsia="仿宋_GB2312" w:cs="仿宋_GB2312"/>
                <w:kern w:val="2"/>
                <w:szCs w:val="21"/>
              </w:rPr>
            </w:pPr>
            <w:r>
              <w:rPr>
                <w:rFonts w:hint="eastAsia" w:ascii="仿宋_GB2312" w:hAnsi="仿宋_GB2312" w:eastAsia="仿宋_GB2312" w:cs="仿宋_GB2312"/>
                <w:kern w:val="2"/>
                <w:szCs w:val="21"/>
              </w:rPr>
              <w:t>占地约79.2亩，总建筑面积约13.4万㎡，地上5-11层，地下2层；主要功能有办公、商业等；已于2025年6月18日完成竣备验收并投入使用。江东天地作为江东新区首个商办综合体，聚焦“商业+产业”双轮驱动。商业定位“自贸港青年创新人才聚集地”；商办板块以贸易、金融与现代服务为主导方向，构建产业园区与商业综合体的联动发展模式，赋能江东新区招商引资与自贸港建设。</w:t>
            </w:r>
          </w:p>
        </w:tc>
        <w:tc>
          <w:tcPr>
            <w:tcW w:w="1577" w:type="dxa"/>
            <w:vAlign w:val="center"/>
          </w:tcPr>
          <w:p>
            <w:pPr>
              <w:spacing w:line="360" w:lineRule="auto"/>
              <w:jc w:val="center"/>
              <w:rPr>
                <w:rFonts w:hint="eastAsia" w:ascii="仿宋_GB2312" w:hAnsi="仿宋_GB2312" w:eastAsia="仿宋_GB2312" w:cs="仿宋_GB2312"/>
                <w:kern w:val="2"/>
                <w:szCs w:val="21"/>
                <w:highlight w:val="none"/>
                <w:lang w:eastAsia="zh-CN"/>
              </w:rPr>
            </w:pPr>
            <w:r>
              <w:rPr>
                <w:rFonts w:hint="eastAsia" w:ascii="仿宋_GB2312" w:hAnsi="仿宋_GB2312" w:eastAsia="仿宋_GB2312" w:cs="仿宋_GB2312"/>
                <w:kern w:val="2"/>
                <w:szCs w:val="21"/>
                <w:highlight w:val="none"/>
              </w:rPr>
              <w:t>总建筑面积约13.4万㎡</w:t>
            </w:r>
            <w:r>
              <w:rPr>
                <w:rFonts w:hint="eastAsia" w:ascii="仿宋_GB2312" w:hAnsi="仿宋_GB2312" w:eastAsia="仿宋_GB2312" w:cs="仿宋_GB2312"/>
                <w:kern w:val="2"/>
                <w:szCs w:val="21"/>
                <w:highlight w:val="none"/>
                <w:lang w:eastAsia="zh-CN"/>
              </w:rPr>
              <w:t>，</w:t>
            </w:r>
            <w:r>
              <w:rPr>
                <w:rFonts w:hint="eastAsia" w:ascii="仿宋_GB2312" w:hAnsi="仿宋_GB2312" w:eastAsia="仿宋_GB2312" w:cs="仿宋_GB2312"/>
                <w:kern w:val="2"/>
                <w:szCs w:val="21"/>
                <w:highlight w:val="none"/>
              </w:rPr>
              <w:t>其中地上建筑面积68232.76㎡，地下建筑面积66170.94㎡</w:t>
            </w:r>
            <w:r>
              <w:rPr>
                <w:rFonts w:hint="eastAsia" w:ascii="仿宋_GB2312" w:hAnsi="仿宋_GB2312" w:eastAsia="仿宋_GB2312" w:cs="仿宋_GB2312"/>
                <w:kern w:val="2"/>
                <w:szCs w:val="21"/>
                <w:highlight w:val="none"/>
                <w:lang w:eastAsia="zh-CN"/>
              </w:rPr>
              <w:t>。</w:t>
            </w:r>
          </w:p>
        </w:tc>
        <w:tc>
          <w:tcPr>
            <w:tcW w:w="1363" w:type="dxa"/>
            <w:vAlign w:val="center"/>
          </w:tcPr>
          <w:p>
            <w:pPr>
              <w:spacing w:line="360" w:lineRule="auto"/>
              <w:jc w:val="center"/>
              <w:rPr>
                <w:rFonts w:hint="eastAsia" w:ascii="仿宋_GB2312" w:hAnsi="仿宋_GB2312" w:eastAsia="仿宋_GB2312" w:cs="仿宋_GB2312"/>
                <w:kern w:val="2"/>
                <w:szCs w:val="21"/>
              </w:rPr>
            </w:pPr>
            <w:r>
              <w:rPr>
                <w:rFonts w:hint="eastAsia" w:ascii="仿宋_GB2312" w:hAnsi="仿宋_GB2312" w:eastAsia="仿宋_GB2312" w:cs="仿宋_GB2312"/>
                <w:kern w:val="2"/>
                <w:szCs w:val="21"/>
              </w:rPr>
              <w:t>一房一价</w:t>
            </w:r>
            <w:r>
              <w:rPr>
                <w:rFonts w:hint="eastAsia" w:ascii="仿宋_GB2312" w:hAnsi="仿宋_GB2312" w:eastAsia="仿宋_GB2312" w:cs="仿宋_GB2312"/>
                <w:kern w:val="2"/>
                <w:szCs w:val="21"/>
                <w:lang w:eastAsia="zh-CN"/>
              </w:rPr>
              <w:t>、</w:t>
            </w:r>
            <w:r>
              <w:rPr>
                <w:rFonts w:hint="eastAsia" w:ascii="仿宋_GB2312" w:hAnsi="仿宋_GB2312" w:eastAsia="仿宋_GB2312" w:cs="仿宋_GB2312"/>
                <w:kern w:val="2"/>
                <w:szCs w:val="21"/>
                <w:lang w:val="en-US" w:eastAsia="zh-CN"/>
              </w:rPr>
              <w:t>一层一价、一栋一价</w:t>
            </w:r>
            <w:r>
              <w:rPr>
                <w:rFonts w:hint="eastAsia" w:ascii="仿宋_GB2312" w:hAnsi="仿宋_GB2312" w:eastAsia="仿宋_GB2312" w:cs="仿宋_GB2312"/>
                <w:kern w:val="2"/>
                <w:szCs w:val="21"/>
              </w:rPr>
              <w:t>（</w:t>
            </w:r>
            <w:r>
              <w:rPr>
                <w:rFonts w:hint="eastAsia" w:ascii="仿宋_GB2312" w:hAnsi="仿宋_GB2312" w:eastAsia="仿宋_GB2312" w:cs="仿宋_GB2312"/>
                <w:kern w:val="2"/>
                <w:szCs w:val="21"/>
                <w:lang w:val="en-US" w:eastAsia="zh-CN"/>
              </w:rPr>
              <w:t>售</w:t>
            </w:r>
            <w:r>
              <w:rPr>
                <w:rFonts w:hint="eastAsia" w:ascii="仿宋_GB2312" w:hAnsi="仿宋_GB2312" w:eastAsia="仿宋_GB2312" w:cs="仿宋_GB2312"/>
                <w:kern w:val="2"/>
                <w:szCs w:val="21"/>
              </w:rPr>
              <w:t>）</w:t>
            </w:r>
          </w:p>
        </w:tc>
        <w:tc>
          <w:tcPr>
            <w:tcW w:w="867" w:type="dxa"/>
            <w:vAlign w:val="center"/>
          </w:tcPr>
          <w:p>
            <w:pPr>
              <w:spacing w:line="360" w:lineRule="auto"/>
              <w:rPr>
                <w:rFonts w:hint="eastAsia" w:ascii="仿宋_GB2312" w:hAnsi="仿宋_GB2312" w:eastAsia="仿宋_GB2312" w:cs="仿宋_GB2312"/>
                <w:kern w:val="2"/>
                <w:szCs w:val="21"/>
              </w:rPr>
            </w:pPr>
            <w:r>
              <w:rPr>
                <w:rFonts w:hint="eastAsia" w:ascii="仿宋_GB2312" w:hAnsi="仿宋_GB2312" w:eastAsia="仿宋_GB2312" w:cs="仿宋_GB2312"/>
                <w:kern w:val="2"/>
                <w:szCs w:val="21"/>
              </w:rPr>
              <w:t>2026年评估</w:t>
            </w:r>
          </w:p>
        </w:tc>
      </w:tr>
    </w:tbl>
    <w:p>
      <w:pPr>
        <w:spacing w:line="560" w:lineRule="exact"/>
        <w:ind w:firstLine="640" w:firstLineChars="200"/>
        <w:rPr>
          <w:rFonts w:hint="eastAsia" w:ascii="仿宋_GB2312" w:hAnsi="仿宋_GB2312" w:eastAsia="仿宋_GB2312" w:cs="仿宋_GB2312"/>
          <w:kern w:val="2"/>
          <w:sz w:val="32"/>
          <w:szCs w:val="32"/>
          <w:lang w:eastAsia="zh"/>
        </w:rPr>
      </w:pPr>
      <w:r>
        <w:rPr>
          <w:rFonts w:hint="eastAsia" w:ascii="仿宋_GB2312" w:hAnsi="仿宋_GB2312" w:eastAsia="仿宋_GB2312" w:cs="仿宋_GB2312"/>
          <w:kern w:val="2"/>
          <w:sz w:val="32"/>
          <w:szCs w:val="32"/>
          <w:lang w:eastAsia="zh"/>
        </w:rPr>
        <w:t>备注：以上项目</w:t>
      </w:r>
      <w:r>
        <w:rPr>
          <w:rFonts w:hint="eastAsia" w:ascii="仿宋_GB2312" w:hAnsi="仿宋_GB2312" w:eastAsia="仿宋_GB2312" w:cs="仿宋_GB2312"/>
          <w:kern w:val="2"/>
          <w:sz w:val="32"/>
          <w:szCs w:val="32"/>
          <w:lang w:val="en-US" w:eastAsia="zh-CN"/>
        </w:rPr>
        <w:t>实际评估面积以实际发生工作量为准，评估时间</w:t>
      </w:r>
      <w:r>
        <w:rPr>
          <w:rFonts w:hint="eastAsia" w:ascii="仿宋_GB2312" w:hAnsi="仿宋_GB2312" w:eastAsia="仿宋_GB2312" w:cs="仿宋_GB2312"/>
          <w:kern w:val="2"/>
          <w:sz w:val="32"/>
          <w:szCs w:val="32"/>
          <w:lang w:eastAsia="zh"/>
        </w:rPr>
        <w:t>将依据工作情况推进开展，不一定按照备注栏所标注的时间进行。</w:t>
      </w:r>
    </w:p>
    <w:p>
      <w:pPr>
        <w:spacing w:line="56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二、服务要求</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针对每个委托项目，</w:t>
      </w:r>
      <w:r>
        <w:rPr>
          <w:rFonts w:hint="eastAsia" w:ascii="仿宋_GB2312" w:hAnsi="仿宋_GB2312" w:eastAsia="仿宋_GB2312" w:cs="仿宋_GB2312"/>
          <w:kern w:val="2"/>
          <w:sz w:val="32"/>
          <w:szCs w:val="32"/>
          <w:lang w:eastAsia="zh-CN"/>
        </w:rPr>
        <w:t>乙方应指定至少两名具备相应专业类别评估资格的评估师承办，并在出具的正式资产评估报告中由承办评估师签名并加盖评估机构公章。</w:t>
      </w:r>
      <w:r>
        <w:rPr>
          <w:rFonts w:hint="eastAsia" w:ascii="仿宋_GB2312" w:hAnsi="仿宋_GB2312" w:eastAsia="仿宋_GB2312" w:cs="仿宋_GB2312"/>
          <w:kern w:val="2"/>
          <w:sz w:val="32"/>
          <w:szCs w:val="32"/>
        </w:rPr>
        <w:t>乙方应在收到甲方一提供的该项目完整资料后[</w:t>
      </w:r>
      <w:r>
        <w:rPr>
          <w:rFonts w:hint="eastAsia" w:ascii="仿宋_GB2312" w:hAnsi="仿宋_GB2312" w:eastAsia="仿宋_GB2312" w:cs="仿宋_GB2312"/>
          <w:kern w:val="2"/>
          <w:sz w:val="32"/>
          <w:szCs w:val="32"/>
          <w:lang w:val="en-US" w:eastAsia="zh-CN"/>
        </w:rPr>
        <w:t>14</w:t>
      </w:r>
      <w:r>
        <w:rPr>
          <w:rFonts w:hint="eastAsia" w:ascii="仿宋_GB2312" w:hAnsi="仿宋_GB2312" w:eastAsia="仿宋_GB2312" w:cs="仿宋_GB2312"/>
          <w:kern w:val="2"/>
          <w:sz w:val="32"/>
          <w:szCs w:val="32"/>
        </w:rPr>
        <w:t>]个工作</w:t>
      </w:r>
      <w:r>
        <w:rPr>
          <w:rFonts w:hint="eastAsia" w:ascii="仿宋_GB2312" w:hAnsi="仿宋_GB2312" w:eastAsia="仿宋_GB2312" w:cs="仿宋_GB2312"/>
          <w:kern w:val="2"/>
          <w:sz w:val="32"/>
          <w:szCs w:val="32"/>
          <w:lang w:eastAsia="zh-CN"/>
        </w:rPr>
        <w:t>日内</w:t>
      </w:r>
      <w:r>
        <w:rPr>
          <w:rFonts w:hint="eastAsia" w:ascii="仿宋_GB2312" w:hAnsi="仿宋_GB2312" w:eastAsia="仿宋_GB2312" w:cs="仿宋_GB2312"/>
          <w:kern w:val="2"/>
          <w:sz w:val="32"/>
          <w:szCs w:val="32"/>
        </w:rPr>
        <w:t>提交资产评估报告初稿，甲方一或甲方二提出修改意见的，乙方应在收到修改意见后3个工作日内修改完善。资产评估报告获得委托人审核通过后，资产评估机构出具正式的资产评估报告，可采取邮寄的形式向委托人提交正式的资产评估报告书（纸质盖章版一式陆份，其中甲方一</w:t>
      </w:r>
      <w:r>
        <w:rPr>
          <w:rFonts w:ascii="仿宋_GB2312" w:hAnsi="仿宋_GB2312" w:eastAsia="仿宋_GB2312" w:cs="仿宋_GB2312"/>
          <w:kern w:val="2"/>
          <w:sz w:val="32"/>
          <w:szCs w:val="32"/>
        </w:rPr>
        <w:t>叁</w:t>
      </w:r>
      <w:r>
        <w:rPr>
          <w:rFonts w:hint="eastAsia" w:ascii="仿宋_GB2312" w:hAnsi="仿宋_GB2312" w:eastAsia="仿宋_GB2312" w:cs="仿宋_GB2312"/>
          <w:kern w:val="2"/>
          <w:sz w:val="32"/>
          <w:szCs w:val="32"/>
        </w:rPr>
        <w:t>份、甲方二</w:t>
      </w:r>
      <w:r>
        <w:rPr>
          <w:rFonts w:ascii="仿宋_GB2312" w:hAnsi="仿宋_GB2312" w:eastAsia="仿宋_GB2312" w:cs="仿宋_GB2312"/>
          <w:kern w:val="2"/>
          <w:sz w:val="32"/>
          <w:szCs w:val="32"/>
        </w:rPr>
        <w:t>叁</w:t>
      </w:r>
      <w:r>
        <w:rPr>
          <w:rFonts w:hint="eastAsia" w:ascii="仿宋_GB2312" w:hAnsi="仿宋_GB2312" w:eastAsia="仿宋_GB2312" w:cs="仿宋_GB2312"/>
          <w:kern w:val="2"/>
          <w:sz w:val="32"/>
          <w:szCs w:val="32"/>
        </w:rPr>
        <w:t>份；电子版一式壹份，分别发送</w:t>
      </w:r>
      <w:r>
        <w:rPr>
          <w:rFonts w:ascii="仿宋_GB2312" w:hAnsi="仿宋_GB2312" w:eastAsia="仿宋_GB2312" w:cs="仿宋_GB2312"/>
          <w:kern w:val="2"/>
          <w:sz w:val="32"/>
          <w:szCs w:val="32"/>
        </w:rPr>
        <w:t>至甲方一和甲方二指定邮箱</w:t>
      </w:r>
      <w:r>
        <w:rPr>
          <w:rFonts w:hint="eastAsia" w:ascii="仿宋_GB2312" w:hAnsi="仿宋_GB2312" w:eastAsia="仿宋_GB2312" w:cs="仿宋_GB2312"/>
          <w:kern w:val="2"/>
          <w:sz w:val="32"/>
          <w:szCs w:val="32"/>
        </w:rPr>
        <w:t>）。若因不可抗力因素的影响需要延长或提前完成评估工作，三方应协商解决。</w:t>
      </w:r>
    </w:p>
    <w:p>
      <w:pPr>
        <w:spacing w:line="560" w:lineRule="exact"/>
        <w:ind w:firstLine="640" w:firstLineChars="200"/>
        <w:rPr>
          <w:rFonts w:hint="eastAsia" w:ascii="仿宋_GB2312" w:hAnsi="仿宋_GB2312" w:eastAsia="仿宋_GB2312" w:cs="仿宋_GB2312"/>
          <w:b/>
          <w:bCs/>
          <w:kern w:val="2"/>
          <w:sz w:val="32"/>
          <w:szCs w:val="32"/>
        </w:rPr>
      </w:pPr>
      <w:r>
        <w:rPr>
          <w:rFonts w:hint="eastAsia" w:ascii="黑体" w:hAnsi="黑体" w:eastAsia="黑体" w:cs="黑体"/>
          <w:kern w:val="2"/>
          <w:sz w:val="32"/>
          <w:szCs w:val="32"/>
        </w:rPr>
        <w:t>三、服务费用及支付方式</w:t>
      </w:r>
    </w:p>
    <w:p>
      <w:pPr>
        <w:numPr>
          <w:ilvl w:val="255"/>
          <w:numId w:val="0"/>
        </w:num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（一）三方确定评估服务费总额，其中包含但不限于全部税费、评估专业人员的差旅食宿费用等完成本合同咨询服务工作所需要的一切费用。除三方另有约定外，甲方无需支付其他额外费用。</w:t>
      </w:r>
    </w:p>
    <w:p>
      <w:pPr>
        <w:numPr>
          <w:ilvl w:val="255"/>
          <w:numId w:val="0"/>
        </w:numPr>
        <w:spacing w:line="560" w:lineRule="exact"/>
        <w:ind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（二）费用的支付：乙方出具正式报告并经</w:t>
      </w:r>
      <w:r>
        <w:rPr>
          <w:rFonts w:hint="eastAsia" w:ascii="仿宋_GB2312" w:hAnsi="仿宋_GB2312" w:eastAsia="仿宋_GB2312" w:cs="仿宋_GB2312"/>
          <w:kern w:val="2"/>
          <w:sz w:val="32"/>
          <w:szCs w:val="32"/>
          <w:lang w:val="en-US" w:eastAsia="zh-CN"/>
        </w:rPr>
        <w:t>甲方一、甲方二分别</w:t>
      </w:r>
      <w:r>
        <w:rPr>
          <w:rFonts w:hint="eastAsia" w:ascii="仿宋_GB2312" w:hAnsi="仿宋_GB2312" w:eastAsia="仿宋_GB2312" w:cs="仿宋_GB2312"/>
          <w:kern w:val="2"/>
          <w:sz w:val="32"/>
          <w:szCs w:val="32"/>
        </w:rPr>
        <w:t>书面认可后10个工作日内，向甲方提交付款申请及增值税专用发票；甲方收到合格申请及</w:t>
      </w:r>
      <w:r>
        <w:rPr>
          <w:rFonts w:hint="eastAsia" w:ascii="仿宋_GB2312" w:hAnsi="仿宋_GB2312" w:eastAsia="仿宋_GB2312" w:cs="仿宋_GB2312"/>
          <w:kern w:val="2"/>
          <w:sz w:val="32"/>
          <w:szCs w:val="32"/>
          <w:lang w:val="en-US" w:eastAsia="zh-CN"/>
        </w:rPr>
        <w:t>等额合法有效的</w:t>
      </w:r>
      <w:r>
        <w:rPr>
          <w:rFonts w:hint="eastAsia" w:ascii="仿宋_GB2312" w:hAnsi="仿宋_GB2312" w:eastAsia="仿宋_GB2312" w:cs="仿宋_GB2312"/>
          <w:kern w:val="2"/>
          <w:sz w:val="32"/>
          <w:szCs w:val="32"/>
        </w:rPr>
        <w:t>发票后</w:t>
      </w:r>
      <w:r>
        <w:rPr>
          <w:rFonts w:hint="eastAsia" w:ascii="仿宋_GB2312" w:hAnsi="仿宋_GB2312" w:eastAsia="仿宋_GB2312" w:cs="仿宋_GB2312"/>
          <w:kern w:val="2"/>
          <w:sz w:val="32"/>
          <w:szCs w:val="32"/>
          <w:lang w:val="en-US" w:eastAsia="zh-CN"/>
        </w:rPr>
        <w:t>30</w:t>
      </w:r>
      <w:r>
        <w:rPr>
          <w:rFonts w:hint="eastAsia" w:ascii="仿宋_GB2312" w:hAnsi="仿宋_GB2312" w:eastAsia="仿宋_GB2312" w:cs="仿宋_GB2312"/>
          <w:kern w:val="2"/>
          <w:sz w:val="32"/>
          <w:szCs w:val="32"/>
        </w:rPr>
        <w:t>个工作日内支付。甲方一、甲方二各向乙方支付两项目合计结算价的50%（含税价）。</w:t>
      </w:r>
    </w:p>
    <w:p>
      <w:pPr>
        <w:numPr>
          <w:ilvl w:val="255"/>
          <w:numId w:val="0"/>
        </w:numPr>
        <w:spacing w:line="560" w:lineRule="exact"/>
        <w:ind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具体支付明细如下：</w:t>
      </w:r>
    </w:p>
    <w:p>
      <w:pPr>
        <w:numPr>
          <w:ilvl w:val="255"/>
          <w:numId w:val="0"/>
        </w:numPr>
        <w:spacing w:line="560" w:lineRule="exact"/>
        <w:ind w:firstLine="640" w:firstLineChars="200"/>
        <w:jc w:val="left"/>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本项目采用固定包干总价。</w:t>
      </w:r>
    </w:p>
    <w:p>
      <w:pPr>
        <w:numPr>
          <w:ilvl w:val="255"/>
          <w:numId w:val="0"/>
        </w:numPr>
        <w:spacing w:line="560" w:lineRule="exact"/>
        <w:ind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结算总价（含税）：人民币</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rPr>
        <w:t>元（大写</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u w:val="single"/>
          <w:lang w:val="en-US" w:eastAsia="zh-CN"/>
        </w:rPr>
        <w:t xml:space="preserve">     </w:t>
      </w:r>
      <w:r>
        <w:rPr>
          <w:rFonts w:hint="eastAsia" w:ascii="仿宋_GB2312" w:hAnsi="仿宋_GB2312" w:eastAsia="仿宋_GB2312" w:cs="仿宋_GB2312"/>
          <w:kern w:val="2"/>
          <w:sz w:val="32"/>
          <w:szCs w:val="32"/>
        </w:rPr>
        <w:t>元整），增值税税率为6%，其中不含税金额为</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元，税额为</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元。</w:t>
      </w:r>
    </w:p>
    <w:p>
      <w:pPr>
        <w:numPr>
          <w:ilvl w:val="255"/>
          <w:numId w:val="0"/>
        </w:numPr>
        <w:spacing w:line="560" w:lineRule="exact"/>
        <w:ind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甲方一支付金额（含税）：人民币</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元（大写：</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元整）；</w:t>
      </w:r>
    </w:p>
    <w:p>
      <w:pPr>
        <w:numPr>
          <w:ilvl w:val="255"/>
          <w:numId w:val="0"/>
        </w:numPr>
        <w:spacing w:line="560" w:lineRule="exact"/>
        <w:ind w:firstLine="640" w:firstLineChars="200"/>
        <w:jc w:val="left"/>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甲方二支付金额（含税）：人民币</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元（大写：</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元整）</w:t>
      </w:r>
      <w:r>
        <w:rPr>
          <w:rFonts w:hint="eastAsia" w:ascii="仿宋_GB2312" w:hAnsi="仿宋_GB2312" w:eastAsia="仿宋_GB2312" w:cs="仿宋_GB2312"/>
          <w:kern w:val="2"/>
          <w:sz w:val="32"/>
          <w:szCs w:val="32"/>
          <w:lang w:eastAsia="zh-CN"/>
        </w:rPr>
        <w:t>。</w:t>
      </w:r>
    </w:p>
    <w:p>
      <w:pPr>
        <w:numPr>
          <w:ilvl w:val="255"/>
          <w:numId w:val="0"/>
        </w:numPr>
        <w:spacing w:line="560" w:lineRule="exact"/>
        <w:ind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乙方</w:t>
      </w:r>
      <w:r>
        <w:rPr>
          <w:rFonts w:hint="eastAsia" w:ascii="仿宋_GB2312" w:hAnsi="仿宋_GB2312" w:eastAsia="仿宋_GB2312" w:cs="仿宋_GB2312"/>
          <w:kern w:val="2"/>
          <w:sz w:val="32"/>
          <w:szCs w:val="32"/>
          <w:lang w:val="en-US" w:eastAsia="zh-CN"/>
        </w:rPr>
        <w:t>须</w:t>
      </w:r>
      <w:r>
        <w:rPr>
          <w:rFonts w:hint="eastAsia" w:ascii="仿宋_GB2312" w:hAnsi="仿宋_GB2312" w:eastAsia="仿宋_GB2312" w:cs="仿宋_GB2312"/>
          <w:kern w:val="2"/>
          <w:sz w:val="32"/>
          <w:szCs w:val="32"/>
        </w:rPr>
        <w:t>提供按国家相应规定开具对应税率的</w:t>
      </w:r>
      <w:r>
        <w:rPr>
          <w:rFonts w:hint="eastAsia" w:ascii="仿宋_GB2312" w:hAnsi="仿宋_GB2312" w:eastAsia="仿宋_GB2312" w:cs="仿宋_GB2312"/>
          <w:kern w:val="2"/>
          <w:sz w:val="32"/>
          <w:szCs w:val="32"/>
          <w:lang w:val="en-US" w:eastAsia="zh-CN"/>
        </w:rPr>
        <w:t>合法有效的</w:t>
      </w:r>
      <w:r>
        <w:rPr>
          <w:rFonts w:hint="eastAsia" w:ascii="仿宋_GB2312" w:hAnsi="仿宋_GB2312" w:eastAsia="仿宋_GB2312" w:cs="仿宋_GB2312"/>
          <w:kern w:val="2"/>
          <w:sz w:val="32"/>
          <w:szCs w:val="32"/>
        </w:rPr>
        <w:t>增值税专用发票（税费由乙方承担）。</w:t>
      </w:r>
    </w:p>
    <w:p>
      <w:pPr>
        <w:numPr>
          <w:ilvl w:val="255"/>
          <w:numId w:val="0"/>
        </w:numPr>
        <w:spacing w:line="560" w:lineRule="exact"/>
        <w:ind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（三）如因乙方提供发票延迟或不符合合同约定，甲方有权延迟付款且不视为违约，并不承担任何违约责任。</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如遇国家税收政策调整导致合同适用税率变化，三方同意按调整后的税率执行，合同金额相应变更</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按照不含税价不变，重新计算含税价的方式计算。</w:t>
      </w:r>
    </w:p>
    <w:p>
      <w:pPr>
        <w:spacing w:line="560" w:lineRule="exact"/>
        <w:ind w:firstLine="694" w:firstLineChars="21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（四）乙方收款账户信息如下：</w:t>
      </w:r>
    </w:p>
    <w:p>
      <w:pPr>
        <w:spacing w:line="560" w:lineRule="exact"/>
        <w:ind w:firstLine="694" w:firstLineChars="21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pPr>
        <w:spacing w:line="560" w:lineRule="exact"/>
        <w:ind w:firstLine="694" w:firstLineChars="21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开户名：</w:t>
      </w:r>
    </w:p>
    <w:p>
      <w:pPr>
        <w:spacing w:line="560" w:lineRule="exact"/>
        <w:ind w:firstLine="694" w:firstLineChars="21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账号： </w:t>
      </w:r>
    </w:p>
    <w:p>
      <w:pPr>
        <w:spacing w:line="560" w:lineRule="exact"/>
        <w:ind w:firstLine="694" w:firstLineChars="217"/>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乙方联系电话：</w:t>
      </w:r>
    </w:p>
    <w:p>
      <w:pPr>
        <w:spacing w:line="56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四、三方权利与义务</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（一）甲方权利与义务</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1.委托人应当为资产评估机构及其资产评估专业人员开展资产评估业务提供必要的工作条件和协助。</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2.委托人应当根据资产评估业务需要，负责资产评估机构及其资产评估专业人员与其他相关当事人之间的协调。</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3.委托人根据资产评估机构的要求提供资产评估业务所需的资料，以及与评估目的相关的重要的批准文件等资料，并保证提供资料的真实性、完整性、合法性。</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4.委托人或其他相关当事人应当对其提供的资料的真实性、完整性、合法性以签字或盖章等方式进行确认。</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5.恰当使用资产评估报告是委托人和其他相关当事人的责任。</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6.委托人和其他相关当事人如果拒绝提供或者不如实提供开展资产评估业务所需的权属证明、财务会计信息或者其他相关资料的，资产评估机构有权拒绝履行资产评估委托合同。</w:t>
      </w:r>
    </w:p>
    <w:p>
      <w:pPr>
        <w:spacing w:line="560" w:lineRule="exact"/>
        <w:ind w:firstLine="640" w:firstLineChars="200"/>
        <w:rPr>
          <w:rFonts w:hint="eastAsia" w:ascii="仿宋_GB2312" w:hAnsi="仿宋_GB2312" w:eastAsia="仿宋_GB2312" w:cs="仿宋_GB2312"/>
          <w:kern w:val="2"/>
          <w:sz w:val="32"/>
          <w:szCs w:val="32"/>
          <w:highlight w:val="yellow"/>
        </w:rPr>
      </w:pPr>
      <w:r>
        <w:rPr>
          <w:rFonts w:hint="eastAsia" w:ascii="仿宋_GB2312" w:hAnsi="仿宋_GB2312" w:eastAsia="仿宋_GB2312" w:cs="仿宋_GB2312"/>
          <w:kern w:val="2"/>
          <w:sz w:val="32"/>
          <w:szCs w:val="32"/>
          <w:highlight w:val="none"/>
        </w:rPr>
        <w:t>7</w:t>
      </w:r>
      <w:r>
        <w:rPr>
          <w:rFonts w:hint="eastAsia" w:ascii="仿宋_GB2312" w:hAnsi="仿宋_GB2312" w:eastAsia="仿宋_GB2312" w:cs="仿宋_GB2312"/>
          <w:kern w:val="2"/>
          <w:sz w:val="32"/>
          <w:szCs w:val="32"/>
          <w:highlight w:val="none"/>
          <w:lang w:eastAsia="zh-CN"/>
        </w:rPr>
        <w:t>.委托人未按时提供【评估对象相关对应的图纸等】技术资料和工作条件，或提供技术资料不准确，导致受托人无法按期完成并提交资产评估成果的，受托人有权按延误的时间予以顺延。</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（二）乙方权利与义务</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1.遵守相关法律、行政法规和资产评估准则，对评估对象在评估基准日特定目的下的价值进行分析和估算并出具资产评估报告，是资产评估机构及其资产评估专业人员的责任。</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资产评估机构及其资产评估专业人员应当遵守保密原则，对在资产评估活动中知悉的委托人或者其他相关当事人的商业和技术秘密予以保密，不得向委托人以外的第三方提供秘密信息，得到委托人同意或者法律、行政法规允许的范围除外。</w:t>
      </w:r>
    </w:p>
    <w:p>
      <w:pPr>
        <w:spacing w:line="560" w:lineRule="exact"/>
        <w:ind w:firstLine="640" w:firstLineChars="200"/>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3.乙方不得未经委托人书面同意，全部或部分转让合同权利义务，不得转包、分包其应履行的合同义务。</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.委托人和其他相关当事人如果拒绝提供或者不如实提供开展资产评估业务所需的权属证明、财务会计信息或者其他相关的资料的，资产评估机构有权拒绝履行资产评估委托合同。</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.委托人要求出具虚假资产评估报告或者有其他非法干预评估结论情形的，资产评估机构有权单方面解除资产评估委托合同。</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.委托人或其他资产评估报告使用人未按照法律、行政法规规定和资产评估报告载明的使用目的及用途使用资产评估报告的，资产评估机构及其资产评估专业人员不承担责任。</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rPr>
        <w:t>.资产评估机构应在约定的时</w:t>
      </w:r>
      <w:r>
        <w:rPr>
          <w:rFonts w:hint="eastAsia" w:ascii="仿宋_GB2312" w:hAnsi="仿宋_GB2312" w:eastAsia="仿宋_GB2312" w:cs="仿宋_GB2312"/>
          <w:kern w:val="2"/>
          <w:sz w:val="32"/>
          <w:szCs w:val="32"/>
          <w:lang w:eastAsia="zh-CN"/>
        </w:rPr>
        <w:t>间内</w:t>
      </w:r>
      <w:r>
        <w:rPr>
          <w:rFonts w:hint="eastAsia" w:ascii="仿宋_GB2312" w:hAnsi="仿宋_GB2312" w:eastAsia="仿宋_GB2312" w:cs="仿宋_GB2312"/>
          <w:kern w:val="2"/>
          <w:sz w:val="32"/>
          <w:szCs w:val="32"/>
        </w:rPr>
        <w:t>向委托人提交资产评估报告书，若因委托人或相关当事人的原因不能按时提供资产评估业务所需资料的，资产评估机构有权相应延长提交评估报告书的时间。</w:t>
      </w:r>
    </w:p>
    <w:p>
      <w:pPr>
        <w:spacing w:line="560" w:lineRule="exact"/>
        <w:ind w:firstLine="640" w:firstLineChars="200"/>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受托人在本合同项下利用委托人提交的资料和工作条件所完成的资产评估工作成果知识产权归委托人所有。经委托人事先书面同意，受托人可在一定程度上，非独家地合理使用资产评估工作成果，是否系合理使用应由委托人自行判断。未经委托人事先书面同意，受托人不得将本合同项下全部或部分成果提供给任何第三方，如需对成果或其任何部分进行复制，受托人应就该复制的形式和内容取得委托人的事先书面同意。</w:t>
      </w:r>
    </w:p>
    <w:p>
      <w:pPr>
        <w:spacing w:line="56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五、协议的变更与解除</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本协议的任何变更，须经三方协商一致并签订书面补充协议。补充协议与本协议具有同等法律效力。</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除法律规定或本协议另有约定外，任何一方不得单方面解除本协议。如一方确需解除本协议，应提前[10]日书面通知</w:t>
      </w:r>
      <w:r>
        <w:rPr>
          <w:rFonts w:hint="eastAsia" w:ascii="仿宋_GB2312" w:hAnsi="仿宋_GB2312" w:eastAsia="仿宋_GB2312" w:cs="仿宋_GB2312"/>
          <w:kern w:val="2"/>
          <w:sz w:val="32"/>
          <w:szCs w:val="32"/>
          <w:lang w:eastAsia="zh-CN"/>
        </w:rPr>
        <w:t>其他方</w:t>
      </w:r>
      <w:r>
        <w:rPr>
          <w:rFonts w:hint="eastAsia" w:ascii="仿宋_GB2312" w:hAnsi="仿宋_GB2312" w:eastAsia="仿宋_GB2312" w:cs="仿宋_GB2312"/>
          <w:kern w:val="2"/>
          <w:sz w:val="32"/>
          <w:szCs w:val="32"/>
        </w:rPr>
        <w:t>，并承担由此给</w:t>
      </w:r>
      <w:r>
        <w:rPr>
          <w:rFonts w:hint="eastAsia" w:ascii="仿宋_GB2312" w:hAnsi="仿宋_GB2312" w:eastAsia="仿宋_GB2312" w:cs="仿宋_GB2312"/>
          <w:kern w:val="2"/>
          <w:sz w:val="32"/>
          <w:szCs w:val="32"/>
          <w:lang w:eastAsia="zh-CN"/>
        </w:rPr>
        <w:t>其他方</w:t>
      </w:r>
      <w:r>
        <w:rPr>
          <w:rFonts w:hint="eastAsia" w:ascii="仿宋_GB2312" w:hAnsi="仿宋_GB2312" w:eastAsia="仿宋_GB2312" w:cs="仿宋_GB2312"/>
          <w:kern w:val="2"/>
          <w:sz w:val="32"/>
          <w:szCs w:val="32"/>
        </w:rPr>
        <w:t>造成的损失。</w:t>
      </w:r>
    </w:p>
    <w:p>
      <w:pPr>
        <w:spacing w:line="56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六、违约责任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一</w:t>
      </w:r>
      <w:r>
        <w:rPr>
          <w:rFonts w:hint="eastAsia" w:ascii="仿宋_GB2312" w:hAnsi="仿宋_GB2312" w:eastAsia="仿宋_GB2312" w:cs="仿宋_GB2312"/>
          <w:kern w:val="2"/>
          <w:sz w:val="32"/>
          <w:szCs w:val="32"/>
        </w:rPr>
        <w:t>）若乙方未按照本协议约定的期限出具资产评估报告，每逾期一日，应按该项目服务费用的 [万分之五] 向甲方支付违约金。逾期超过 [20] 日的，甲方有权解除本协议并要求乙方承担相应的违约责任。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二</w:t>
      </w:r>
      <w:r>
        <w:rPr>
          <w:rFonts w:hint="eastAsia" w:ascii="仿宋_GB2312" w:hAnsi="仿宋_GB2312" w:eastAsia="仿宋_GB2312" w:cs="仿宋_GB2312"/>
          <w:kern w:val="2"/>
          <w:sz w:val="32"/>
          <w:szCs w:val="32"/>
        </w:rPr>
        <w:t>）若乙方出具的资产评估报告存在重大错误或违反法律法规规定，给甲方造成损失的，乙方应承担</w:t>
      </w:r>
      <w:r>
        <w:rPr>
          <w:rFonts w:hint="eastAsia" w:ascii="仿宋_GB2312" w:hAnsi="仿宋_GB2312" w:eastAsia="仿宋_GB2312" w:cs="仿宋_GB2312"/>
          <w:kern w:val="2"/>
          <w:sz w:val="32"/>
          <w:szCs w:val="32"/>
          <w:lang w:eastAsia="zh-CN"/>
        </w:rPr>
        <w:t>由此给甲方造成的全部损失（包括但不限于</w:t>
      </w:r>
      <w:r>
        <w:rPr>
          <w:rFonts w:hint="eastAsia" w:ascii="仿宋_GB2312" w:hAnsi="仿宋_GB2312" w:eastAsia="仿宋_GB2312" w:cs="仿宋_GB2312"/>
          <w:kern w:val="2"/>
          <w:sz w:val="32"/>
          <w:szCs w:val="32"/>
          <w:lang w:val="en-US" w:eastAsia="zh-CN"/>
        </w:rPr>
        <w:t>委托人的名誉损失、直接损失和可得利益的损失，以及诉讼费、保全费、评估费、鉴定费、调查费、公证费、律师费，以及向第三方支付的赔偿、为应对第三方的指控而支付的一切费用等。</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，但该损失是由于甲方提供的资料虚假或不完整导致的除外。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三</w:t>
      </w:r>
      <w:r>
        <w:rPr>
          <w:rFonts w:hint="eastAsia" w:ascii="仿宋_GB2312" w:hAnsi="仿宋_GB2312" w:eastAsia="仿宋_GB2312" w:cs="仿宋_GB2312"/>
          <w:kern w:val="2"/>
          <w:sz w:val="32"/>
          <w:szCs w:val="32"/>
          <w:lang w:eastAsia="zh-CN"/>
        </w:rPr>
        <w:t>）若乙方未经甲方书面同意，转让本合同权利义务，或委托他方代为或参与本合同的（包括但不限于转包、分包行为），受托人应向委托人支付合同暂定含税总价</w:t>
      </w:r>
      <w:r>
        <w:rPr>
          <w:rFonts w:hint="eastAsia" w:ascii="仿宋_GB2312" w:hAnsi="仿宋_GB2312" w:eastAsia="仿宋_GB2312" w:cs="仿宋_GB2312"/>
          <w:kern w:val="2"/>
          <w:sz w:val="32"/>
          <w:szCs w:val="32"/>
          <w:lang w:val="en-US" w:eastAsia="zh-CN"/>
        </w:rPr>
        <w:t>15%的违约金，且配合委托人的一切安排并负责赔偿委托人的全部损失。</w:t>
      </w:r>
    </w:p>
    <w:p>
      <w:pPr>
        <w:spacing w:line="56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七、争议解决</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因本协议引起的或与本协议有关的任何争议，三方应首先通过友好协商解决；协商不成的，任何一方均有权向甲方所在地有管辖权的人民法院提起诉讼。</w:t>
      </w:r>
    </w:p>
    <w:p>
      <w:pPr>
        <w:spacing w:line="56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八、其他事项</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协议自三方法定代表人或授权代表签字并加盖公章之日起生效，本协议约定的委托项目共计2个，乙方完成全部项目的评估报告并甲方付清全部费用后，本协议自动终止。服务期限届满后，三方仍需履行结算、保密等后续义务，相关义务的履行不受服务期限限制。如由授权代表签订本合同，需提供法人授权委托书及法定代表人、授权代表身份证明材料和身份证复印件，以上材料均需加盖法人及法定代表人印章。</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本协议未尽事宜，由三方另行协商解决。</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本协议一式陆份，三方各执贰份，具有同等法律效力。</w:t>
      </w:r>
    </w:p>
    <w:p>
      <w:pPr>
        <w:spacing w:line="360" w:lineRule="auto"/>
        <w:rPr>
          <w:rFonts w:hint="eastAsia" w:ascii="仿宋_GB2312" w:hAnsi="仿宋_GB2312" w:eastAsia="仿宋_GB2312" w:cs="仿宋_GB2312"/>
          <w:kern w:val="2"/>
          <w:sz w:val="32"/>
          <w:szCs w:val="32"/>
        </w:rPr>
      </w:pPr>
    </w:p>
    <w:p>
      <w:pPr>
        <w:spacing w:line="360" w:lineRule="auto"/>
        <w:rPr>
          <w:rFonts w:hint="eastAsia" w:ascii="仿宋_GB2312" w:hAnsi="仿宋_GB2312" w:eastAsia="仿宋_GB2312" w:cs="仿宋_GB2312"/>
          <w:kern w:val="2"/>
          <w:sz w:val="32"/>
          <w:szCs w:val="32"/>
        </w:rPr>
      </w:pPr>
    </w:p>
    <w:p>
      <w:pPr>
        <w:spacing w:line="360" w:lineRule="auto"/>
        <w:rPr>
          <w:rFonts w:hint="eastAsia" w:ascii="仿宋_GB2312" w:hAnsi="仿宋_GB2312" w:eastAsia="仿宋_GB2312" w:cs="仿宋_GB2312"/>
          <w:kern w:val="2"/>
          <w:sz w:val="32"/>
          <w:szCs w:val="32"/>
        </w:rPr>
      </w:pPr>
    </w:p>
    <w:p>
      <w:pPr>
        <w:spacing w:line="360" w:lineRule="auto"/>
        <w:rPr>
          <w:rFonts w:hint="eastAsia" w:ascii="仿宋_GB2312" w:hAnsi="仿宋_GB2312" w:eastAsia="仿宋_GB2312" w:cs="仿宋_GB2312"/>
          <w:kern w:val="2"/>
          <w:sz w:val="32"/>
          <w:szCs w:val="32"/>
        </w:rPr>
      </w:pPr>
    </w:p>
    <w:p>
      <w:pPr>
        <w:spacing w:line="360" w:lineRule="auto"/>
        <w:ind w:firstLine="640" w:firstLineChars="200"/>
        <w:rPr>
          <w:rFonts w:hint="eastAsia" w:ascii="仿宋_GB2312" w:hAnsi="仿宋_GB2312" w:eastAsia="仿宋_GB2312" w:cs="仿宋_GB2312"/>
          <w:kern w:val="2"/>
          <w:sz w:val="32"/>
          <w:szCs w:val="32"/>
        </w:rPr>
      </w:pPr>
    </w:p>
    <w:p>
      <w:pPr>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甲方一（盖章）：</w:t>
      </w:r>
    </w:p>
    <w:p>
      <w:pPr>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法定代表人或授权代表（签字）：</w:t>
      </w:r>
    </w:p>
    <w:p>
      <w:pPr>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经办人：</w:t>
      </w:r>
    </w:p>
    <w:p>
      <w:pPr>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日期：       年      月     日</w:t>
      </w:r>
    </w:p>
    <w:p>
      <w:pPr>
        <w:spacing w:line="360" w:lineRule="auto"/>
        <w:ind w:firstLine="640" w:firstLineChars="200"/>
        <w:rPr>
          <w:rFonts w:hint="eastAsia" w:ascii="仿宋_GB2312" w:hAnsi="仿宋_GB2312" w:eastAsia="仿宋_GB2312" w:cs="仿宋_GB2312"/>
          <w:kern w:val="2"/>
          <w:sz w:val="32"/>
          <w:szCs w:val="32"/>
        </w:rPr>
      </w:pPr>
    </w:p>
    <w:p>
      <w:pPr>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甲方二（盖章）：</w:t>
      </w:r>
    </w:p>
    <w:p>
      <w:pPr>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法定代表人或授权代表（签字）：</w:t>
      </w:r>
    </w:p>
    <w:p>
      <w:pPr>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经办人：</w:t>
      </w:r>
    </w:p>
    <w:p>
      <w:pPr>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日期：       年      月     日</w:t>
      </w:r>
    </w:p>
    <w:p>
      <w:pPr>
        <w:spacing w:line="360" w:lineRule="auto"/>
        <w:rPr>
          <w:rFonts w:hint="eastAsia" w:ascii="仿宋_GB2312" w:hAnsi="仿宋_GB2312" w:eastAsia="仿宋_GB2312" w:cs="仿宋_GB2312"/>
          <w:kern w:val="2"/>
          <w:sz w:val="32"/>
          <w:szCs w:val="32"/>
        </w:rPr>
      </w:pPr>
    </w:p>
    <w:p>
      <w:pPr>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乙方（盖章）：</w:t>
      </w:r>
    </w:p>
    <w:p>
      <w:pPr>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法定代表人或授权代表（签字）：</w:t>
      </w:r>
    </w:p>
    <w:p>
      <w:pPr>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经办人：</w:t>
      </w:r>
    </w:p>
    <w:p>
      <w:pPr>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日期：       年      月     日</w:t>
      </w:r>
    </w:p>
    <w:p>
      <w:pPr>
        <w:rPr>
          <w:rFonts w:ascii="Arial" w:hAnsi="Arial" w:eastAsia="等线" w:cs="Arial"/>
          <w:b/>
          <w:bCs/>
          <w:sz w:val="32"/>
          <w:szCs w:val="32"/>
        </w:rPr>
      </w:pPr>
      <w:r>
        <w:rPr>
          <w:rFonts w:hint="eastAsia" w:ascii="Arial" w:hAnsi="Arial" w:eastAsia="等线" w:cs="Arial"/>
          <w:b/>
          <w:bCs/>
          <w:sz w:val="32"/>
          <w:szCs w:val="32"/>
        </w:rPr>
        <w:br w:type="page"/>
      </w:r>
    </w:p>
    <w:p>
      <w:pPr>
        <w:widowControl/>
        <w:jc w:val="left"/>
        <w:rPr>
          <w:rFonts w:hint="eastAsia" w:ascii="黑体" w:hAnsi="宋体" w:eastAsia="黑体" w:cs="黑体"/>
          <w:kern w:val="44"/>
          <w:sz w:val="28"/>
          <w:szCs w:val="28"/>
        </w:rPr>
      </w:pPr>
      <w:r>
        <w:rPr>
          <w:rFonts w:hint="eastAsia" w:ascii="Arial" w:hAnsi="Arial" w:eastAsia="等线" w:cs="Arial"/>
          <w:b/>
          <w:bCs/>
          <w:sz w:val="32"/>
          <w:szCs w:val="32"/>
        </w:rPr>
        <w:t>附件1</w:t>
      </w:r>
      <w:r>
        <w:rPr>
          <w:rFonts w:hint="eastAsia" w:ascii="黑体" w:hAnsi="宋体" w:eastAsia="黑体" w:cs="黑体"/>
          <w:kern w:val="44"/>
          <w:sz w:val="28"/>
          <w:szCs w:val="28"/>
          <w:lang w:bidi="ar"/>
        </w:rPr>
        <w:t xml:space="preserve"> </w:t>
      </w:r>
    </w:p>
    <w:p>
      <w:pPr>
        <w:widowControl/>
        <w:overflowPunct w:val="0"/>
        <w:spacing w:line="576"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廉政协议书</w:t>
      </w:r>
    </w:p>
    <w:p>
      <w:pPr>
        <w:autoSpaceDE w:val="0"/>
        <w:spacing w:line="560" w:lineRule="exact"/>
        <w:ind w:firstLine="482"/>
        <w:rPr>
          <w:rFonts w:ascii="仿宋_GB2312" w:eastAsia="仿宋_GB2312" w:cs="仿宋_GB2312"/>
          <w:b/>
          <w:bCs/>
          <w:kern w:val="2"/>
          <w:sz w:val="32"/>
          <w:szCs w:val="32"/>
        </w:rPr>
      </w:pPr>
      <w:r>
        <w:rPr>
          <w:rFonts w:hint="eastAsia" w:ascii="仿宋_GB2312" w:hAnsi="Calibri" w:eastAsia="仿宋_GB2312" w:cs="仿宋_GB2312"/>
          <w:b/>
          <w:bCs/>
          <w:kern w:val="2"/>
          <w:sz w:val="32"/>
          <w:szCs w:val="32"/>
          <w:lang w:bidi="ar"/>
        </w:rPr>
        <w:t xml:space="preserve"> </w:t>
      </w:r>
    </w:p>
    <w:p>
      <w:pPr>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甲方一：</w:t>
      </w:r>
    </w:p>
    <w:p>
      <w:pPr>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甲方二：</w:t>
      </w:r>
    </w:p>
    <w:p>
      <w:pPr>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乙方：</w:t>
      </w:r>
    </w:p>
    <w:p>
      <w:pPr>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以上合称“三方”</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u w:val="single"/>
          <w:lang w:bidi="ar"/>
        </w:rPr>
        <w:t xml:space="preserve">                             </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加强廉政建设，防止发生各种谋取不正当利益的违法违纪行为，保障顺畅的商业秩序和公平的商业环境，确保三方工作人员在合同履行过程中廉洁自律、诚实守信，保护三方的合法权益，经三方协定，签订本廉政协议书。</w:t>
      </w:r>
    </w:p>
    <w:p>
      <w:pPr>
        <w:spacing w:line="56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第一条 三方责任</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（一）严格遵守国家法律法规以及廉政建设方面的有关规定。</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（二）严格遵守《廉政制度》相关规定。</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（三）自确定合同主体、签订合同直至合同履行结束全过程，三方应全面履行合同内容及廉政协议的各项规定，自觉按合同办事。</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（四）三方的业务活动坚持公开、公正、诚信、透明的原则，法律另有说明规定的商业秘密和合同文件除外。</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（五）在业务活动中发现对方有违规、违纪、违法行为的，应及时提醒对方，情节严重的应向其上级主管部门或纪检监察部门举报。</w:t>
      </w:r>
    </w:p>
    <w:p>
      <w:pPr>
        <w:spacing w:line="56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第二条 甲方责任</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甲方单位及工作人员在合同签订及履行过程中应做到：</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（二）不得在乙方单位及乙方所属单位报销任何应由甲方单位或个人支付的费用；</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（三）不得参加可能对公正执行公务有影响的宴请和娱乐活动；</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（四）除合同特别约定外，不得向乙方推销或指定使用各种材料及设备等。</w:t>
      </w:r>
    </w:p>
    <w:p>
      <w:pPr>
        <w:spacing w:line="56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第三条 乙方责任</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乙方单位及所属工作人员在合同签订及履行过程中应做到：</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（一）不得向甲方工作人员及第三方赠送礼品、礼金、有价证券、支付凭证等金钱或实物；</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（二）不得为甲方单位或个人购置或者提供通信工具、交通工具、家电、高档办公用品等；</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（三）不得以任何形式、理由为甲方和相关单位报销应由甲方单位或工作人员支付的费用；</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（四）不得组织有可能影响甲方工作人员履行公职职责或可能影响产品质量、廉政建设的宴请、旅游等各种高消费娱乐活动。</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（五）不得为甲方工作人员住房装修、婚丧嫁娶、家属和子女的工作安排以及出国等提供方便。</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（六）如遇到甲方工作人员向乙方单位或个人索要任何不正当利益时，乙方单位或个人有义务向甲方举报。</w:t>
      </w:r>
    </w:p>
    <w:p>
      <w:pPr>
        <w:spacing w:line="56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第四条 违约责任</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（一）甲方工作人员有违反本协议书责任行为的，按照管理权限，依据有关法律法规和规定，追究相关法律责任。涉嫌犯罪的，移交司法机关追究刑事责任；给乙方单位造成经济损失的，应予以赔偿。</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乙方工作人员或所属单位人员有违反本协议书责任行为的，甲方有权要求乙方承担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（三）三方约定：本协议书由三方上级主管部门担任监督单位。违约情况发生时由三方监督单位对本协议书履行情况进行检查，提出在本</w:t>
      </w:r>
      <w:r>
        <w:rPr>
          <w:rFonts w:hint="eastAsia" w:ascii="仿宋_GB2312" w:hAnsi="仿宋_GB2312" w:eastAsia="仿宋_GB2312" w:cs="仿宋_GB2312"/>
          <w:kern w:val="2"/>
          <w:sz w:val="32"/>
          <w:szCs w:val="32"/>
          <w:lang w:eastAsia="zh-CN"/>
        </w:rPr>
        <w:t>协议</w:t>
      </w:r>
      <w:r>
        <w:rPr>
          <w:rFonts w:hint="eastAsia" w:ascii="仿宋_GB2312" w:hAnsi="仿宋_GB2312" w:eastAsia="仿宋_GB2312" w:cs="仿宋_GB2312"/>
          <w:kern w:val="2"/>
          <w:sz w:val="32"/>
          <w:szCs w:val="32"/>
        </w:rPr>
        <w:t>书规定范围内的裁定意见。</w:t>
      </w:r>
    </w:p>
    <w:p>
      <w:pPr>
        <w:spacing w:line="560" w:lineRule="exact"/>
        <w:ind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第五条</w:t>
      </w:r>
      <w:r>
        <w:rPr>
          <w:rFonts w:hint="eastAsia" w:ascii="仿宋_GB2312" w:hAnsi="仿宋_GB2312" w:eastAsia="仿宋_GB2312" w:cs="仿宋_GB2312"/>
          <w:kern w:val="2"/>
          <w:sz w:val="32"/>
          <w:szCs w:val="32"/>
        </w:rPr>
        <w:t xml:space="preserve"> 本协议书作为《经营性项目资产评估咨询服务协议》的附件，与主合同具有同等法律效力，经三方盖章签字后生效。</w:t>
      </w:r>
    </w:p>
    <w:p>
      <w:pPr>
        <w:spacing w:line="560" w:lineRule="exact"/>
        <w:ind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第六条</w:t>
      </w:r>
      <w:r>
        <w:rPr>
          <w:rFonts w:hint="eastAsia" w:ascii="仿宋_GB2312" w:hAnsi="仿宋_GB2312" w:eastAsia="仿宋_GB2312" w:cs="仿宋_GB2312"/>
          <w:kern w:val="2"/>
          <w:sz w:val="32"/>
          <w:szCs w:val="32"/>
        </w:rPr>
        <w:t xml:space="preserve"> 本协议书的有效期与主合同的有效期一致。</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kern w:val="2"/>
          <w:sz w:val="32"/>
          <w:szCs w:val="32"/>
        </w:rPr>
        <w:t>第七条</w:t>
      </w:r>
      <w:r>
        <w:rPr>
          <w:rFonts w:hint="eastAsia" w:ascii="仿宋_GB2312" w:hAnsi="仿宋_GB2312" w:eastAsia="仿宋_GB2312" w:cs="仿宋_GB2312"/>
          <w:kern w:val="2"/>
          <w:sz w:val="32"/>
          <w:szCs w:val="32"/>
        </w:rPr>
        <w:t xml:space="preserve"> 未尽事宜，由三方协商解决。</w:t>
      </w:r>
    </w:p>
    <w:tbl>
      <w:tblPr>
        <w:tblStyle w:val="14"/>
        <w:tblpPr w:leftFromText="180" w:rightFromText="180" w:vertAnchor="text" w:horzAnchor="page" w:tblpX="1403" w:tblpY="348"/>
        <w:tblOverlap w:val="never"/>
        <w:tblW w:w="9118" w:type="dxa"/>
        <w:tblInd w:w="0" w:type="dxa"/>
        <w:tblLayout w:type="autofit"/>
        <w:tblCellMar>
          <w:top w:w="0" w:type="dxa"/>
          <w:left w:w="108" w:type="dxa"/>
          <w:bottom w:w="0" w:type="dxa"/>
          <w:right w:w="108" w:type="dxa"/>
        </w:tblCellMar>
      </w:tblPr>
      <w:tblGrid>
        <w:gridCol w:w="4386"/>
        <w:gridCol w:w="4732"/>
      </w:tblGrid>
      <w:tr>
        <w:trPr>
          <w:trHeight w:val="2526" w:hRule="atLeast"/>
        </w:trPr>
        <w:tc>
          <w:tcPr>
            <w:tcW w:w="4386" w:type="dxa"/>
            <w:tcBorders>
              <w:top w:val="nil"/>
              <w:left w:val="nil"/>
              <w:bottom w:val="nil"/>
              <w:right w:val="nil"/>
            </w:tcBorders>
          </w:tcPr>
          <w:p>
            <w:pPr>
              <w:autoSpaceDE w:val="0"/>
              <w:spacing w:line="560" w:lineRule="exact"/>
              <w:ind w:firstLine="562"/>
              <w:rPr>
                <w:rFonts w:ascii="仿宋_GB2312" w:eastAsia="仿宋_GB2312" w:cs="仿宋_GB2312"/>
                <w:kern w:val="2"/>
                <w:sz w:val="32"/>
                <w:szCs w:val="32"/>
              </w:rPr>
            </w:pPr>
            <w:r>
              <w:rPr>
                <w:rFonts w:hint="eastAsia" w:ascii="仿宋_GB2312" w:hAnsi="Calibri" w:eastAsia="仿宋_GB2312" w:cs="仿宋_GB2312"/>
                <w:kern w:val="2"/>
                <w:sz w:val="32"/>
                <w:szCs w:val="32"/>
                <w:lang w:bidi="ar"/>
              </w:rPr>
              <w:t>甲方一：（盖章）</w:t>
            </w:r>
          </w:p>
          <w:p>
            <w:pPr>
              <w:autoSpaceDE w:val="0"/>
              <w:spacing w:line="560" w:lineRule="exact"/>
              <w:ind w:left="477" w:leftChars="227"/>
              <w:rPr>
                <w:rFonts w:ascii="仿宋_GB2312" w:hAnsi="Calibri" w:eastAsia="仿宋_GB2312" w:cs="仿宋_GB2312"/>
                <w:kern w:val="2"/>
                <w:sz w:val="32"/>
                <w:szCs w:val="32"/>
                <w:lang w:bidi="ar"/>
              </w:rPr>
            </w:pPr>
          </w:p>
          <w:p>
            <w:pPr>
              <w:autoSpaceDE w:val="0"/>
              <w:spacing w:line="560" w:lineRule="exact"/>
              <w:ind w:left="477" w:leftChars="227"/>
              <w:rPr>
                <w:rFonts w:ascii="仿宋_GB2312" w:eastAsia="仿宋_GB2312" w:cs="仿宋_GB2312"/>
                <w:kern w:val="2"/>
                <w:sz w:val="32"/>
                <w:szCs w:val="32"/>
              </w:rPr>
            </w:pPr>
            <w:r>
              <w:rPr>
                <w:rFonts w:hint="eastAsia" w:ascii="仿宋_GB2312" w:hAnsi="Calibri" w:eastAsia="仿宋_GB2312" w:cs="仿宋_GB2312"/>
                <w:kern w:val="2"/>
                <w:sz w:val="32"/>
                <w:szCs w:val="32"/>
                <w:lang w:bidi="ar"/>
              </w:rPr>
              <w:t>法定代表人或其委托代理人：</w:t>
            </w:r>
          </w:p>
          <w:p>
            <w:pPr>
              <w:autoSpaceDE w:val="0"/>
              <w:spacing w:line="560" w:lineRule="exact"/>
              <w:ind w:firstLine="560"/>
              <w:rPr>
                <w:rFonts w:ascii="仿宋_GB2312" w:eastAsia="仿宋_GB2312" w:cs="仿宋_GB2312"/>
                <w:kern w:val="2"/>
                <w:sz w:val="32"/>
                <w:szCs w:val="32"/>
              </w:rPr>
            </w:pPr>
            <w:r>
              <w:rPr>
                <w:rFonts w:hint="eastAsia" w:ascii="仿宋_GB2312" w:hAnsi="Calibri" w:eastAsia="仿宋_GB2312" w:cs="仿宋_GB2312"/>
                <w:kern w:val="2"/>
                <w:sz w:val="32"/>
                <w:szCs w:val="32"/>
                <w:lang w:bidi="ar"/>
              </w:rPr>
              <w:t>（签字或盖章）</w:t>
            </w:r>
          </w:p>
          <w:p>
            <w:pPr>
              <w:autoSpaceDE w:val="0"/>
              <w:spacing w:line="560" w:lineRule="exact"/>
              <w:rPr>
                <w:rFonts w:ascii="仿宋_GB2312" w:eastAsia="仿宋_GB2312" w:cs="仿宋_GB2312"/>
                <w:kern w:val="2"/>
                <w:sz w:val="32"/>
                <w:szCs w:val="32"/>
              </w:rPr>
            </w:pPr>
          </w:p>
        </w:tc>
        <w:tc>
          <w:tcPr>
            <w:tcW w:w="4732" w:type="dxa"/>
            <w:tcBorders>
              <w:top w:val="nil"/>
              <w:left w:val="nil"/>
              <w:bottom w:val="nil"/>
              <w:right w:val="nil"/>
            </w:tcBorders>
          </w:tcPr>
          <w:p>
            <w:pPr>
              <w:autoSpaceDE w:val="0"/>
              <w:spacing w:line="560" w:lineRule="exact"/>
              <w:ind w:left="477" w:leftChars="227"/>
              <w:rPr>
                <w:rFonts w:ascii="仿宋_GB2312" w:eastAsia="仿宋_GB2312" w:cs="仿宋_GB2312"/>
                <w:kern w:val="2"/>
                <w:sz w:val="32"/>
                <w:szCs w:val="32"/>
              </w:rPr>
            </w:pPr>
            <w:r>
              <w:rPr>
                <w:rFonts w:hint="eastAsia" w:ascii="仿宋_GB2312" w:hAnsi="Calibri" w:eastAsia="仿宋_GB2312" w:cs="仿宋_GB2312"/>
                <w:kern w:val="2"/>
                <w:sz w:val="32"/>
                <w:szCs w:val="32"/>
                <w:lang w:bidi="ar"/>
              </w:rPr>
              <w:t>乙方：（盖章）</w:t>
            </w:r>
          </w:p>
          <w:p>
            <w:pPr>
              <w:autoSpaceDE w:val="0"/>
              <w:spacing w:line="560" w:lineRule="exact"/>
              <w:ind w:left="477" w:leftChars="227"/>
              <w:rPr>
                <w:rFonts w:ascii="仿宋_GB2312" w:hAnsi="Calibri" w:eastAsia="仿宋_GB2312" w:cs="仿宋_GB2312"/>
                <w:kern w:val="2"/>
                <w:sz w:val="32"/>
                <w:szCs w:val="32"/>
                <w:lang w:bidi="ar"/>
              </w:rPr>
            </w:pPr>
          </w:p>
          <w:p>
            <w:pPr>
              <w:autoSpaceDE w:val="0"/>
              <w:spacing w:line="560" w:lineRule="exact"/>
              <w:ind w:left="477" w:leftChars="227"/>
              <w:rPr>
                <w:rFonts w:ascii="仿宋_GB2312" w:eastAsia="仿宋_GB2312" w:cs="仿宋_GB2312"/>
                <w:kern w:val="2"/>
                <w:sz w:val="32"/>
                <w:szCs w:val="32"/>
              </w:rPr>
            </w:pPr>
            <w:r>
              <w:rPr>
                <w:rFonts w:hint="eastAsia" w:ascii="仿宋_GB2312" w:hAnsi="Calibri" w:eastAsia="仿宋_GB2312" w:cs="仿宋_GB2312"/>
                <w:kern w:val="2"/>
                <w:sz w:val="32"/>
                <w:szCs w:val="32"/>
                <w:lang w:bidi="ar"/>
              </w:rPr>
              <w:t>法定代表人或其委托代理人：</w:t>
            </w:r>
          </w:p>
          <w:p>
            <w:pPr>
              <w:autoSpaceDE w:val="0"/>
              <w:spacing w:line="560" w:lineRule="exact"/>
              <w:ind w:firstLine="560"/>
              <w:rPr>
                <w:rFonts w:ascii="仿宋_GB2312" w:eastAsia="仿宋_GB2312" w:cs="仿宋_GB2312"/>
                <w:kern w:val="2"/>
                <w:sz w:val="32"/>
                <w:szCs w:val="32"/>
              </w:rPr>
            </w:pPr>
            <w:r>
              <w:rPr>
                <w:rFonts w:hint="eastAsia" w:ascii="仿宋_GB2312" w:hAnsi="Calibri" w:eastAsia="仿宋_GB2312" w:cs="仿宋_GB2312"/>
                <w:kern w:val="2"/>
                <w:sz w:val="32"/>
                <w:szCs w:val="32"/>
                <w:lang w:bidi="ar"/>
              </w:rPr>
              <w:t>（签字或盖章）</w:t>
            </w:r>
          </w:p>
        </w:tc>
      </w:tr>
      <w:tr>
        <w:trPr>
          <w:trHeight w:val="3556" w:hRule="atLeast"/>
        </w:trPr>
        <w:tc>
          <w:tcPr>
            <w:tcW w:w="4386" w:type="dxa"/>
            <w:tcBorders>
              <w:top w:val="nil"/>
              <w:left w:val="nil"/>
              <w:bottom w:val="nil"/>
              <w:right w:val="nil"/>
            </w:tcBorders>
          </w:tcPr>
          <w:p>
            <w:pPr>
              <w:autoSpaceDE w:val="0"/>
              <w:spacing w:line="560" w:lineRule="exact"/>
              <w:ind w:firstLine="562"/>
              <w:rPr>
                <w:rFonts w:ascii="仿宋_GB2312" w:eastAsia="仿宋_GB2312" w:cs="仿宋_GB2312"/>
                <w:kern w:val="2"/>
                <w:sz w:val="32"/>
                <w:szCs w:val="32"/>
              </w:rPr>
            </w:pPr>
            <w:r>
              <w:rPr>
                <w:rFonts w:hint="eastAsia" w:ascii="仿宋_GB2312" w:hAnsi="Calibri" w:eastAsia="仿宋_GB2312" w:cs="仿宋_GB2312"/>
                <w:kern w:val="2"/>
                <w:sz w:val="32"/>
                <w:szCs w:val="32"/>
                <w:lang w:bidi="ar"/>
              </w:rPr>
              <w:t>甲方二：（盖章）</w:t>
            </w:r>
          </w:p>
          <w:p>
            <w:pPr>
              <w:autoSpaceDE w:val="0"/>
              <w:spacing w:line="560" w:lineRule="exact"/>
              <w:ind w:left="477" w:leftChars="227"/>
              <w:rPr>
                <w:rFonts w:ascii="仿宋_GB2312" w:hAnsi="Calibri" w:eastAsia="仿宋_GB2312" w:cs="仿宋_GB2312"/>
                <w:kern w:val="2"/>
                <w:sz w:val="32"/>
                <w:szCs w:val="32"/>
                <w:lang w:bidi="ar"/>
              </w:rPr>
            </w:pPr>
          </w:p>
          <w:p>
            <w:pPr>
              <w:autoSpaceDE w:val="0"/>
              <w:spacing w:line="560" w:lineRule="exact"/>
              <w:ind w:left="477" w:leftChars="227"/>
              <w:rPr>
                <w:rFonts w:ascii="仿宋_GB2312" w:eastAsia="仿宋_GB2312" w:cs="仿宋_GB2312"/>
                <w:kern w:val="2"/>
                <w:sz w:val="32"/>
                <w:szCs w:val="32"/>
              </w:rPr>
            </w:pPr>
            <w:r>
              <w:rPr>
                <w:rFonts w:hint="eastAsia" w:ascii="仿宋_GB2312" w:hAnsi="Calibri" w:eastAsia="仿宋_GB2312" w:cs="仿宋_GB2312"/>
                <w:kern w:val="2"/>
                <w:sz w:val="32"/>
                <w:szCs w:val="32"/>
                <w:lang w:bidi="ar"/>
              </w:rPr>
              <w:t>法定代表人或其委托代理人：</w:t>
            </w:r>
          </w:p>
          <w:p>
            <w:pPr>
              <w:autoSpaceDE w:val="0"/>
              <w:spacing w:line="560" w:lineRule="exact"/>
              <w:ind w:firstLine="560"/>
              <w:rPr>
                <w:rFonts w:ascii="仿宋_GB2312" w:eastAsia="仿宋_GB2312" w:cs="仿宋_GB2312"/>
                <w:kern w:val="2"/>
                <w:sz w:val="32"/>
                <w:szCs w:val="32"/>
              </w:rPr>
            </w:pPr>
            <w:r>
              <w:rPr>
                <w:rFonts w:hint="eastAsia" w:ascii="仿宋_GB2312" w:hAnsi="Calibri" w:eastAsia="仿宋_GB2312" w:cs="仿宋_GB2312"/>
                <w:kern w:val="2"/>
                <w:sz w:val="32"/>
                <w:szCs w:val="32"/>
                <w:lang w:bidi="ar"/>
              </w:rPr>
              <w:t>（签字或盖章）</w:t>
            </w:r>
          </w:p>
        </w:tc>
        <w:tc>
          <w:tcPr>
            <w:tcW w:w="4732" w:type="dxa"/>
            <w:tcBorders>
              <w:top w:val="nil"/>
              <w:left w:val="nil"/>
              <w:bottom w:val="nil"/>
              <w:right w:val="nil"/>
            </w:tcBorders>
          </w:tcPr>
          <w:p>
            <w:pPr>
              <w:autoSpaceDE w:val="0"/>
              <w:spacing w:line="560" w:lineRule="exact"/>
              <w:ind w:firstLine="560"/>
              <w:rPr>
                <w:rFonts w:ascii="仿宋_GB2312" w:hAnsi="Calibri" w:eastAsia="仿宋_GB2312" w:cs="仿宋_GB2312"/>
                <w:kern w:val="2"/>
                <w:sz w:val="32"/>
                <w:szCs w:val="32"/>
                <w:lang w:bidi="ar"/>
              </w:rPr>
            </w:pPr>
          </w:p>
        </w:tc>
      </w:tr>
      <w:tr>
        <w:trPr>
          <w:trHeight w:val="102" w:hRule="atLeast"/>
        </w:trPr>
        <w:tc>
          <w:tcPr>
            <w:tcW w:w="9118" w:type="dxa"/>
            <w:gridSpan w:val="2"/>
            <w:tcBorders>
              <w:top w:val="nil"/>
              <w:left w:val="nil"/>
              <w:bottom w:val="nil"/>
              <w:right w:val="nil"/>
            </w:tcBorders>
          </w:tcPr>
          <w:p>
            <w:pPr>
              <w:autoSpaceDE w:val="0"/>
              <w:spacing w:line="560" w:lineRule="exact"/>
              <w:ind w:firstLine="560"/>
              <w:jc w:val="center"/>
              <w:rPr>
                <w:rFonts w:ascii="仿宋_GB2312" w:hAnsi="Calibri" w:eastAsia="仿宋_GB2312" w:cs="仿宋_GB2312"/>
                <w:kern w:val="2"/>
                <w:sz w:val="32"/>
                <w:szCs w:val="32"/>
                <w:lang w:bidi="ar"/>
              </w:rPr>
            </w:pPr>
            <w:r>
              <w:rPr>
                <w:rFonts w:hint="eastAsia" w:ascii="仿宋_GB2312" w:hAnsi="Calibri" w:eastAsia="仿宋_GB2312" w:cs="仿宋_GB2312"/>
                <w:kern w:val="2"/>
                <w:sz w:val="32"/>
                <w:szCs w:val="32"/>
                <w:lang w:bidi="ar"/>
              </w:rPr>
              <w:t>签约时间：    年   月   日</w:t>
            </w:r>
          </w:p>
        </w:tc>
      </w:tr>
    </w:tbl>
    <w:p>
      <w:pPr>
        <w:autoSpaceDE w:val="0"/>
        <w:snapToGrid w:val="0"/>
        <w:spacing w:line="560" w:lineRule="exact"/>
        <w:ind w:firstLine="56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 xml:space="preserve"> </w:t>
      </w:r>
    </w:p>
    <w:p>
      <w:pPr>
        <w:autoSpaceDE w:val="0"/>
        <w:snapToGrid w:val="0"/>
        <w:spacing w:line="560" w:lineRule="exact"/>
        <w:rPr>
          <w:rFonts w:ascii="仿宋_GB2312" w:eastAsia="仿宋_GB2312" w:cs="仿宋_GB2312"/>
          <w:sz w:val="32"/>
          <w:szCs w:val="32"/>
        </w:rPr>
      </w:pPr>
    </w:p>
    <w:p>
      <w:pPr>
        <w:rPr>
          <w:rFonts w:hint="eastAsia" w:ascii="黑体" w:hAnsi="黑体" w:eastAsia="黑体" w:cs="黑体"/>
          <w:kern w:val="44"/>
          <w:sz w:val="32"/>
          <w:szCs w:val="32"/>
        </w:rPr>
      </w:pPr>
      <w:bookmarkStart w:id="0" w:name="_Toc31847"/>
    </w:p>
    <w:p>
      <w:pPr>
        <w:rPr>
          <w:rFonts w:hint="eastAsia" w:ascii="黑体" w:hAnsi="黑体" w:eastAsia="黑体" w:cs="黑体"/>
          <w:kern w:val="44"/>
          <w:sz w:val="32"/>
          <w:szCs w:val="32"/>
        </w:rPr>
      </w:pPr>
      <w:r>
        <w:rPr>
          <w:rFonts w:hint="eastAsia" w:ascii="黑体" w:hAnsi="黑体" w:eastAsia="黑体" w:cs="黑体"/>
          <w:kern w:val="44"/>
          <w:sz w:val="32"/>
          <w:szCs w:val="32"/>
        </w:rPr>
        <w:t>附件</w:t>
      </w:r>
      <w:bookmarkEnd w:id="0"/>
      <w:r>
        <w:rPr>
          <w:rFonts w:hint="eastAsia" w:ascii="黑体" w:hAnsi="黑体" w:eastAsia="黑体" w:cs="黑体"/>
          <w:kern w:val="44"/>
          <w:sz w:val="32"/>
          <w:szCs w:val="32"/>
        </w:rPr>
        <w:t>2</w:t>
      </w:r>
    </w:p>
    <w:p>
      <w:pPr>
        <w:jc w:val="center"/>
        <w:rPr>
          <w:rFonts w:hint="eastAsia" w:ascii="仿宋" w:hAnsi="仿宋" w:cs="仿宋"/>
          <w:szCs w:val="28"/>
        </w:rPr>
      </w:pPr>
      <w:r>
        <w:rPr>
          <w:rFonts w:hint="eastAsia" w:ascii="方正小标宋简体" w:hAnsi="方正小标宋简体" w:eastAsia="方正小标宋简体" w:cs="方正小标宋简体"/>
          <w:sz w:val="44"/>
          <w:szCs w:val="44"/>
        </w:rPr>
        <w:t>保密承诺函</w:t>
      </w:r>
    </w:p>
    <w:p>
      <w:pPr>
        <w:spacing w:line="500" w:lineRule="exact"/>
        <w:rPr>
          <w:rFonts w:hint="eastAsia" w:ascii="仿宋" w:hAnsi="仿宋" w:cs="仿宋"/>
          <w:szCs w:val="28"/>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致：[甲方</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 xml:space="preserve">公司名称]及 [甲方二公司名称]   </w:t>
      </w:r>
    </w:p>
    <w:p>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我司受 （以下简称“甲方”）邀请，负责</w:t>
      </w:r>
      <w:r>
        <w:rPr>
          <w:rFonts w:hint="eastAsia" w:ascii="仿宋_GB2312" w:hAnsi="仿宋_GB2312" w:eastAsia="仿宋_GB2312" w:cs="仿宋_GB2312"/>
          <w:sz w:val="32"/>
          <w:szCs w:val="32"/>
          <w:u w:val="single"/>
        </w:rPr>
        <w:t xml:space="preserve"> 经营性项目资产评估咨询服务 </w:t>
      </w:r>
      <w:r>
        <w:rPr>
          <w:rFonts w:hint="eastAsia" w:ascii="仿宋_GB2312" w:hAnsi="仿宋_GB2312" w:eastAsia="仿宋_GB2312" w:cs="仿宋_GB2312"/>
          <w:sz w:val="32"/>
          <w:szCs w:val="32"/>
        </w:rPr>
        <w:t>工作，我司在此承诺：</w:t>
      </w:r>
    </w:p>
    <w:p>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密信息是指在履行本合同过程中获得的甲方及利益相关方的一切非公开资料、信息，包括但不限于关于基础资料及数据，以及本合同内容等，我司对保密信息负有保密义务，我司承诺不以任何方式（包括但不限于复制、仿造等）将保密信息泄露给本合同以外的任何人，不将保密信息用于本项目以外的其他用途。</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2.我司承担保密义务直至本条款中所称的保密信息进入公示领域或甲方将这些保密信息公开为止，不因本合同终止或履行完毕而终止。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司充分了解并知悉，若违反前述承诺，将会损害甲方利益，给甲方带来严重的经济损失或负面影响，我司承担由此引起的所有责任和经济损失，甲方有权依据本承诺函追究我司责任。同时我司愿意承担因违反前述承诺及约定，导致甲方支出的诉讼费、保全费、评估费、鉴定费、调查费、公证费、律师费，以及向第三方支付的赔偿、为应对第三方的指控而支付的一切费用等。</w:t>
      </w:r>
    </w:p>
    <w:p>
      <w:pPr>
        <w:spacing w:line="560" w:lineRule="exact"/>
        <w:ind w:firstLine="640" w:firstLineChars="200"/>
        <w:rPr>
          <w:rFonts w:hint="eastAsia" w:ascii="仿宋_GB2312" w:hAnsi="仿宋_GB2312" w:eastAsia="仿宋_GB2312" w:cs="仿宋_GB2312"/>
          <w:sz w:val="32"/>
          <w:szCs w:val="32"/>
        </w:rPr>
      </w:pPr>
    </w:p>
    <w:p>
      <w:pPr>
        <w:spacing w:line="500" w:lineRule="exact"/>
        <w:jc w:val="both"/>
        <w:rPr>
          <w:rFonts w:hint="eastAsia" w:ascii="仿宋" w:hAnsi="仿宋" w:cs="仿宋"/>
          <w:szCs w:val="28"/>
        </w:rPr>
      </w:pPr>
    </w:p>
    <w:p>
      <w:pPr>
        <w:snapToGrid w:val="0"/>
        <w:spacing w:line="560" w:lineRule="exact"/>
        <w:ind w:firstLine="5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承诺人名称：                </w:t>
      </w:r>
    </w:p>
    <w:p>
      <w:pPr>
        <w:snapToGrid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   年   月   日</w:t>
      </w:r>
    </w:p>
    <w:p>
      <w:pPr>
        <w:widowControl/>
        <w:tabs>
          <w:tab w:val="left" w:pos="3885"/>
        </w:tabs>
        <w:jc w:val="center"/>
        <w:rPr>
          <w:rFonts w:hint="eastAsia" w:ascii="仿宋" w:hAnsi="仿宋" w:eastAsia="仿宋" w:cs="仿宋"/>
          <w:spacing w:val="-1"/>
          <w:sz w:val="30"/>
          <w:szCs w:val="30"/>
        </w:rPr>
      </w:pPr>
    </w:p>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ind w:firstLine="480" w:firstLineChars="200"/>
        <w:rPr>
          <w:rFonts w:ascii="Arial" w:hAnsi="Arial" w:eastAsia="方正仿宋_GB18030" w:cs="Arial"/>
          <w:kern w:val="2"/>
          <w:sz w:val="24"/>
          <w:szCs w:val="24"/>
        </w:rPr>
      </w:pPr>
    </w:p>
    <w:p>
      <w:pPr>
        <w:spacing w:line="360" w:lineRule="auto"/>
        <w:rPr>
          <w:rFonts w:ascii="Arial" w:hAnsi="Arial" w:eastAsia="方正仿宋_GB18030" w:cs="Arial"/>
          <w:kern w:val="2"/>
          <w:sz w:val="24"/>
          <w:szCs w:val="24"/>
        </w:rPr>
      </w:pPr>
    </w:p>
    <w:sectPr>
      <w:headerReference r:id="rId3" w:type="default"/>
      <w:footerReference r:id="rId4" w:type="default"/>
      <w:pgSz w:w="11906" w:h="16838"/>
      <w:pgMar w:top="2098" w:right="1474" w:bottom="1984" w:left="158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18030">
    <w:altName w:val="方正仿宋_GBK"/>
    <w:panose1 w:val="02000000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10"/>
                      <w:rPr>
                        <w:rFonts w:hint="eastAsia"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jMTk5NmI3YmE3ZDhmNzlhNDQ4N2ZjZjViYjkzY2MifQ=="/>
  </w:docVars>
  <w:rsids>
    <w:rsidRoot w:val="00C23891"/>
    <w:rsid w:val="000E2D0E"/>
    <w:rsid w:val="004145A8"/>
    <w:rsid w:val="00620C9E"/>
    <w:rsid w:val="00640575"/>
    <w:rsid w:val="00A04C43"/>
    <w:rsid w:val="00C23891"/>
    <w:rsid w:val="00E47FA5"/>
    <w:rsid w:val="00FC6ADF"/>
    <w:rsid w:val="01C076C7"/>
    <w:rsid w:val="040C72E4"/>
    <w:rsid w:val="076F7109"/>
    <w:rsid w:val="078614FE"/>
    <w:rsid w:val="091412DA"/>
    <w:rsid w:val="0B262488"/>
    <w:rsid w:val="0DD45FC8"/>
    <w:rsid w:val="0EC66285"/>
    <w:rsid w:val="0F9A00AD"/>
    <w:rsid w:val="11A16124"/>
    <w:rsid w:val="11E318C3"/>
    <w:rsid w:val="165D4F05"/>
    <w:rsid w:val="17CA0A15"/>
    <w:rsid w:val="19754254"/>
    <w:rsid w:val="1A0B4BA7"/>
    <w:rsid w:val="200F667C"/>
    <w:rsid w:val="20771487"/>
    <w:rsid w:val="21CA6DB4"/>
    <w:rsid w:val="22C41308"/>
    <w:rsid w:val="236F5B45"/>
    <w:rsid w:val="23733C41"/>
    <w:rsid w:val="237F041E"/>
    <w:rsid w:val="257B6F9E"/>
    <w:rsid w:val="26E56F7C"/>
    <w:rsid w:val="28B144E3"/>
    <w:rsid w:val="2A257164"/>
    <w:rsid w:val="2B81687D"/>
    <w:rsid w:val="2EFDA3ED"/>
    <w:rsid w:val="2F407406"/>
    <w:rsid w:val="2F522CD5"/>
    <w:rsid w:val="318A286C"/>
    <w:rsid w:val="327B2543"/>
    <w:rsid w:val="350927D6"/>
    <w:rsid w:val="35D27ED5"/>
    <w:rsid w:val="36EC9263"/>
    <w:rsid w:val="38611195"/>
    <w:rsid w:val="38FF05EA"/>
    <w:rsid w:val="394FE893"/>
    <w:rsid w:val="3CAB5414"/>
    <w:rsid w:val="3DFB407E"/>
    <w:rsid w:val="3F9BDA41"/>
    <w:rsid w:val="42E163BC"/>
    <w:rsid w:val="453C242F"/>
    <w:rsid w:val="46B1432D"/>
    <w:rsid w:val="4D0459AA"/>
    <w:rsid w:val="4D0A5089"/>
    <w:rsid w:val="4DC20609"/>
    <w:rsid w:val="4E24FDB2"/>
    <w:rsid w:val="4F9FFDD3"/>
    <w:rsid w:val="532607A2"/>
    <w:rsid w:val="53BF239B"/>
    <w:rsid w:val="54C93027"/>
    <w:rsid w:val="579A50C6"/>
    <w:rsid w:val="57EE2D84"/>
    <w:rsid w:val="5ACF1A53"/>
    <w:rsid w:val="5BBFA5B8"/>
    <w:rsid w:val="5CBEAC62"/>
    <w:rsid w:val="5CBF5F05"/>
    <w:rsid w:val="5DA659B4"/>
    <w:rsid w:val="5DBD7A6D"/>
    <w:rsid w:val="5DFBB98F"/>
    <w:rsid w:val="5E7703D7"/>
    <w:rsid w:val="5FA86D0B"/>
    <w:rsid w:val="5FD7BE1F"/>
    <w:rsid w:val="5FEF5A29"/>
    <w:rsid w:val="60B62814"/>
    <w:rsid w:val="63CC72AE"/>
    <w:rsid w:val="63F32D12"/>
    <w:rsid w:val="671A2690"/>
    <w:rsid w:val="671F4FDF"/>
    <w:rsid w:val="6DFB503A"/>
    <w:rsid w:val="6EAFA36E"/>
    <w:rsid w:val="6FB60B70"/>
    <w:rsid w:val="6FEB952E"/>
    <w:rsid w:val="6FFF78D1"/>
    <w:rsid w:val="70E81236"/>
    <w:rsid w:val="7243575E"/>
    <w:rsid w:val="732A3C1D"/>
    <w:rsid w:val="732F74F3"/>
    <w:rsid w:val="76FF9CAF"/>
    <w:rsid w:val="776F515F"/>
    <w:rsid w:val="77AC70D0"/>
    <w:rsid w:val="77DFDE91"/>
    <w:rsid w:val="77F50340"/>
    <w:rsid w:val="77F7DD97"/>
    <w:rsid w:val="7B270D99"/>
    <w:rsid w:val="7B458F5F"/>
    <w:rsid w:val="7BB7BFF3"/>
    <w:rsid w:val="7BBF4AE9"/>
    <w:rsid w:val="7BE56D5B"/>
    <w:rsid w:val="7BEF761B"/>
    <w:rsid w:val="7BFDA923"/>
    <w:rsid w:val="7CF5DA80"/>
    <w:rsid w:val="7D0A9A34"/>
    <w:rsid w:val="7DEFD432"/>
    <w:rsid w:val="7E5658B7"/>
    <w:rsid w:val="7EE38B68"/>
    <w:rsid w:val="7F7ED76A"/>
    <w:rsid w:val="7F9521D3"/>
    <w:rsid w:val="7FBDADC3"/>
    <w:rsid w:val="7FCF1D92"/>
    <w:rsid w:val="7FFA4167"/>
    <w:rsid w:val="7FFB5524"/>
    <w:rsid w:val="7FFE28BA"/>
    <w:rsid w:val="7FFE5199"/>
    <w:rsid w:val="7FFF2976"/>
    <w:rsid w:val="87DF8526"/>
    <w:rsid w:val="9F7FAF74"/>
    <w:rsid w:val="9FFDA21B"/>
    <w:rsid w:val="ADF6A160"/>
    <w:rsid w:val="AEF76743"/>
    <w:rsid w:val="AFEF6962"/>
    <w:rsid w:val="B3FC74EF"/>
    <w:rsid w:val="B9E6AC91"/>
    <w:rsid w:val="BB47FBED"/>
    <w:rsid w:val="BC8F8DF0"/>
    <w:rsid w:val="BDDD238F"/>
    <w:rsid w:val="BDF5E408"/>
    <w:rsid w:val="BE7FFC5E"/>
    <w:rsid w:val="BEFAF148"/>
    <w:rsid w:val="BFFF8CB7"/>
    <w:rsid w:val="C6BFE220"/>
    <w:rsid w:val="CDAED408"/>
    <w:rsid w:val="CFDF3C50"/>
    <w:rsid w:val="D73FB248"/>
    <w:rsid w:val="D97F0850"/>
    <w:rsid w:val="D9FBE45A"/>
    <w:rsid w:val="DE7BB3B3"/>
    <w:rsid w:val="DF7F5C55"/>
    <w:rsid w:val="DFA1CCC9"/>
    <w:rsid w:val="DFD725E6"/>
    <w:rsid w:val="EDFF5022"/>
    <w:rsid w:val="EF6F7E25"/>
    <w:rsid w:val="EFF34A47"/>
    <w:rsid w:val="F0BE376B"/>
    <w:rsid w:val="F36F5922"/>
    <w:rsid w:val="F396436D"/>
    <w:rsid w:val="F4CD465E"/>
    <w:rsid w:val="F67A8D68"/>
    <w:rsid w:val="FAFCD89F"/>
    <w:rsid w:val="FB7C4652"/>
    <w:rsid w:val="FB7ED2DC"/>
    <w:rsid w:val="FBFF4587"/>
    <w:rsid w:val="FD3F588E"/>
    <w:rsid w:val="FDFD1AF9"/>
    <w:rsid w:val="FE9DD64A"/>
    <w:rsid w:val="FEB8E5BA"/>
    <w:rsid w:val="FEFFA77B"/>
    <w:rsid w:val="FFB8323B"/>
    <w:rsid w:val="FFCCC69C"/>
    <w:rsid w:val="FFD6D108"/>
    <w:rsid w:val="FFDEC8A1"/>
    <w:rsid w:val="FFEF726D"/>
    <w:rsid w:val="FFFB76E5"/>
    <w:rsid w:val="FFFFC0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Cs w:val="21"/>
      <w:lang w:eastAsia="en-US"/>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link w:val="21"/>
    <w:semiHidden/>
    <w:unhideWhenUsed/>
    <w:qFormat/>
    <w:uiPriority w:val="99"/>
    <w:rPr>
      <w:rFonts w:asciiTheme="minorHAnsi" w:hAnsiTheme="minorHAnsi" w:eastAsiaTheme="minorEastAsia" w:cstheme="minorBidi"/>
      <w:lang w:val="en-US" w:eastAsia="zh-CN" w:bidi="ar-SA"/>
    </w:rPr>
  </w:style>
  <w:style w:type="paragraph" w:styleId="13">
    <w:name w:val="Title"/>
    <w:qFormat/>
    <w:uiPriority w:val="0"/>
    <w:pPr>
      <w:spacing w:before="480" w:after="480" w:line="288" w:lineRule="auto"/>
    </w:pPr>
    <w:rPr>
      <w:rFonts w:ascii="Arial" w:hAnsi="Arial" w:eastAsia="等线" w:cs="Arial"/>
      <w:b/>
      <w:bCs/>
      <w:sz w:val="52"/>
      <w:szCs w:val="52"/>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563C1"/>
      <w:u w:val="single"/>
    </w:rPr>
  </w:style>
  <w:style w:type="character" w:styleId="19">
    <w:name w:val="footnote reference"/>
    <w:semiHidden/>
    <w:unhideWhenUsed/>
    <w:qFormat/>
    <w:uiPriority w:val="99"/>
    <w:rPr>
      <w:vertAlign w:val="superscript"/>
    </w:rPr>
  </w:style>
  <w:style w:type="paragraph" w:styleId="20">
    <w:name w:val="List Paragraph"/>
    <w:qFormat/>
    <w:uiPriority w:val="0"/>
    <w:rPr>
      <w:rFonts w:asciiTheme="minorHAnsi" w:hAnsiTheme="minorHAnsi" w:eastAsiaTheme="minorEastAsia" w:cstheme="minorBidi"/>
      <w:sz w:val="21"/>
      <w:szCs w:val="22"/>
      <w:lang w:val="en-US" w:eastAsia="zh-CN" w:bidi="ar-SA"/>
    </w:rPr>
  </w:style>
  <w:style w:type="character" w:customStyle="1" w:styleId="21">
    <w:name w:val="脚注文本 字符"/>
    <w:link w:val="12"/>
    <w:semiHidden/>
    <w:unhideWhenUsed/>
    <w:qFormat/>
    <w:uiPriority w:val="99"/>
    <w:rPr>
      <w:sz w:val="20"/>
      <w:szCs w:val="20"/>
    </w:rPr>
  </w:style>
  <w:style w:type="paragraph" w:customStyle="1" w:styleId="22">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3">
    <w:name w:val="_Style 14"/>
    <w:qFormat/>
    <w:uiPriority w:val="0"/>
    <w:pPr>
      <w:spacing w:before="120" w:after="120" w:line="288" w:lineRule="auto"/>
    </w:pPr>
    <w:rPr>
      <w:rFonts w:ascii="Arial" w:hAnsi="Arial" w:eastAsia="等线" w:cs="Arial"/>
      <w:color w:val="8F959E"/>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5783</Words>
  <Characters>5857</Characters>
  <Lines>205</Lines>
  <Paragraphs>161</Paragraphs>
  <TotalTime>7</TotalTime>
  <ScaleCrop>false</ScaleCrop>
  <LinksUpToDate>false</LinksUpToDate>
  <CharactersWithSpaces>6029</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2026-05-30T20:23:00Z</dcterms:created>
  <dc:creator>Un-named</dc:creator>
  <cp:lastModifiedBy>育霖</cp:lastModifiedBy>
  <cp:lastPrinted>2025-10-08T19:17:00Z</cp:lastPrinted>
  <dcterms:modified xsi:type="dcterms:W3CDTF">2026-06-18T08:33:43Z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eyJoZGlkIjoiNTFiOWU2OWY2NTlmMGU1Y2E2MGZhYjMyMTI0NDFiNjUiLCJ1c2VySWQiOiIyNDU1NjY0ODkifQ==</vt:lpwstr>
  </property>
  <property fmtid="{D5CDD505-2E9C-101B-9397-08002B2CF9AE}" pid="3" name="KSOProductBuildVer">
    <vt:lpwstr>2052-6.5.2.8766</vt:lpwstr>
  </property>
  <property fmtid="{D5CDD505-2E9C-101B-9397-08002B2CF9AE}" pid="4" name="ICV">
    <vt:lpwstr>2ABE29689FAC7C9151502F6A58FBC363_43</vt:lpwstr>
  </property>
</Properties>
</file>